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:rsidR="00A77B3E"/>
    <w:p w:rsidR="00A77B3E">
      <w:pPr>
        <w:pStyle w:val="1"/>
      </w:pPr>
    </w:p>
    <w:p w:rsidR="00A77B3E">
      <w:pPr>
        <w:pStyle w:val="1"/>
      </w:pPr>
    </w:p>
    <w:p w:rsidR="00A77B3E">
      <w:pPr>
        <w:pStyle w:val="2"/>
      </w:pPr>
      <w:r>
        <w:t>…</w:t>
      </w:r>
    </w:p>
    <w:p w:rsidR="00A77B3E">
      <w:pPr>
        <w:pStyle w:val="3"/>
      </w:pPr>
      <w:r>
        <w:t>VYHLÁŠKA</w:t>
      </w:r>
    </w:p>
    <w:p w:rsidR="00A77B3E">
      <w:pPr>
        <w:pStyle w:val="4"/>
      </w:pPr>
      <w:r>
        <w:t xml:space="preserve">ze dne …, </w:t>
      </w:r>
    </w:p>
    <w:p w:rsidR="00A77B3E">
      <w:pPr>
        <w:pStyle w:val="5"/>
      </w:pPr>
      <w:r>
        <w:t>kterou se mění vyhláška č. 278/1998 Sb., k provedení zákona č. 58/1995 Sb., o pojišťování a financování vývozu se státní podporou, ve znění pozdějších předpisů</w:t>
      </w:r>
    </w:p>
    <w:p w:rsidR="00A77B3E">
      <w:pPr>
        <w:pStyle w:val="6"/>
      </w:pPr>
      <w:r>
        <w:t>Ministerstvo financí stanoví podle § 1 odst. 4, § 4 odst. 6, 9, § 6 odst. 7 a § 7b odst. 7 zákona č. 58/1995 Sb., o pojišťování a financování vývozu se státní podporou, ve znění zákona č. 60/1998 Sb., zákona č. 23/2006 Sb., zákona č. 293/2009 Sb., zákona č. 230/2013 Sb., zákona č. 214/2020 Sb., zákona č. 363/2022 Sb. a zákona č. 35/2025 Sb.:</w:t>
      </w:r>
    </w:p>
    <w:p w:rsidR="00A77B3E">
      <w:pPr>
        <w:pStyle w:val="1"/>
      </w:pPr>
    </w:p>
    <w:p w:rsidR="00A77B3E">
      <w:pPr>
        <w:pStyle w:val="7"/>
      </w:pPr>
      <w:r>
        <w:t>Čl. I</w:t>
      </w:r>
    </w:p>
    <w:p w:rsidR="00A77B3E">
      <w:pPr>
        <w:pStyle w:val="8"/>
      </w:pPr>
      <w:r>
        <w:t>Vyhláška č. 278/1998 Sb., k provedení zákona o pojišťování a financování vývozu se státní podporou, ve znění vyhlášky č. 88/2000 Sb., vyhlášky č. 355/2001 Sb., vyhlášky č. 29/2003 Sb., vyhlášky č. 407/2006 Sb., vyhlášky č. 62/2010 Sb., vyhlášky č. 116/2015 Sb., vyhlášky č. 216/2016 Sb. a vyhlášky č. 42/2023 Sb., se mění takto:</w:t>
      </w:r>
    </w:p>
    <w:p w:rsidR="00A77B3E">
      <w:pPr>
        <w:pStyle w:val="9"/>
      </w:pPr>
      <w:r>
        <w:t>1.</w:t>
      </w:r>
      <w:r>
        <w:t>   § 2 zní:</w:t>
      </w:r>
    </w:p>
    <w:p w:rsidR="00A77B3E">
      <w:pPr>
        <w:pStyle w:val="10"/>
      </w:pPr>
    </w:p>
    <w:p w:rsidR="00A77B3E">
      <w:pPr>
        <w:pStyle w:val="11"/>
      </w:pPr>
      <w:r>
        <w:t>„§ 2</w:t>
      </w:r>
    </w:p>
    <w:p w:rsidR="00A77B3E">
      <w:pPr>
        <w:pStyle w:val="12"/>
      </w:pPr>
      <w:r>
        <w:t>Způsob výpočtu pojistné kapacity exportní pojišťovny</w:t>
      </w:r>
    </w:p>
    <w:p w:rsidR="00A77B3E">
      <w:pPr>
        <w:pStyle w:val="13"/>
      </w:pPr>
      <w:r>
        <w:t>(K § 4 odst. 6 zákona)</w:t>
      </w:r>
    </w:p>
    <w:p w:rsidR="00A77B3E">
      <w:pPr>
        <w:pStyle w:val="14"/>
      </w:pPr>
      <w:r>
        <w:t>(1)</w:t>
      </w:r>
      <w:r>
        <w:t>   Pojistná kapacita pro pojištění vývozních úvěrových rizik se vypočte jako součet</w:t>
      </w:r>
    </w:p>
    <w:p w:rsidR="00A77B3E">
      <w:pPr>
        <w:pStyle w:val="15"/>
      </w:pPr>
      <w:r>
        <w:t>a)</w:t>
      </w:r>
      <w:r>
        <w:t>   aktuálního stavu pojistné angažovanosti a jejího předpokládaného vývoje včetně úhrnných hodnot vývozních úvěrových rizik obsažených</w:t>
      </w:r>
    </w:p>
    <w:p w:rsidR="00A77B3E">
      <w:pPr>
        <w:pStyle w:val="16"/>
      </w:pPr>
      <w:r>
        <w:t>1.</w:t>
      </w:r>
      <w:r>
        <w:t>   ve smlouvách o příslibu pojištění a</w:t>
      </w:r>
    </w:p>
    <w:p w:rsidR="00A77B3E">
      <w:pPr>
        <w:pStyle w:val="17"/>
      </w:pPr>
      <w:r>
        <w:t>2.</w:t>
      </w:r>
      <w:r>
        <w:t>   v navržených rozpracovaných pojistných smlouvách, jejichž uzavření lze kvalifikovaně předpokládat v kalendářním roce, na který je státní rozpočet sestavován a</w:t>
      </w:r>
    </w:p>
    <w:p w:rsidR="00A77B3E">
      <w:pPr>
        <w:pStyle w:val="15"/>
      </w:pPr>
      <w:r>
        <w:t>b)</w:t>
      </w:r>
      <w:r>
        <w:t>   úhrnných hodnot vývozních úvěrových rizik obsažených ve smlouvách z aktivní zajišťovací činnosti.</w:t>
      </w:r>
    </w:p>
    <w:p w:rsidR="00A77B3E">
      <w:pPr>
        <w:pStyle w:val="14"/>
      </w:pPr>
      <w:r>
        <w:t>(2)</w:t>
      </w:r>
      <w:r>
        <w:t>   Exportní pojišťovna navrhne výši pojistné kapacity podle odstavce 1 při zohlednění tvorby fondů podle § 3 a stavu technických rezerv.“.</w:t>
      </w:r>
    </w:p>
    <w:p w:rsidR="00A77B3E">
      <w:pPr>
        <w:pStyle w:val="9"/>
      </w:pPr>
      <w:r>
        <w:t>2.</w:t>
      </w:r>
      <w:r>
        <w:t>   V nadpisu § 3 odkaz zní:</w:t>
      </w:r>
    </w:p>
    <w:p w:rsidR="00A77B3E">
      <w:pPr>
        <w:pStyle w:val="10"/>
      </w:pPr>
    </w:p>
    <w:p w:rsidR="00A77B3E">
      <w:pPr>
        <w:pStyle w:val="13"/>
      </w:pPr>
      <w:r>
        <w:t>„(K § 4 odst. 9 zákona)“.</w:t>
      </w:r>
    </w:p>
    <w:p w:rsidR="00A77B3E">
      <w:pPr>
        <w:pStyle w:val="9"/>
      </w:pPr>
      <w:r>
        <w:t>3.</w:t>
      </w:r>
      <w:r>
        <w:t>   V § 3 odstavec 1 zní:</w:t>
      </w:r>
    </w:p>
    <w:p w:rsidR="00A77B3E">
      <w:pPr>
        <w:pStyle w:val="10"/>
      </w:pPr>
    </w:p>
    <w:p w:rsidR="00A77B3E">
      <w:pPr>
        <w:pStyle w:val="14"/>
      </w:pPr>
      <w:r>
        <w:t>„(1)</w:t>
      </w:r>
      <w:r>
        <w:t>   Za účelem úhrady ztráty vzniklé za běžné účetní období v rozsahu převyšujícím hodnotu aktiv, jejichž zdrojem jsou technické rezervy na pojistná plnění exportní pojišťovny z vývozních úvěrových rizik, tvoří exportní pojišťovna jako fondy pro pojišťování vývozních úvěrových rizik odděleně od ostatních fondů:</w:t>
      </w:r>
    </w:p>
    <w:p w:rsidR="00A77B3E">
      <w:pPr>
        <w:pStyle w:val="18"/>
      </w:pPr>
      <w:r>
        <w:t>a)</w:t>
      </w:r>
      <w:r>
        <w:t>   fond tvořený z přídělů ze zisku na základě rozhodnutí valné hromady nebo akcionáře vykonávajícího působnost valné hromady, a</w:t>
      </w:r>
    </w:p>
    <w:p w:rsidR="00A77B3E">
      <w:pPr>
        <w:pStyle w:val="19"/>
      </w:pPr>
      <w:r>
        <w:t>b)</w:t>
      </w:r>
      <w:r>
        <w:t>   fond tvořený z dotace ze státního rozpočtu určené na tvorbu tohoto fondu, který lze použít až po vyčerpání fondu podle písmene a).“.</w:t>
      </w:r>
    </w:p>
    <w:p w:rsidR="00A77B3E">
      <w:pPr>
        <w:pStyle w:val="20"/>
      </w:pPr>
      <w:r>
        <w:t>4.</w:t>
      </w:r>
      <w:r>
        <w:t>   V § 3 odst. 2 písm. a) se slova „a rezerv pro pojištění vývozních úvěrových rizik“ zrušují.</w:t>
      </w:r>
    </w:p>
    <w:p w:rsidR="00A77B3E">
      <w:pPr>
        <w:pStyle w:val="21"/>
      </w:pPr>
      <w:r>
        <w:t>5.</w:t>
      </w:r>
      <w:r>
        <w:t>   V § 3 odst. 2 písm. a) se slovo „angažovanosti</w:t>
      </w:r>
      <w:r>
        <w:rPr>
          <w:vertAlign w:val="superscript"/>
        </w:rPr>
        <w:t>4</w:t>
      </w:r>
      <w:r>
        <w:t>)“ nahrazuje slovem „angažovanosti“.</w:t>
      </w:r>
    </w:p>
    <w:p w:rsidR="00A77B3E">
      <w:pPr>
        <w:pStyle w:val="21"/>
      </w:pPr>
      <w:r>
        <w:t>6.</w:t>
      </w:r>
      <w:r>
        <w:t>   V § 3 odst. 3 se slova „, z předpokládaných změn těchto fondů po přídělech z rozdělení zisku společnosti, ze stavu technických rezerv vypočítaných podle zákona upravujícího pojišťovnictví, a dále z odhadu očekávaných peněžních toků z přijatého pojistného, zaplaceného zajistného, vyplacených pojistných plnění a vymožených pohledávek v běžném účetním období a v roce, na který je státní rozpočet sestavován“ nahrazují slovy „a z předpokládaných změn těchto fondů po přídělech z rozdělení zisku společnosti“.</w:t>
      </w:r>
    </w:p>
    <w:p w:rsidR="00A77B3E">
      <w:pPr>
        <w:pStyle w:val="21"/>
      </w:pPr>
      <w:r>
        <w:t>7.</w:t>
      </w:r>
      <w:r>
        <w:t>   V § 3 odst. 4 se slova „, stav technických rezerv vypočítaných podle zákona upravujícího pojišťovnictví“ zrušují.</w:t>
      </w:r>
    </w:p>
    <w:p w:rsidR="00A77B3E">
      <w:pPr>
        <w:pStyle w:val="21"/>
      </w:pPr>
      <w:r>
        <w:t>8.</w:t>
      </w:r>
      <w:r>
        <w:t>   V § 3 odst. 4 se slova „, při zohlednění předpokládaných peněžních toků z přijatého pojistného, zaplaceného zajistného, vyplacených pojistných plnění a vymožených pohledávek v tomto období“ zrušují.</w:t>
      </w:r>
    </w:p>
    <w:p w:rsidR="00A77B3E">
      <w:pPr>
        <w:pStyle w:val="22"/>
      </w:pPr>
      <w:r>
        <w:t>9.</w:t>
      </w:r>
      <w:r>
        <w:t>   V § 3 se odstavec 6 zrušuje.</w:t>
      </w:r>
    </w:p>
    <w:p w:rsidR="00A77B3E">
      <w:pPr>
        <w:pStyle w:val="23"/>
      </w:pPr>
      <w:r>
        <w:t>Dosavadní odstavce 7 až 9 se označují jako odstavce 6 až 8.</w:t>
      </w:r>
    </w:p>
    <w:p w:rsidR="00A77B3E">
      <w:pPr>
        <w:pStyle w:val="20"/>
      </w:pPr>
      <w:r>
        <w:t>10.</w:t>
      </w:r>
      <w:r>
        <w:t>   V § 3 odst. 6 se slovo „rezerv</w:t>
      </w:r>
      <w:r>
        <w:rPr>
          <w:vertAlign w:val="superscript"/>
        </w:rPr>
        <w:t>5</w:t>
      </w:r>
      <w:r>
        <w:t>)“ nahrazuje slovem „rezerv“.</w:t>
      </w:r>
    </w:p>
    <w:p w:rsidR="00A77B3E">
      <w:pPr>
        <w:pStyle w:val="21"/>
      </w:pPr>
      <w:r>
        <w:t>11.</w:t>
      </w:r>
      <w:r>
        <w:t>   V § 3 odst. 7 úvodní části ustanovení se slovo „rezerv</w:t>
      </w:r>
      <w:r>
        <w:rPr>
          <w:vertAlign w:val="superscript"/>
        </w:rPr>
        <w:t>5</w:t>
      </w:r>
      <w:r>
        <w:t>)“ nahrazuje slovem „rezerv“.</w:t>
      </w:r>
    </w:p>
    <w:p w:rsidR="00A77B3E">
      <w:pPr>
        <w:pStyle w:val="21"/>
      </w:pPr>
      <w:r>
        <w:t>12.</w:t>
      </w:r>
      <w:r>
        <w:t>   V § 3 odst. 7 úvodní části ustanovení se slova „odstavci 7“ nahrazují slovy „odstavci 6“.</w:t>
      </w:r>
    </w:p>
    <w:p w:rsidR="00A77B3E">
      <w:pPr>
        <w:pStyle w:val="21"/>
      </w:pPr>
      <w:r>
        <w:t>13.</w:t>
      </w:r>
      <w:r>
        <w:t>   V § 3 odst. 8 se slova „8 písm. c)“ nahrazují slovy „7 písm. c)“.</w:t>
      </w:r>
    </w:p>
    <w:p w:rsidR="00A77B3E">
      <w:pPr>
        <w:pStyle w:val="22"/>
      </w:pPr>
      <w:r>
        <w:t>14.</w:t>
      </w:r>
      <w:r>
        <w:t>   § 4 se zrušuje.</w:t>
      </w:r>
    </w:p>
    <w:p w:rsidR="00A77B3E">
      <w:pPr>
        <w:pStyle w:val="23"/>
      </w:pPr>
      <w:r>
        <w:t>Poznámky pod čarou č. 4 až 6 se zrušují.</w:t>
      </w:r>
    </w:p>
    <w:p w:rsidR="00A77B3E">
      <w:pPr>
        <w:pStyle w:val="20"/>
      </w:pPr>
      <w:r>
        <w:t>15.</w:t>
      </w:r>
      <w:r>
        <w:t>   § 5 se zrušuje.</w:t>
      </w:r>
    </w:p>
    <w:p w:rsidR="00A77B3E">
      <w:pPr>
        <w:pStyle w:val="21"/>
      </w:pPr>
      <w:r>
        <w:t>16.</w:t>
      </w:r>
      <w:r>
        <w:t>   V § 7 odst. 2 úvodní části ustanovení se slova „§ 6 odst. 4 zákona“ nahrazují slovy „§ 6 odst. 5 zákona“.</w:t>
      </w:r>
    </w:p>
    <w:p w:rsidR="00A77B3E">
      <w:pPr>
        <w:pStyle w:val="21"/>
      </w:pPr>
      <w:r>
        <w:t>17.</w:t>
      </w:r>
      <w:r>
        <w:t>   V § 7 odst. 2 písm. a) se slova „§ 6 odst. 4 zákona“ nahrazují slovy „§ 6 odst. 5 zákona“.</w:t>
      </w:r>
    </w:p>
    <w:p w:rsidR="00A77B3E">
      <w:pPr>
        <w:pStyle w:val="21"/>
      </w:pPr>
      <w:r>
        <w:t>18.</w:t>
      </w:r>
      <w:r>
        <w:t>   V § 7a odst. 1 se slova „§ 6 odst. 4 zákona“ nahrazují slovy „§ 6 odst. 5 zákona“.</w:t>
      </w:r>
    </w:p>
    <w:p w:rsidR="00A77B3E">
      <w:pPr>
        <w:pStyle w:val="21"/>
      </w:pPr>
      <w:r>
        <w:t>19.</w:t>
      </w:r>
      <w:r>
        <w:t>   V § 7a odst. 2 se slova „§ 6 odst. 4 zákona“ nahrazují slovy „§ 6 odst. 5 zákona“.</w:t>
      </w:r>
    </w:p>
    <w:p w:rsidR="00A77B3E">
      <w:pPr>
        <w:pStyle w:val="21"/>
      </w:pPr>
      <w:r>
        <w:t>20.</w:t>
      </w:r>
      <w:r>
        <w:t>   V § 7a odst. 4 úvodní části ustanovení se slova „§ 6 odst. 4 zákona“ nahrazují slovy „§ 6 odst. 5 zákona“.</w:t>
      </w:r>
    </w:p>
    <w:p w:rsidR="00A77B3E">
      <w:pPr>
        <w:pStyle w:val="21"/>
      </w:pPr>
      <w:r>
        <w:t>21.</w:t>
      </w:r>
      <w:r>
        <w:t>   V § 7b odst. 1 se slova „§ 6 odst. 4 zákona“ nahrazují slovy „§ 6 odst. 5 zákona“.</w:t>
      </w:r>
    </w:p>
    <w:p w:rsidR="00A77B3E">
      <w:pPr>
        <w:pStyle w:val="21"/>
      </w:pPr>
      <w:r>
        <w:t>22.</w:t>
      </w:r>
      <w:r>
        <w:t>   V § 8 odst. 2 se slovo „IBOR“ zrušuje.</w:t>
      </w:r>
    </w:p>
    <w:p w:rsidR="00A77B3E">
      <w:pPr>
        <w:pStyle w:val="21"/>
      </w:pPr>
      <w:r>
        <w:t>23.</w:t>
      </w:r>
      <w:r>
        <w:t>   V § 8 odst. 3 úvodní části ustanovení se slovo „IBOR“ zrušuje.</w:t>
      </w:r>
    </w:p>
    <w:p w:rsidR="00A77B3E">
      <w:pPr>
        <w:pStyle w:val="21"/>
      </w:pPr>
      <w:r>
        <w:t>24.</w:t>
      </w:r>
      <w:r>
        <w:t>   V § 8 odst. 3 písm. a) se slovo „EUR“ nahrazuje slovem „euro“.</w:t>
      </w:r>
    </w:p>
    <w:p w:rsidR="00A77B3E">
      <w:pPr>
        <w:pStyle w:val="21"/>
      </w:pPr>
      <w:r>
        <w:t>25.</w:t>
      </w:r>
      <w:r>
        <w:t>   V § 8 odst. 3 písm. b) se slovo „LIBOR“ nahrazuje slovy „referenční úroková sazba“.</w:t>
      </w:r>
    </w:p>
    <w:p w:rsidR="00A77B3E">
      <w:pPr>
        <w:pStyle w:val="21"/>
      </w:pPr>
      <w:r>
        <w:t>26.</w:t>
      </w:r>
      <w:r>
        <w:t>   V § 8 odst. 3 písm. b) se slova „ostatní měny, pro které je stanovován a uveřejňován,“ nahrazují slovy „měnu jinou než euro.“.</w:t>
      </w:r>
    </w:p>
    <w:p w:rsidR="00A77B3E">
      <w:pPr>
        <w:pStyle w:val="21"/>
      </w:pPr>
      <w:r>
        <w:t>27.</w:t>
      </w:r>
      <w:r>
        <w:t>   V § 8 odst. 3 se písmeno c) zrušuje.</w:t>
      </w:r>
    </w:p>
    <w:p w:rsidR="00A77B3E">
      <w:pPr>
        <w:pStyle w:val="22"/>
      </w:pPr>
      <w:r>
        <w:t>28.</w:t>
      </w:r>
      <w:r>
        <w:t>   V § 8a se slovo „IBOR“ zrušuje.</w:t>
      </w:r>
    </w:p>
    <w:p w:rsidR="00A77B3E">
      <w:pPr>
        <w:pStyle w:val="7"/>
      </w:pPr>
      <w:r>
        <w:t>Čl. II</w:t>
      </w:r>
    </w:p>
    <w:p w:rsidR="00A77B3E">
      <w:pPr>
        <w:pStyle w:val="24"/>
      </w:pPr>
      <w:r>
        <w:t>Účinnost</w:t>
      </w:r>
    </w:p>
    <w:p w:rsidR="00A77B3E">
      <w:pPr>
        <w:pStyle w:val="1"/>
      </w:pPr>
    </w:p>
    <w:p w:rsidR="00A77B3E">
      <w:pPr>
        <w:pStyle w:val="8"/>
      </w:pPr>
      <w:r>
        <w:t>Tato vyhláška nabývá účinnosti dnem 1. ledna 2026.</w:t>
      </w:r>
    </w:p>
    <w:p w:rsidR="00A77B3E">
      <w:pPr>
        <w:pStyle w:val="1"/>
      </w:pPr>
    </w:p>
    <w:sectPr>
      <w:headerReference w:type="even" r:id="rId4"/>
      <w:headerReference w:type="default" r:id="rId5"/>
      <w:headerReference w:type="first" r:id="rId6"/>
      <w:pgSz w:w="12240" w:h="15840"/>
      <w:pgMar w:top="1417" w:right="1417" w:bottom="1417" w:left="1417" w:header="400" w:footer="708" w:gutter="0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W w:w="5000" w:type="pct"/>
      <w:tblCellMar>
        <w:left w:w="108" w:type="dxa"/>
        <w:right w:w="108" w:type="dxa"/>
      </w:tblCellMar>
    </w:tblPr>
    <w:tblGrid>
      <w:gridCol w:w="1881"/>
      <w:gridCol w:w="2822"/>
      <w:gridCol w:w="2822"/>
      <w:gridCol w:w="1881"/>
    </w:tblGrid>
    <w:tr>
      <w:tblPrEx>
        <w:tblW w:w="5000" w:type="pct"/>
      </w:tblPrEx>
      <w:tc>
        <w:tcPr>
          <w:gridSpan w:val="4"/>
        </w:tcPr>
        <w:p>
          <w:pPr>
            <w:pStyle w:val="HlavickaZlutyText"/>
            <w:jc w:val="left"/>
          </w:pPr>
        </w:p>
      </w:tc>
    </w:tr>
    <w:tr>
      <w:tblPrEx>
        <w:tblW w:w="5000" w:type="pct"/>
        <w:tblBorders>
          <w:bottom w:val="single" w:sz="12" w:space="0" w:color="000000"/>
        </w:tblBorders>
      </w:tblPrEx>
      <w:tc>
        <w:tcPr>
          <w:tcW w:w="1000" w:type="pct"/>
        </w:tcPr>
        <w:p>
          <w:pPr>
            <w:pStyle w:val="Hlavicka"/>
            <w:jc w:val="left"/>
          </w:pPr>
          <w:r>
            <w:t xml:space="preserve">strana 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fldChar w:fldCharType="end"/>
          </w:r>
        </w:p>
      </w:tc>
      <w:tc>
        <w:tcPr>
          <w:tcW w:w="3000" w:type="pct"/>
          <w:gridSpan w:val="2"/>
        </w:tcPr>
        <w:p>
          <w:pPr>
            <w:pStyle w:val="Hlavicka"/>
            <w:jc w:val="center"/>
          </w:pPr>
          <w:r>
            <w:t>Návrh aktu</w:t>
          </w:r>
        </w:p>
      </w:tc>
      <w:tc>
        <w:tcPr>
          <w:tcW w:w="1000" w:type="pct"/>
        </w:tcPr>
        <w:p>
          <w:pPr>
            <w:pStyle w:val="Hlavicka"/>
            <w:jc w:val="right"/>
          </w:pPr>
        </w:p>
      </w:tc>
    </w:tr>
    <w:tr>
      <w:tblPrEx>
        <w:tblW w:w="5000" w:type="pct"/>
      </w:tblPrEx>
      <w:tc>
        <w:tcPr>
          <w:tcW w:w="2500" w:type="pct"/>
          <w:gridSpan w:val="2"/>
        </w:tcPr>
        <w:p>
          <w:pPr>
            <w:pStyle w:val="Hlavicka"/>
            <w:jc w:val="left"/>
          </w:pPr>
          <w:r>
            <w:t>Uzavřená verze: 2025-0172-003-TVO</w:t>
          </w:r>
        </w:p>
      </w:tc>
      <w:tc>
        <w:tcPr>
          <w:tcW w:w="2500" w:type="pct"/>
          <w:gridSpan w:val="2"/>
        </w:tcPr>
        <w:p>
          <w:pPr>
            <w:pStyle w:val="Hlavicka"/>
            <w:jc w:val="right"/>
          </w:pPr>
        </w:p>
      </w:tc>
    </w:tr>
  </w:tbl>
  <w:p>
    <w:pPr>
      <w:pStyle w:val="Hlavic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W w:w="5000" w:type="pct"/>
      <w:tblCellMar>
        <w:left w:w="108" w:type="dxa"/>
        <w:right w:w="108" w:type="dxa"/>
      </w:tblCellMar>
    </w:tblPr>
    <w:tblGrid>
      <w:gridCol w:w="1881"/>
      <w:gridCol w:w="2822"/>
      <w:gridCol w:w="2822"/>
      <w:gridCol w:w="1881"/>
    </w:tblGrid>
    <w:tr>
      <w:tblPrEx>
        <w:tblW w:w="5000" w:type="pct"/>
      </w:tblPrEx>
      <w:tc>
        <w:tcPr>
          <w:tcW w:w="2500" w:type="pct"/>
          <w:gridSpan w:val="4"/>
        </w:tcPr>
        <w:p>
          <w:pPr>
            <w:pStyle w:val="HlavickaZlutyText"/>
            <w:jc w:val="right"/>
          </w:pPr>
        </w:p>
      </w:tc>
    </w:tr>
    <w:tr>
      <w:tblPrEx>
        <w:tblW w:w="5000" w:type="pct"/>
        <w:tblBorders>
          <w:bottom w:val="single" w:sz="12" w:space="0" w:color="000000"/>
        </w:tblBorders>
      </w:tblPrEx>
      <w:tc>
        <w:tcPr>
          <w:tcW w:w="1000" w:type="pct"/>
        </w:tcPr>
        <w:p>
          <w:pPr>
            <w:pStyle w:val="Hlavicka"/>
            <w:jc w:val="left"/>
          </w:pPr>
        </w:p>
      </w:tc>
      <w:tc>
        <w:tcPr>
          <w:tcW w:w="3000" w:type="pct"/>
          <w:gridSpan w:val="2"/>
        </w:tcPr>
        <w:p>
          <w:pPr>
            <w:pStyle w:val="Hlavicka"/>
            <w:jc w:val="center"/>
          </w:pPr>
          <w:r>
            <w:t>Návrh aktu</w:t>
          </w:r>
        </w:p>
      </w:tc>
      <w:tc>
        <w:tcPr>
          <w:tcW w:w="1000" w:type="pct"/>
        </w:tcPr>
        <w:p>
          <w:pPr>
            <w:pStyle w:val="Hlavicka"/>
            <w:jc w:val="right"/>
          </w:pPr>
          <w:r>
            <w:t xml:space="preserve">strana 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fldChar w:fldCharType="end"/>
          </w:r>
        </w:p>
      </w:tc>
    </w:tr>
    <w:tr>
      <w:tblPrEx>
        <w:tblW w:w="5000" w:type="pct"/>
      </w:tblPrEx>
      <w:tc>
        <w:tcPr>
          <w:tcW w:w="2500" w:type="pct"/>
          <w:gridSpan w:val="2"/>
        </w:tcPr>
        <w:p>
          <w:pPr>
            <w:pStyle w:val="Hlavicka"/>
            <w:jc w:val="left"/>
          </w:pPr>
        </w:p>
      </w:tc>
      <w:tc>
        <w:tcPr>
          <w:tcW w:w="2500" w:type="pct"/>
          <w:gridSpan w:val="2"/>
        </w:tcPr>
        <w:p>
          <w:pPr>
            <w:pStyle w:val="Hlavicka"/>
            <w:jc w:val="right"/>
          </w:pPr>
          <w:r>
            <w:t>Uzavřená verze: 2025-0172-003-TVO</w:t>
          </w:r>
        </w:p>
      </w:tc>
    </w:tr>
  </w:tbl>
  <w:p>
    <w:pPr>
      <w:pStyle w:val="Hlavic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W w:w="5000" w:type="pct"/>
      <w:tblCellMar>
        <w:left w:w="108" w:type="dxa"/>
        <w:right w:w="108" w:type="dxa"/>
      </w:tblCellMar>
    </w:tblPr>
    <w:tblGrid>
      <w:gridCol w:w="9406"/>
    </w:tblGrid>
    <w:tr>
      <w:tblPrEx>
        <w:tblW w:w="5000" w:type="pct"/>
      </w:tblPrEx>
      <w:tc>
        <w:tcPr/>
        <w:p>
          <w:pPr>
            <w:pStyle w:val="HlavickaZlutyText"/>
            <w:jc w:val="right"/>
          </w:pPr>
        </w:p>
      </w:tc>
    </w:tr>
    <w:tr>
      <w:tblPrEx>
        <w:tblW w:w="5000" w:type="pct"/>
      </w:tblPrEx>
      <w:tc>
        <w:tcPr/>
        <w:p>
          <w:pPr>
            <w:pStyle w:val="Hlavicka"/>
            <w:jc w:val="right"/>
          </w:pPr>
        </w:p>
      </w:tc>
    </w:tr>
  </w:tbl>
  <w:p>
    <w:pPr>
      <w:pStyle w:val="Hlavic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evenAndOddHeaders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Hlavicka">
    <w:name w:val="Hlavicka"/>
    <w:rPr>
      <w:i/>
      <w:sz w:val="20"/>
    </w:rPr>
  </w:style>
  <w:style w:type="paragraph" w:customStyle="1" w:styleId="HlavickaZlutyText">
    <w:name w:val="HlavickaZlutyText"/>
    <w:rPr>
      <w:i w:val="0"/>
      <w:sz w:val="18"/>
    </w:rPr>
  </w:style>
  <w:style w:type="paragraph" w:customStyle="1" w:styleId="Variantastart">
    <w:name w:val="Varianta_start"/>
    <w:pPr>
      <w:pBdr>
        <w:top w:val="single" w:sz="8" w:space="0" w:color="800080"/>
      </w:pBdr>
      <w:spacing w:before="0" w:after="10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konec">
    <w:name w:val="Varianta_konec"/>
    <w:pPr>
      <w:pBdr>
        <w:bottom w:val="single" w:sz="8" w:space="0" w:color="800080"/>
      </w:pBdr>
      <w:spacing w:before="0" w:after="10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start">
    <w:name w:val="Ucinnost_start"/>
    <w:pPr>
      <w:pBdr>
        <w:top w:val="single" w:sz="8" w:space="0" w:color="8B0000"/>
      </w:pBdr>
      <w:spacing w:before="0" w:after="10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konec">
    <w:name w:val="Ucinnost_konec"/>
    <w:pPr>
      <w:pBdr>
        <w:bottom w:val="single" w:sz="8" w:space="0" w:color="8B0000"/>
      </w:pBdr>
      <w:spacing w:before="0" w:after="10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Celex">
    <w:name w:val="Celex"/>
    <w:pPr>
      <w:spacing w:before="120" w:after="120"/>
      <w:jc w:val="left"/>
    </w:pPr>
    <w:rPr>
      <w:rFonts w:ascii="Times New Roman" w:eastAsia="Times New Roman" w:hAnsi="Times New Roman" w:cs="Times New Roman"/>
      <w:i/>
      <w:sz w:val="20"/>
    </w:rPr>
  </w:style>
  <w:style w:type="paragraph" w:customStyle="1" w:styleId="Pripominkystart">
    <w:name w:val="Pripominky_start"/>
    <w:pPr>
      <w:pBdr>
        <w:top w:val="single" w:sz="8" w:space="0" w:color="87CEFA"/>
      </w:pBdr>
      <w:spacing w:before="0" w:after="100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  <w:style w:type="paragraph" w:customStyle="1" w:styleId="1">
    <w:name w:val="1"/>
    <w:pPr>
      <w:spacing w:before="11" w:after="0"/>
      <w:ind w:right="0"/>
      <w:jc w:val="left"/>
    </w:pPr>
    <w:rPr>
      <w:rFonts w:ascii="Times New Roman" w:eastAsia="Times New Roman" w:hAnsi="Times New Roman" w:cs="Times New Roman"/>
      <w:sz w:val="0"/>
    </w:rPr>
  </w:style>
  <w:style w:type="paragraph" w:customStyle="1" w:styleId="2">
    <w:name w:val="2"/>
    <w:pPr>
      <w:spacing w:before="57" w:after="227"/>
      <w:ind w:right="0"/>
      <w:jc w:val="center"/>
    </w:pPr>
    <w:rPr>
      <w:rFonts w:ascii="Times New Roman" w:eastAsia="Times New Roman" w:hAnsi="Times New Roman" w:cs="Times New Roman"/>
      <w:b/>
      <w:sz w:val="32"/>
    </w:rPr>
  </w:style>
  <w:style w:type="paragraph" w:customStyle="1" w:styleId="3">
    <w:name w:val="3"/>
    <w:pPr>
      <w:spacing w:before="0" w:after="0"/>
      <w:ind w:left="680" w:right="680"/>
      <w:jc w:val="center"/>
    </w:pPr>
    <w:rPr>
      <w:rFonts w:ascii="Times New Roman" w:eastAsia="Times New Roman" w:hAnsi="Times New Roman" w:cs="Times New Roman"/>
      <w:b/>
      <w:caps/>
      <w:sz w:val="32"/>
    </w:rPr>
  </w:style>
  <w:style w:type="paragraph" w:customStyle="1" w:styleId="4">
    <w:name w:val="4"/>
    <w:pPr>
      <w:spacing w:before="0" w:after="170"/>
      <w:ind w:left="850" w:right="850"/>
      <w:jc w:val="center"/>
    </w:pPr>
    <w:rPr>
      <w:rFonts w:ascii="Times New Roman" w:eastAsia="Times New Roman" w:hAnsi="Times New Roman" w:cs="Times New Roman"/>
      <w:b/>
      <w:sz w:val="28"/>
    </w:rPr>
  </w:style>
  <w:style w:type="paragraph" w:customStyle="1" w:styleId="5">
    <w:name w:val="5"/>
    <w:pPr>
      <w:spacing w:before="340" w:after="113"/>
      <w:ind w:left="850" w:right="850"/>
      <w:jc w:val="center"/>
    </w:pPr>
    <w:rPr>
      <w:rFonts w:ascii="Times New Roman" w:eastAsia="Times New Roman" w:hAnsi="Times New Roman" w:cs="Times New Roman"/>
      <w:b/>
      <w:sz w:val="34"/>
    </w:rPr>
  </w:style>
  <w:style w:type="paragraph" w:customStyle="1" w:styleId="6">
    <w:name w:val="6"/>
    <w:pPr>
      <w:spacing w:before="283" w:after="340"/>
      <w:ind w:right="0"/>
      <w:jc w:val="left"/>
    </w:pPr>
    <w:rPr>
      <w:rFonts w:ascii="Times New Roman" w:eastAsia="Times New Roman" w:hAnsi="Times New Roman" w:cs="Times New Roman"/>
      <w:sz w:val="30"/>
    </w:rPr>
  </w:style>
  <w:style w:type="paragraph" w:customStyle="1" w:styleId="7">
    <w:name w:val="7"/>
    <w:pPr>
      <w:overflowPunct/>
      <w:spacing w:before="227" w:after="113"/>
      <w:ind w:left="0" w:right="0" w:firstLine="0"/>
      <w:jc w:val="center"/>
    </w:pPr>
    <w:rPr>
      <w:rFonts w:ascii="Times New Roman" w:eastAsia="Times New Roman" w:hAnsi="Times New Roman" w:cs="Times New Roman"/>
      <w:sz w:val="28"/>
    </w:rPr>
  </w:style>
  <w:style w:type="paragraph" w:customStyle="1" w:styleId="8">
    <w:name w:val="8"/>
    <w:pPr>
      <w:spacing w:before="0" w:after="57"/>
      <w:ind w:right="0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9">
    <w:name w:val="9"/>
    <w:pPr>
      <w:overflowPunct/>
      <w:spacing w:before="0" w:after="113"/>
      <w:ind w:left="340" w:right="0" w:hanging="340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Varianta9start">
    <w:name w:val="Varianta_9_start"/>
    <w:pPr>
      <w:pBdr>
        <w:top w:val="single" w:sz="8" w:space="0" w:color="80008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9konec">
    <w:name w:val="Varianta_9_konec"/>
    <w:pPr>
      <w:pBdr>
        <w:bottom w:val="single" w:sz="8" w:space="0" w:color="80008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9start">
    <w:name w:val="Ucinnost_9_start"/>
    <w:pPr>
      <w:pBdr>
        <w:top w:val="single" w:sz="8" w:space="0" w:color="8B000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9konec">
    <w:name w:val="Ucinnost_9_konec"/>
    <w:pPr>
      <w:pBdr>
        <w:bottom w:val="single" w:sz="8" w:space="0" w:color="8B000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Pripominky9start">
    <w:name w:val="Pripominky_9_start"/>
    <w:pPr>
      <w:pBdr>
        <w:top w:val="single" w:sz="8" w:space="0" w:color="87CEFA"/>
      </w:pBdr>
      <w:spacing w:before="0" w:after="100"/>
      <w:ind w:left="340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  <w:style w:type="paragraph" w:customStyle="1" w:styleId="10">
    <w:name w:val="10"/>
    <w:pPr>
      <w:spacing w:before="0" w:after="0"/>
      <w:ind w:left="680" w:right="0"/>
      <w:jc w:val="left"/>
    </w:pPr>
    <w:rPr>
      <w:rFonts w:ascii="Times New Roman" w:eastAsia="Times New Roman" w:hAnsi="Times New Roman" w:cs="Times New Roman"/>
      <w:sz w:val="0"/>
    </w:rPr>
  </w:style>
  <w:style w:type="paragraph" w:customStyle="1" w:styleId="11">
    <w:name w:val="11"/>
    <w:pPr>
      <w:overflowPunct/>
      <w:spacing w:before="227" w:after="113"/>
      <w:ind w:left="680" w:right="0" w:firstLine="0"/>
      <w:jc w:val="center"/>
    </w:pPr>
    <w:rPr>
      <w:rFonts w:ascii="Times New Roman" w:eastAsia="Times New Roman" w:hAnsi="Times New Roman" w:cs="Times New Roman"/>
      <w:sz w:val="28"/>
    </w:rPr>
  </w:style>
  <w:style w:type="paragraph" w:customStyle="1" w:styleId="12">
    <w:name w:val="12"/>
    <w:pPr>
      <w:spacing w:before="0" w:after="57"/>
      <w:ind w:left="1531" w:right="850"/>
      <w:jc w:val="center"/>
    </w:pPr>
    <w:rPr>
      <w:rFonts w:ascii="Times New Roman" w:eastAsia="Times New Roman" w:hAnsi="Times New Roman" w:cs="Times New Roman"/>
      <w:b/>
      <w:sz w:val="28"/>
    </w:rPr>
  </w:style>
  <w:style w:type="paragraph" w:customStyle="1" w:styleId="13">
    <w:name w:val="13"/>
    <w:pPr>
      <w:spacing w:before="0" w:after="170"/>
      <w:ind w:left="1531" w:right="850"/>
      <w:jc w:val="center"/>
    </w:pPr>
    <w:rPr>
      <w:rFonts w:ascii="Times New Roman" w:eastAsia="Times New Roman" w:hAnsi="Times New Roman" w:cs="Times New Roman"/>
      <w:b/>
      <w:sz w:val="28"/>
    </w:rPr>
  </w:style>
  <w:style w:type="paragraph" w:customStyle="1" w:styleId="14">
    <w:name w:val="14"/>
    <w:pPr>
      <w:overflowPunct/>
      <w:spacing w:before="0" w:after="57"/>
      <w:ind w:left="1190" w:right="0" w:hanging="510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Varianta14start">
    <w:name w:val="Varianta_14_start"/>
    <w:pPr>
      <w:pBdr>
        <w:top w:val="single" w:sz="8" w:space="0" w:color="800080"/>
      </w:pBdr>
      <w:spacing w:before="0" w:after="100"/>
      <w:ind w:left="119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14konec">
    <w:name w:val="Varianta_14_konec"/>
    <w:pPr>
      <w:pBdr>
        <w:bottom w:val="single" w:sz="8" w:space="0" w:color="800080"/>
      </w:pBdr>
      <w:spacing w:before="0" w:after="100"/>
      <w:ind w:left="119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14start">
    <w:name w:val="Ucinnost_14_start"/>
    <w:pPr>
      <w:pBdr>
        <w:top w:val="single" w:sz="8" w:space="0" w:color="8B0000"/>
      </w:pBdr>
      <w:spacing w:before="0" w:after="100"/>
      <w:ind w:left="119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14konec">
    <w:name w:val="Ucinnost_14_konec"/>
    <w:pPr>
      <w:pBdr>
        <w:bottom w:val="single" w:sz="8" w:space="0" w:color="8B0000"/>
      </w:pBdr>
      <w:spacing w:before="0" w:after="100"/>
      <w:ind w:left="119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Pripominky14start">
    <w:name w:val="Pripominky_14_start"/>
    <w:pPr>
      <w:pBdr>
        <w:top w:val="single" w:sz="8" w:space="0" w:color="87CEFA"/>
      </w:pBdr>
      <w:spacing w:before="0" w:after="100"/>
      <w:ind w:left="1190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  <w:style w:type="paragraph" w:customStyle="1" w:styleId="15">
    <w:name w:val="15"/>
    <w:pPr>
      <w:overflowPunct/>
      <w:spacing w:before="0" w:after="227"/>
      <w:ind w:left="1871" w:right="0" w:hanging="340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Varianta15start">
    <w:name w:val="Varianta_15_start"/>
    <w:pPr>
      <w:pBdr>
        <w:top w:val="single" w:sz="8" w:space="0" w:color="800080"/>
      </w:pBdr>
      <w:spacing w:before="0" w:after="100"/>
      <w:ind w:left="1871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15konec">
    <w:name w:val="Varianta_15_konec"/>
    <w:pPr>
      <w:pBdr>
        <w:bottom w:val="single" w:sz="8" w:space="0" w:color="800080"/>
      </w:pBdr>
      <w:spacing w:before="0" w:after="100"/>
      <w:ind w:left="1871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15start">
    <w:name w:val="Ucinnost_15_start"/>
    <w:pPr>
      <w:pBdr>
        <w:top w:val="single" w:sz="8" w:space="0" w:color="8B0000"/>
      </w:pBdr>
      <w:spacing w:before="0" w:after="100"/>
      <w:ind w:left="1871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15konec">
    <w:name w:val="Ucinnost_15_konec"/>
    <w:pPr>
      <w:pBdr>
        <w:bottom w:val="single" w:sz="8" w:space="0" w:color="8B0000"/>
      </w:pBdr>
      <w:spacing w:before="0" w:after="100"/>
      <w:ind w:left="1871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Pripominky15start">
    <w:name w:val="Pripominky_15_start"/>
    <w:pPr>
      <w:pBdr>
        <w:top w:val="single" w:sz="8" w:space="0" w:color="87CEFA"/>
      </w:pBdr>
      <w:spacing w:before="0" w:after="100"/>
      <w:ind w:left="1871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  <w:style w:type="paragraph" w:customStyle="1" w:styleId="16">
    <w:name w:val="16"/>
    <w:pPr>
      <w:overflowPunct/>
      <w:spacing w:before="0" w:after="28"/>
      <w:ind w:left="2494" w:right="0" w:hanging="340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Varianta16start">
    <w:name w:val="Varianta_16_start"/>
    <w:pPr>
      <w:pBdr>
        <w:top w:val="single" w:sz="8" w:space="0" w:color="800080"/>
      </w:pBdr>
      <w:spacing w:before="0" w:after="100"/>
      <w:ind w:left="2494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16konec">
    <w:name w:val="Varianta_16_konec"/>
    <w:pPr>
      <w:pBdr>
        <w:bottom w:val="single" w:sz="8" w:space="0" w:color="800080"/>
      </w:pBdr>
      <w:spacing w:before="0" w:after="100"/>
      <w:ind w:left="2494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16start">
    <w:name w:val="Ucinnost_16_start"/>
    <w:pPr>
      <w:pBdr>
        <w:top w:val="single" w:sz="8" w:space="0" w:color="8B0000"/>
      </w:pBdr>
      <w:spacing w:before="0" w:after="100"/>
      <w:ind w:left="2494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16konec">
    <w:name w:val="Ucinnost_16_konec"/>
    <w:pPr>
      <w:pBdr>
        <w:bottom w:val="single" w:sz="8" w:space="0" w:color="8B0000"/>
      </w:pBdr>
      <w:spacing w:before="0" w:after="100"/>
      <w:ind w:left="2494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Pripominky16start">
    <w:name w:val="Pripominky_16_start"/>
    <w:pPr>
      <w:pBdr>
        <w:top w:val="single" w:sz="8" w:space="0" w:color="87CEFA"/>
      </w:pBdr>
      <w:spacing w:before="0" w:after="100"/>
      <w:ind w:left="2494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  <w:style w:type="paragraph" w:customStyle="1" w:styleId="17">
    <w:name w:val="17"/>
    <w:pPr>
      <w:overflowPunct/>
      <w:spacing w:before="28" w:after="113"/>
      <w:ind w:left="2494" w:right="0" w:hanging="340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Varianta17start">
    <w:name w:val="Varianta_17_start"/>
    <w:pPr>
      <w:pBdr>
        <w:top w:val="single" w:sz="8" w:space="0" w:color="800080"/>
      </w:pBdr>
      <w:spacing w:before="0" w:after="100"/>
      <w:ind w:left="2494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17konec">
    <w:name w:val="Varianta_17_konec"/>
    <w:pPr>
      <w:pBdr>
        <w:bottom w:val="single" w:sz="8" w:space="0" w:color="800080"/>
      </w:pBdr>
      <w:spacing w:before="0" w:after="100"/>
      <w:ind w:left="2494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17start">
    <w:name w:val="Ucinnost_17_start"/>
    <w:pPr>
      <w:pBdr>
        <w:top w:val="single" w:sz="8" w:space="0" w:color="8B0000"/>
      </w:pBdr>
      <w:spacing w:before="0" w:after="100"/>
      <w:ind w:left="2494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17konec">
    <w:name w:val="Ucinnost_17_konec"/>
    <w:pPr>
      <w:pBdr>
        <w:bottom w:val="single" w:sz="8" w:space="0" w:color="8B0000"/>
      </w:pBdr>
      <w:spacing w:before="0" w:after="100"/>
      <w:ind w:left="2494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Pripominky17start">
    <w:name w:val="Pripominky_17_start"/>
    <w:pPr>
      <w:pBdr>
        <w:top w:val="single" w:sz="8" w:space="0" w:color="87CEFA"/>
      </w:pBdr>
      <w:spacing w:before="0" w:after="100"/>
      <w:ind w:left="2494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  <w:style w:type="paragraph" w:customStyle="1" w:styleId="18">
    <w:name w:val="18"/>
    <w:pPr>
      <w:overflowPunct/>
      <w:spacing w:before="0" w:after="57"/>
      <w:ind w:left="1871" w:right="0" w:hanging="340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Varianta18start">
    <w:name w:val="Varianta_18_start"/>
    <w:pPr>
      <w:pBdr>
        <w:top w:val="single" w:sz="8" w:space="0" w:color="800080"/>
      </w:pBdr>
      <w:spacing w:before="0" w:after="100"/>
      <w:ind w:left="1871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18konec">
    <w:name w:val="Varianta_18_konec"/>
    <w:pPr>
      <w:pBdr>
        <w:bottom w:val="single" w:sz="8" w:space="0" w:color="800080"/>
      </w:pBdr>
      <w:spacing w:before="0" w:after="100"/>
      <w:ind w:left="1871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18start">
    <w:name w:val="Ucinnost_18_start"/>
    <w:pPr>
      <w:pBdr>
        <w:top w:val="single" w:sz="8" w:space="0" w:color="8B0000"/>
      </w:pBdr>
      <w:spacing w:before="0" w:after="100"/>
      <w:ind w:left="1871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18konec">
    <w:name w:val="Ucinnost_18_konec"/>
    <w:pPr>
      <w:pBdr>
        <w:bottom w:val="single" w:sz="8" w:space="0" w:color="8B0000"/>
      </w:pBdr>
      <w:spacing w:before="0" w:after="100"/>
      <w:ind w:left="1871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Pripominky18start">
    <w:name w:val="Pripominky_18_start"/>
    <w:pPr>
      <w:pBdr>
        <w:top w:val="single" w:sz="8" w:space="0" w:color="87CEFA"/>
      </w:pBdr>
      <w:spacing w:before="0" w:after="100"/>
      <w:ind w:left="1871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  <w:style w:type="paragraph" w:customStyle="1" w:styleId="19">
    <w:name w:val="19"/>
    <w:pPr>
      <w:overflowPunct/>
      <w:spacing w:before="57" w:after="227"/>
      <w:ind w:left="1871" w:right="0" w:hanging="340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Varianta19start">
    <w:name w:val="Varianta_19_start"/>
    <w:pPr>
      <w:pBdr>
        <w:top w:val="single" w:sz="8" w:space="0" w:color="800080"/>
      </w:pBdr>
      <w:spacing w:before="0" w:after="100"/>
      <w:ind w:left="1871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19konec">
    <w:name w:val="Varianta_19_konec"/>
    <w:pPr>
      <w:pBdr>
        <w:bottom w:val="single" w:sz="8" w:space="0" w:color="800080"/>
      </w:pBdr>
      <w:spacing w:before="0" w:after="100"/>
      <w:ind w:left="1871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19start">
    <w:name w:val="Ucinnost_19_start"/>
    <w:pPr>
      <w:pBdr>
        <w:top w:val="single" w:sz="8" w:space="0" w:color="8B0000"/>
      </w:pBdr>
      <w:spacing w:before="0" w:after="100"/>
      <w:ind w:left="1871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19konec">
    <w:name w:val="Ucinnost_19_konec"/>
    <w:pPr>
      <w:pBdr>
        <w:bottom w:val="single" w:sz="8" w:space="0" w:color="8B0000"/>
      </w:pBdr>
      <w:spacing w:before="0" w:after="100"/>
      <w:ind w:left="1871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Pripominky19start">
    <w:name w:val="Pripominky_19_start"/>
    <w:pPr>
      <w:pBdr>
        <w:top w:val="single" w:sz="8" w:space="0" w:color="87CEFA"/>
      </w:pBdr>
      <w:spacing w:before="0" w:after="100"/>
      <w:ind w:left="1871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  <w:style w:type="paragraph" w:customStyle="1" w:styleId="20">
    <w:name w:val="20"/>
    <w:pPr>
      <w:overflowPunct/>
      <w:spacing w:before="0" w:after="28"/>
      <w:ind w:left="340" w:right="0" w:hanging="340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Varianta20start">
    <w:name w:val="Varianta_20_start"/>
    <w:pPr>
      <w:pBdr>
        <w:top w:val="single" w:sz="8" w:space="0" w:color="80008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20konec">
    <w:name w:val="Varianta_20_konec"/>
    <w:pPr>
      <w:pBdr>
        <w:bottom w:val="single" w:sz="8" w:space="0" w:color="80008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20start">
    <w:name w:val="Ucinnost_20_start"/>
    <w:pPr>
      <w:pBdr>
        <w:top w:val="single" w:sz="8" w:space="0" w:color="8B000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20konec">
    <w:name w:val="Ucinnost_20_konec"/>
    <w:pPr>
      <w:pBdr>
        <w:bottom w:val="single" w:sz="8" w:space="0" w:color="8B000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Pripominky20start">
    <w:name w:val="Pripominky_20_start"/>
    <w:pPr>
      <w:pBdr>
        <w:top w:val="single" w:sz="8" w:space="0" w:color="87CEFA"/>
      </w:pBdr>
      <w:spacing w:before="0" w:after="100"/>
      <w:ind w:left="340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  <w:style w:type="paragraph" w:customStyle="1" w:styleId="21">
    <w:name w:val="21"/>
    <w:pPr>
      <w:overflowPunct/>
      <w:spacing w:before="28" w:after="28"/>
      <w:ind w:left="340" w:right="0" w:hanging="340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Varianta21start">
    <w:name w:val="Varianta_21_start"/>
    <w:pPr>
      <w:pBdr>
        <w:top w:val="single" w:sz="8" w:space="0" w:color="80008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21konec">
    <w:name w:val="Varianta_21_konec"/>
    <w:pPr>
      <w:pBdr>
        <w:bottom w:val="single" w:sz="8" w:space="0" w:color="80008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21start">
    <w:name w:val="Ucinnost_21_start"/>
    <w:pPr>
      <w:pBdr>
        <w:top w:val="single" w:sz="8" w:space="0" w:color="8B000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21konec">
    <w:name w:val="Ucinnost_21_konec"/>
    <w:pPr>
      <w:pBdr>
        <w:bottom w:val="single" w:sz="8" w:space="0" w:color="8B000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Pripominky21start">
    <w:name w:val="Pripominky_21_start"/>
    <w:pPr>
      <w:pBdr>
        <w:top w:val="single" w:sz="8" w:space="0" w:color="87CEFA"/>
      </w:pBdr>
      <w:spacing w:before="0" w:after="100"/>
      <w:ind w:left="340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  <w:style w:type="paragraph" w:customStyle="1" w:styleId="22">
    <w:name w:val="22"/>
    <w:pPr>
      <w:overflowPunct/>
      <w:spacing w:before="28" w:after="113"/>
      <w:ind w:left="340" w:right="0" w:hanging="340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Varianta22start">
    <w:name w:val="Varianta_22_start"/>
    <w:pPr>
      <w:pBdr>
        <w:top w:val="single" w:sz="8" w:space="0" w:color="80008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Varianta22konec">
    <w:name w:val="Varianta_22_konec"/>
    <w:pPr>
      <w:pBdr>
        <w:bottom w:val="single" w:sz="8" w:space="0" w:color="80008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00080"/>
      <w:sz w:val="20"/>
    </w:rPr>
  </w:style>
  <w:style w:type="paragraph" w:customStyle="1" w:styleId="Ucinnost22start">
    <w:name w:val="Ucinnost_22_start"/>
    <w:pPr>
      <w:pBdr>
        <w:top w:val="single" w:sz="8" w:space="0" w:color="8B000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Ucinnost22konec">
    <w:name w:val="Ucinnost_22_konec"/>
    <w:pPr>
      <w:pBdr>
        <w:bottom w:val="single" w:sz="8" w:space="0" w:color="8B0000"/>
      </w:pBdr>
      <w:spacing w:before="0" w:after="100"/>
      <w:ind w:left="340"/>
      <w:jc w:val="left"/>
    </w:pPr>
    <w:rPr>
      <w:rFonts w:ascii="Times New Roman" w:eastAsia="Times New Roman" w:hAnsi="Times New Roman" w:cs="Times New Roman"/>
      <w:b/>
      <w:i/>
      <w:color w:val="8B0000"/>
      <w:sz w:val="20"/>
    </w:rPr>
  </w:style>
  <w:style w:type="paragraph" w:customStyle="1" w:styleId="Pripominky22start">
    <w:name w:val="Pripominky_22_start"/>
    <w:pPr>
      <w:pBdr>
        <w:top w:val="single" w:sz="8" w:space="0" w:color="87CEFA"/>
      </w:pBdr>
      <w:spacing w:before="0" w:after="100"/>
      <w:ind w:left="340"/>
      <w:jc w:val="right"/>
    </w:pPr>
    <w:rPr>
      <w:rFonts w:ascii="Times New Roman" w:eastAsia="Times New Roman" w:hAnsi="Times New Roman" w:cs="Times New Roman"/>
      <w:b/>
      <w:i/>
      <w:color w:val="87CEFA"/>
      <w:sz w:val="20"/>
    </w:rPr>
  </w:style>
  <w:style w:type="paragraph" w:customStyle="1" w:styleId="23">
    <w:name w:val="23"/>
    <w:pPr>
      <w:spacing w:before="0" w:after="57"/>
      <w:ind w:left="340" w:right="0"/>
      <w:jc w:val="both"/>
    </w:pPr>
    <w:rPr>
      <w:rFonts w:ascii="Times New Roman" w:eastAsia="Times New Roman" w:hAnsi="Times New Roman" w:cs="Times New Roman"/>
      <w:sz w:val="24"/>
    </w:rPr>
  </w:style>
  <w:style w:type="paragraph" w:customStyle="1" w:styleId="24">
    <w:name w:val="24"/>
    <w:pPr>
      <w:spacing w:before="0" w:after="57"/>
      <w:ind w:left="850" w:right="850"/>
      <w:jc w:val="center"/>
    </w:pPr>
    <w:rPr>
      <w:rFonts w:ascii="Times New Roman" w:eastAsia="Times New Roman" w:hAnsi="Times New Roman" w:cs="Times New Roman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