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:rsidR="00A77B3E"/>
    <w:p w:rsidR="00A77B3E">
      <w:pPr>
        <w:pStyle w:val="1"/>
      </w:pPr>
    </w:p>
    <w:p w:rsidR="00A77B3E">
      <w:pPr>
        <w:pStyle w:val="1"/>
      </w:pPr>
    </w:p>
    <w:p w:rsidR="00A77B3E">
      <w:pPr>
        <w:pStyle w:val="2"/>
      </w:pPr>
      <w:r>
        <w:t>Důvodová zpráva</w:t>
      </w:r>
    </w:p>
    <w:p w:rsidR="00A77B3E">
      <w:pPr>
        <w:pStyle w:val="3"/>
      </w:pPr>
      <w:r>
        <w:t>Návrh vyhlášky, kterou se mění vyhláška č. 278/1998 Sb., k provedení zákona č. 58/1995 Sb., o pojišťování a financování vývozu se státní podporou, ve znění pozdějších předpisů</w:t>
      </w:r>
    </w:p>
    <w:p w:rsidR="00A77B3E">
      <w:pPr>
        <w:pStyle w:val="1"/>
      </w:pPr>
    </w:p>
    <w:p w:rsidR="00A77B3E">
      <w:pPr>
        <w:pStyle w:val="4"/>
      </w:pPr>
      <w:r>
        <w:t>I. Obecná část</w:t>
      </w:r>
    </w:p>
    <w:p w:rsidR="00A77B3E">
      <w:pPr>
        <w:pStyle w:val="5"/>
      </w:pPr>
      <w:r>
        <w:t>1.</w:t>
      </w:r>
      <w:r>
        <w:t>   Popis obsahu návrhu právního předpisu s uvedením důvodů, které k jeho předložení vedou, a shrnutí základních zásad a nejdůležitějších změn, které oproti stávající právní úpravě zavádí.</w:t>
      </w:r>
    </w:p>
    <w:p w:rsidR="00A77B3E">
      <w:pPr>
        <w:pStyle w:val="6"/>
      </w:pPr>
      <w:r>
        <w:t>Vyhláškou dochází k upřesnění či aktualizaci některých ustanovení stávajícího znění vyhlášky, a to na základě zákona č. 35/2025 Sb., kterým se mění některé zákony v souvislosti s přijetím zákona o Národní rozvojové bance, který v části upravil zákon č. 58/1995 Sb., o pojišťování a financování vývozu se státní podporou. Vzhledem k úpravě zákonných pojmů a zmocňovacích ustanovení bylo nutné na tuto úpravu reagovat úpravou vyhlášky tak, aby odpovídala zákonným zmocněním.</w:t>
      </w:r>
    </w:p>
    <w:p w:rsidR="00A77B3E">
      <w:pPr>
        <w:pStyle w:val="5"/>
      </w:pPr>
      <w:r>
        <w:t>2.</w:t>
      </w:r>
      <w:r>
        <w:t>   Zhodnocení platného právního stavu</w:t>
      </w:r>
    </w:p>
    <w:p w:rsidR="00A77B3E">
      <w:pPr>
        <w:pStyle w:val="6"/>
      </w:pPr>
      <w:r>
        <w:t>Navrhovaná právní úprava není v rozporu se zákonem a je v souladu se zmocněními v zákoně č. 58/1995 Sb., o pojišťování a financování vývozu se státní podporou.</w:t>
      </w:r>
    </w:p>
    <w:p w:rsidR="00A77B3E">
      <w:pPr>
        <w:pStyle w:val="5"/>
      </w:pPr>
      <w:r>
        <w:t>3.</w:t>
      </w:r>
      <w:r>
        <w:t>   Zhodnocení souladu návrhu právního předpisu s ústavním pořádkem a ostatními součástmi právního řádu České republiky.</w:t>
      </w:r>
    </w:p>
    <w:p w:rsidR="00A77B3E">
      <w:pPr>
        <w:pStyle w:val="6"/>
      </w:pPr>
      <w:r>
        <w:t>Navrhovaná úprava je v souladu s ústavním pořádkem a ostatními součástmi právního řádu České republiky, zejména v souladu se zákonnými zmocněními v zákoně č. 58/1995 Sb., o pojišťování a financování vývozu se státní podporou.</w:t>
      </w:r>
    </w:p>
    <w:p w:rsidR="00A77B3E">
      <w:pPr>
        <w:pStyle w:val="5"/>
      </w:pPr>
      <w:r>
        <w:t>4.</w:t>
      </w:r>
      <w:r>
        <w:t>   Zhodnocení souladu návrhu právního předpisu se závazky vyplývajícími pro Českou republiku z jejího členství v Evropské unii.</w:t>
      </w:r>
    </w:p>
    <w:p w:rsidR="00A77B3E">
      <w:pPr>
        <w:pStyle w:val="6"/>
      </w:pPr>
      <w:r>
        <w:t>Navrhovaná úprava je v souladu s předpisy Evropské unie, judikaturou soudních orgánů Evropské unie a obecnými právními zásadami práva Evropské unie.</w:t>
      </w:r>
    </w:p>
    <w:p w:rsidR="00A77B3E">
      <w:pPr>
        <w:pStyle w:val="5"/>
      </w:pPr>
      <w:r>
        <w:t>5.</w:t>
      </w:r>
      <w:r>
        <w:t>   Zhodnocení souladu návrhu právního předpisu s mezinárodními smlouvami, jimiž je Česká republika vázána.</w:t>
      </w:r>
    </w:p>
    <w:p w:rsidR="00A77B3E">
      <w:pPr>
        <w:pStyle w:val="6"/>
      </w:pPr>
      <w:r>
        <w:t>Navrhovaná úprava je v souladu s mezinárodními smlouvami, jimiž je Česká republika vázána.</w:t>
      </w:r>
    </w:p>
    <w:p w:rsidR="00A77B3E">
      <w:pPr>
        <w:pStyle w:val="5"/>
      </w:pPr>
      <w:r>
        <w:t>6.</w:t>
      </w:r>
      <w:r>
        <w:t>   Předpokládaný hospodářský a finanční dopad návrhu právního předpisu na státní rozpočet a ostatní veřejné rozpočty.</w:t>
      </w:r>
    </w:p>
    <w:p w:rsidR="00A77B3E">
      <w:pPr>
        <w:pStyle w:val="6"/>
      </w:pPr>
      <w:r>
        <w:t>Navrhovaná právní úprava nemá hospodářský ani finanční dopad na státní rozpočet, ostatní veřejné rozpočty a na podnikatelské prostředí České republiky, a to z důvodu, že se jedná pouze o technickou novelu vyhlášky.</w:t>
      </w:r>
    </w:p>
    <w:p w:rsidR="00A77B3E">
      <w:pPr>
        <w:pStyle w:val="5"/>
      </w:pPr>
      <w:r>
        <w:t>7.</w:t>
      </w:r>
      <w:r>
        <w:t>   Zhodnocení, zda návrh právního předpisu neobsahuje ustanovení, které by bylo svou povahou technickým předpisem podle právního předpisu upravujícího technické požadavky na výrobky, a informace o splnění oznamovací povinnosti podle tohoto právního předpisu.</w:t>
      </w:r>
    </w:p>
    <w:p w:rsidR="00A77B3E">
      <w:pPr>
        <w:pStyle w:val="6"/>
      </w:pPr>
      <w:r>
        <w:t>Navrhovaná úprava neobsahuje ustanovení, které by bylo svou povahou technickým předpisem podle právního předpisu upravujícího technické požadavky na výrobky.</w:t>
      </w:r>
    </w:p>
    <w:p w:rsidR="00A77B3E">
      <w:pPr>
        <w:pStyle w:val="5"/>
      </w:pPr>
      <w:r>
        <w:t>8.</w:t>
      </w:r>
      <w:r>
        <w:t>   Předpokládané další dopady návrhu právního předpisu</w:t>
      </w:r>
    </w:p>
    <w:p w:rsidR="00A77B3E">
      <w:pPr>
        <w:pStyle w:val="6"/>
      </w:pPr>
      <w:r>
        <w:t>V souladu s čl. 14 Legislativních pravidel vlády lze dále uvést, že vyhláška:</w:t>
      </w:r>
    </w:p>
    <w:p w:rsidR="00A77B3E">
      <w:pPr>
        <w:pStyle w:val="7"/>
      </w:pPr>
      <w:r>
        <w:t>‒</w:t>
      </w:r>
      <w:r>
        <w:t>   nezakládá veřejnou podporu,</w:t>
      </w:r>
    </w:p>
    <w:p w:rsidR="00A77B3E">
      <w:pPr>
        <w:pStyle w:val="8"/>
      </w:pPr>
      <w:r>
        <w:t>‒</w:t>
      </w:r>
      <w:r>
        <w:t>   nemá dopady na práva a povinnosti fyzických a právnických osob,</w:t>
      </w:r>
    </w:p>
    <w:p w:rsidR="00A77B3E">
      <w:pPr>
        <w:pStyle w:val="8"/>
      </w:pPr>
      <w:r>
        <w:t>‒</w:t>
      </w:r>
      <w:r>
        <w:t>   nemá dopad podnikatelské prostředí České republiky,</w:t>
      </w:r>
    </w:p>
    <w:p w:rsidR="00A77B3E">
      <w:pPr>
        <w:pStyle w:val="8"/>
      </w:pPr>
      <w:r>
        <w:t>‒</w:t>
      </w:r>
      <w:r>
        <w:t>   nemá žádné sociální dopady, včetně dopadů na specifické skupiny obyvatel, zejména osoby sociálně slabé, osoby se zdravotním postižením a národnostní menšiny, dopadů na ochranu práv dětí a dopadů na životní prostředí,</w:t>
      </w:r>
    </w:p>
    <w:p w:rsidR="00A77B3E">
      <w:pPr>
        <w:pStyle w:val="8"/>
      </w:pPr>
      <w:r>
        <w:t>‒</w:t>
      </w:r>
      <w:r>
        <w:t>   není v rozporu se zákazem diskriminace a je postaveno na rovnosti mužů a žen,</w:t>
      </w:r>
    </w:p>
    <w:p w:rsidR="00A77B3E">
      <w:pPr>
        <w:pStyle w:val="8"/>
      </w:pPr>
      <w:r>
        <w:t>‒</w:t>
      </w:r>
      <w:r>
        <w:t>   nemá dopady ohledně ochrany soukromí a osobních údajů soukromých osob, žádné osobní údaje se podle této vyhláška nezpracovávají,</w:t>
      </w:r>
    </w:p>
    <w:p w:rsidR="00A77B3E">
      <w:pPr>
        <w:pStyle w:val="8"/>
      </w:pPr>
      <w:r>
        <w:t>‒</w:t>
      </w:r>
      <w:r>
        <w:t>   nemá potenciál korupčních rizik,</w:t>
      </w:r>
    </w:p>
    <w:p w:rsidR="00A77B3E">
      <w:pPr>
        <w:pStyle w:val="8"/>
      </w:pPr>
      <w:r>
        <w:t>‒</w:t>
      </w:r>
      <w:r>
        <w:t>   nemá dopady na bezpečnost a obranu státu,</w:t>
      </w:r>
    </w:p>
    <w:p w:rsidR="00A77B3E">
      <w:pPr>
        <w:pStyle w:val="8"/>
      </w:pPr>
      <w:r>
        <w:t>‒</w:t>
      </w:r>
      <w:r>
        <w:t>   nemá žádné dopady na rodiny, zejména s ohledem na plnění funkcí rodiny, s ohledem na počet vyživovaných členů, na případnou přítomnost hendikepovaných členů a rodiny samoživitelů, rodiny se třemi a více dětmi a další specifické životní situace, dále s ohledem na posílení integrity a stability rodiny a posílení rodinné harmonie, lepší rovnováhy mezi prací a rodinou a na posílení mezigeneračních a širších příbuzenských vztahů,</w:t>
      </w:r>
    </w:p>
    <w:p w:rsidR="00A77B3E">
      <w:pPr>
        <w:pStyle w:val="8"/>
      </w:pPr>
      <w:r>
        <w:t>‒</w:t>
      </w:r>
      <w:r>
        <w:t>   nemá územní dopady ani dopady na územní samosprávné celky,</w:t>
      </w:r>
    </w:p>
    <w:p w:rsidR="00A77B3E">
      <w:pPr>
        <w:pStyle w:val="8"/>
      </w:pPr>
      <w:r>
        <w:t>‒</w:t>
      </w:r>
      <w:r>
        <w:t>   je v souladu se zásadami tvorby digitálně přívětivé legislativy,</w:t>
      </w:r>
    </w:p>
    <w:p w:rsidR="00A77B3E">
      <w:pPr>
        <w:pStyle w:val="9"/>
      </w:pPr>
      <w:r>
        <w:t>‒</w:t>
      </w:r>
      <w:r>
        <w:t>   nezakládá riziko digitálního vyloučení pro soukromé osoby.</w:t>
      </w:r>
    </w:p>
    <w:p w:rsidR="00A77B3E">
      <w:pPr>
        <w:pStyle w:val="5"/>
      </w:pPr>
      <w:r>
        <w:t>9.</w:t>
      </w:r>
      <w:r>
        <w:t>   Informace dle zákona o regulaci lobbování</w:t>
      </w:r>
    </w:p>
    <w:p w:rsidR="00A77B3E">
      <w:pPr>
        <w:pStyle w:val="6"/>
      </w:pPr>
      <w:r>
        <w:t>​V souvislosti s přípravou návrhu nedošlo k lobbování podle zákona o regulaci lobbování.</w:t>
      </w:r>
    </w:p>
    <w:p w:rsidR="00A77B3E">
      <w:pPr>
        <w:pStyle w:val="1"/>
      </w:pPr>
    </w:p>
    <w:p w:rsidR="00A77B3E">
      <w:pPr>
        <w:pStyle w:val="4"/>
      </w:pPr>
      <w:r>
        <w:t>II. Zvláštní část</w:t>
      </w:r>
    </w:p>
    <w:p w:rsidR="00A77B3E">
      <w:pPr>
        <w:pStyle w:val="10"/>
      </w:pPr>
      <w:r>
        <w:t>K čl. I (Změna vyhlášky k provedení zákona č. 58/1995 Sb., o pojišťování a financování vývozu se státní podporou)</w:t>
      </w:r>
    </w:p>
    <w:p w:rsidR="00A77B3E">
      <w:pPr>
        <w:pStyle w:val="11"/>
      </w:pPr>
      <w:r>
        <w:t>K § 2</w:t>
      </w:r>
    </w:p>
    <w:p w:rsidR="00A77B3E">
      <w:pPr>
        <w:pStyle w:val="12"/>
      </w:pPr>
      <w:r>
        <w:t>V novém znění § 2 se pod nadpisem upřesňuje odkaz na zmocňovací ustanovení, neboť v zákoně byl zákonem č. 35/2025 Sb. přečíslován § 4 odst. 5 na § 4 odst. 6.</w:t>
      </w:r>
    </w:p>
    <w:p w:rsidR="00A77B3E">
      <w:pPr>
        <w:pStyle w:val="13"/>
      </w:pPr>
      <w:r>
        <w:t>Nově je stanoven způsob výpočtu pojistné kapacity exportní pojišťovny, který je jednodušší a jasněji s ohledem na definici pojistné angažovanosti v § 2 písm. s) zákona stanoví hodnoty, se kterými se pracuje při stanovení limitu závazků z pojištění. Splátky „pojištěných úvěrů“ jsou totiž reflektovány v „předpokládaném vývoji pojistné angažovanosti“ a předmětem pojištění nejsou pouze úvěry, ale i záruky a investice. Při ponechání „budoucích splátek úvěrů“ by měly být zahrnuty i záruky a investice i další proměnné vstupující do pojistné angažovanosti, jako například výše očekávaného pasivního zajištění nebo pohyby měnových kurzů.</w:t>
      </w:r>
    </w:p>
    <w:p w:rsidR="00A77B3E">
      <w:pPr>
        <w:pStyle w:val="11"/>
      </w:pPr>
      <w:r>
        <w:t>K § 3</w:t>
      </w:r>
    </w:p>
    <w:p w:rsidR="00A77B3E">
      <w:pPr>
        <w:pStyle w:val="6"/>
      </w:pPr>
      <w:r>
        <w:t>Pod nadpisem se upřesňuje odkaz na zmocňovací ustanovení, neboť v zákoně byl zákonem č. 35/2025 Sb. přečíslován § 4 odst. 7 na § 4 odst. 9.</w:t>
      </w:r>
    </w:p>
    <w:p w:rsidR="00A77B3E">
      <w:pPr>
        <w:pStyle w:val="11"/>
      </w:pPr>
      <w:r>
        <w:t>K § 3 odst. 1</w:t>
      </w:r>
    </w:p>
    <w:p w:rsidR="00A77B3E">
      <w:pPr>
        <w:pStyle w:val="12"/>
      </w:pPr>
      <w:r>
        <w:t>Navrhuje se formulačně upravit stávající odstavec 1, přičemž se výslovně stanoví, že exportní pojišťovna tvoří fondy pro pojišťování vývozních úvěrových rizik z přídělů ze zisku a z dotací ze státního rozpočtu.</w:t>
      </w:r>
    </w:p>
    <w:p w:rsidR="00A77B3E">
      <w:pPr>
        <w:pStyle w:val="13"/>
      </w:pPr>
      <w:r>
        <w:t>Oba tyto fondy je možné využít na úhradu ztráty, avšak teprve po vyčerpání technických rezerv. První z fondů je tvořen příděly ze zisku, a to na základě rozhodnutí státu, který může být jediným akcionářem. Druhý z fondů je tvořen dotacemi ze státního rozpočtu, které se exportní pojišťovně poskytují podle § 4 odst. 4 a násl. zákona. Fond tvořený dotacemi ze státního ​rozpočtu je určený až jako sekundární nástroj hrazení ​ztráty, tedy v případě, kdy již není možné uhradit ztrátu z ​fondu tvořeného z přídělů ze zisku.</w:t>
      </w:r>
    </w:p>
    <w:p w:rsidR="00A77B3E">
      <w:pPr>
        <w:pStyle w:val="11"/>
      </w:pPr>
      <w:r>
        <w:t>K § 3 odst. 2 písm. a)</w:t>
      </w:r>
    </w:p>
    <w:p w:rsidR="00A77B3E">
      <w:pPr>
        <w:pStyle w:val="12"/>
      </w:pPr>
      <w:r>
        <w:t>Exportní pojišťovna již nebude muset svou žádost o dotaci ze státního rozpočtu zdůvodňovat rozborem stavu rezerv pro pojištění vývozních úvěrových rizik.</w:t>
      </w:r>
    </w:p>
    <w:p w:rsidR="00A77B3E">
      <w:pPr>
        <w:pStyle w:val="13"/>
      </w:pPr>
      <w:r>
        <w:t>Současně se z důvodů zrušení poznámky pod čarou ruší odkaz na ni.</w:t>
      </w:r>
    </w:p>
    <w:p w:rsidR="00A77B3E">
      <w:pPr>
        <w:pStyle w:val="11"/>
      </w:pPr>
      <w:r>
        <w:t>K § 3 odst. 3</w:t>
      </w:r>
    </w:p>
    <w:p w:rsidR="00A77B3E">
      <w:pPr>
        <w:pStyle w:val="6"/>
      </w:pPr>
      <w:r>
        <w:t>Změny § 3 odst. 3 reagují na zrušení „bezpečnostního poměru“ v zákoně, kdy již nedává smysl počítat výši fondů a rezerv pro účely výpočtu zmíněného poměru. Pro výpočet požadavku na dotaci jsou podstatné jen regulatorní kapitálové požadavky a výše kapitálu dle Solvency II.</w:t>
      </w:r>
    </w:p>
    <w:p w:rsidR="00A77B3E">
      <w:pPr>
        <w:pStyle w:val="11"/>
      </w:pPr>
      <w:r>
        <w:t>K § 3 odst. 4</w:t>
      </w:r>
    </w:p>
    <w:p w:rsidR="00A77B3E">
      <w:pPr>
        <w:pStyle w:val="6"/>
      </w:pPr>
      <w:r>
        <w:t>Změny § 3 odst. 4 rovněž reflektují odstranění „bezpečnostního poměru“ v zákoně. Pro udělení rozhodnutí o uvolňování schválených dotací ze státního rozpočtu jsou taktéž podstatné aktuální hodnoty a předpokládaný vývoj primárního kapitálu, solventnostního kapitálového požadavku, minimálního kapitálového požadavku s přihlédnutím ke stavu a vývoji pojistné angažovanosti a pojistných fondů.</w:t>
      </w:r>
    </w:p>
    <w:p w:rsidR="00A77B3E">
      <w:pPr>
        <w:pStyle w:val="11"/>
      </w:pPr>
      <w:r>
        <w:t>K § 3 odst. 6</w:t>
      </w:r>
    </w:p>
    <w:p w:rsidR="00A77B3E">
      <w:pPr>
        <w:pStyle w:val="6"/>
      </w:pPr>
      <w:r>
        <w:t>Ustanovení § 3 odst. 6 se zrušuje, a to v návaznosti na zrušení § 4.</w:t>
      </w:r>
    </w:p>
    <w:p w:rsidR="00A77B3E">
      <w:pPr>
        <w:pStyle w:val="11"/>
      </w:pPr>
      <w:r>
        <w:t>K § 3 odst. 6</w:t>
      </w:r>
    </w:p>
    <w:p w:rsidR="00A77B3E">
      <w:pPr>
        <w:pStyle w:val="6"/>
      </w:pPr>
      <w:r>
        <w:t>V nově označeném odstavci 6 se z důvodů zrušení poznámky pod čarou ruší odkaz na ni.</w:t>
      </w:r>
    </w:p>
    <w:p w:rsidR="00A77B3E">
      <w:pPr>
        <w:pStyle w:val="11"/>
      </w:pPr>
      <w:r>
        <w:t>K § 3 odst. 7</w:t>
      </w:r>
    </w:p>
    <w:p w:rsidR="00A77B3E">
      <w:pPr>
        <w:pStyle w:val="6"/>
      </w:pPr>
      <w:r>
        <w:t>V nově označeném odstavci 7 se z důvodů zrušení poznámky pod čarou ruší odkaz na ni a původní odkaz na odstavec 7 se nahrazuje odkazem na přečíslovaný odstavec 6</w:t>
      </w:r>
    </w:p>
    <w:p w:rsidR="00A77B3E">
      <w:pPr>
        <w:pStyle w:val="11"/>
      </w:pPr>
      <w:r>
        <w:t>K § 3 odst. 8</w:t>
      </w:r>
    </w:p>
    <w:p w:rsidR="00A77B3E">
      <w:pPr>
        <w:pStyle w:val="6"/>
      </w:pPr>
      <w:r>
        <w:t>Navrhuje se změna odkazu související s přečíslováním odstavců v § 3.</w:t>
      </w:r>
    </w:p>
    <w:p w:rsidR="00A77B3E">
      <w:pPr>
        <w:pStyle w:val="11"/>
      </w:pPr>
      <w:r>
        <w:t>K § 4</w:t>
      </w:r>
    </w:p>
    <w:p w:rsidR="00A77B3E">
      <w:pPr>
        <w:pStyle w:val="12"/>
      </w:pPr>
      <w:r>
        <w:t>Ustanovení § 4 se zrušuje. Jedná se o změnu navazující na změnu zmocňovacího ustanovení v § 4 odst. 9 provedenou zákonem č. 35/2025 Sb. Z důvodu absence zmocnění pro vyhlášku tak bylo toto ustanovení vypuštěno bez náhrady.</w:t>
      </w:r>
    </w:p>
    <w:p w:rsidR="00A77B3E">
      <w:pPr>
        <w:pStyle w:val="13"/>
      </w:pPr>
      <w:r>
        <w:t>Poznámky pod čarou se zrušují i s odkazy v celém návrhu vyhlášky, neboť v případě poznámky pod čarou č. 4 je tato poznámka nadbytečná, v případě poznámky pod čarou č. 5 se též jedná o nadbytečnost, protože jakého fondu se ustanovení vyhlášky týká je zřejmé, a to na základě daného zákonného zmocnění. Nadto bylo ustanovení, na něž poznámka pod čarou odkazovala, změněno, a v opačném případě by bylo neaktuální, nebo by bylo nutné odkaz v poznámce pod čarou upravit. V případě poznámky č. 6 se jedná o poznámku pod čarou odkazující na již neúčinnou část zákona, a tím i na neúčinné ustanovení. V rámci zpřehlednění právní úpravy bylo proto navrženo poznámky pod čarou vypustit.</w:t>
      </w:r>
    </w:p>
    <w:p w:rsidR="00A77B3E">
      <w:pPr>
        <w:pStyle w:val="11"/>
      </w:pPr>
      <w:r>
        <w:t>K § 5</w:t>
      </w:r>
    </w:p>
    <w:p w:rsidR="00A77B3E">
      <w:pPr>
        <w:pStyle w:val="6"/>
      </w:pPr>
      <w:r>
        <w:t>S ohledem na skutečnost, že z § 4 odst. 7 zákona bylo odstraněno výslovné zmocnění se navrhuje § 5 zrušit.</w:t>
      </w:r>
    </w:p>
    <w:p w:rsidR="00A77B3E">
      <w:pPr>
        <w:pStyle w:val="11"/>
      </w:pPr>
      <w:r>
        <w:t>K § 7 odst. 2, § 7a odst. 1, 2, 4 a § 7b odst. 1</w:t>
      </w:r>
    </w:p>
    <w:p w:rsidR="00A77B3E">
      <w:pPr>
        <w:pStyle w:val="6"/>
      </w:pPr>
      <w:r>
        <w:t>Navrhuje se změna odkazů plynoucí z přečíslování odstavců v § 6.</w:t>
      </w:r>
    </w:p>
    <w:p w:rsidR="00A77B3E">
      <w:pPr>
        <w:pStyle w:val="11"/>
      </w:pPr>
      <w:r>
        <w:t>K § 8 odst. 2, 3 a § 8a</w:t>
      </w:r>
    </w:p>
    <w:p w:rsidR="00A77B3E">
      <w:pPr>
        <w:pStyle w:val="6"/>
      </w:pPr>
      <w:r>
        <w:t>Navrhuje se úprava v souvislosti se skutečností, že sazba IBOR přestala být vyhlašována.</w:t>
      </w:r>
    </w:p>
    <w:p w:rsidR="00A77B3E">
      <w:pPr>
        <w:pStyle w:val="10"/>
      </w:pPr>
      <w:r>
        <w:t>K čl. II (Účinnostní ustanovení)</w:t>
      </w:r>
    </w:p>
    <w:p w:rsidR="00A77B3E">
      <w:pPr>
        <w:pStyle w:val="11"/>
      </w:pPr>
      <w:r>
        <w:t>K čl. II</w:t>
      </w:r>
    </w:p>
    <w:p w:rsidR="00A77B3E">
      <w:pPr>
        <w:pStyle w:val="6"/>
      </w:pPr>
      <w:r>
        <w:t>Navrhuje se standardní účinnost k 1. lednu 2026 v souladu se zákonem o Sbírce zákonů a mezinárodních smluv.</w:t>
      </w:r>
    </w:p>
    <w:p w:rsidR="00A77B3E">
      <w:pPr>
        <w:pStyle w:val="1"/>
      </w:pPr>
    </w:p>
    <w:sectPr>
      <w:headerReference w:type="even" r:id="rId4"/>
      <w:headerReference w:type="default" r:id="rId5"/>
      <w:headerReference w:type="first" r:id="rId6"/>
      <w:pgSz w:w="12240" w:h="15840"/>
      <w:pgMar w:top="1417" w:right="1417" w:bottom="1417" w:left="1417" w:header="400" w:footer="708" w:gutter="0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gridSpan w:val="4"/>
        </w:tcPr>
        <w:p>
          <w:pPr>
            <w:pStyle w:val="HlavickaZlutyText"/>
            <w:jc w:val="lef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Důvodová zpráva</w:t>
          </w:r>
        </w:p>
      </w:tc>
      <w:tc>
        <w:tcPr>
          <w:tcW w:w="1000" w:type="pct"/>
        </w:tcPr>
        <w:p>
          <w:pPr>
            <w:pStyle w:val="Hlavicka"/>
            <w:jc w:val="right"/>
          </w:pP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  <w:r>
            <w:t>Uzavřená verze: 2025-0172-003-TVO</w:t>
          </w: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tcW w:w="2500" w:type="pct"/>
          <w:gridSpan w:val="4"/>
        </w:tcPr>
        <w:p>
          <w:pPr>
            <w:pStyle w:val="HlavickaZlutyText"/>
            <w:jc w:val="righ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Důvodová zpráva</w:t>
          </w:r>
        </w:p>
      </w:tc>
      <w:tc>
        <w:tcPr>
          <w:tcW w:w="1000" w:type="pct"/>
        </w:tcPr>
        <w:p>
          <w:pPr>
            <w:pStyle w:val="Hlavicka"/>
            <w:jc w:val="righ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  <w:r>
            <w:t>Uzavřená verze: 2025-0172-003-TVO</w:t>
          </w:r>
        </w:p>
      </w:tc>
    </w:tr>
  </w:tbl>
  <w:p>
    <w:pPr>
      <w:pStyle w:val="Hlavic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9406"/>
    </w:tblGrid>
    <w:tr>
      <w:tblPrEx>
        <w:tblW w:w="5000" w:type="pct"/>
      </w:tblPrEx>
      <w:tc>
        <w:tcPr/>
        <w:p>
          <w:pPr>
            <w:pStyle w:val="HlavickaZlutyText"/>
            <w:jc w:val="right"/>
          </w:pPr>
        </w:p>
      </w:tc>
    </w:tr>
    <w:tr>
      <w:tblPrEx>
        <w:tblW w:w="5000" w:type="pct"/>
      </w:tblPrEx>
      <w:tc>
        <w:tcPr/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lavicka">
    <w:name w:val="Hlavicka"/>
    <w:rPr>
      <w:i/>
      <w:sz w:val="20"/>
    </w:rPr>
  </w:style>
  <w:style w:type="paragraph" w:customStyle="1" w:styleId="HlavickaZlutyText">
    <w:name w:val="HlavickaZlutyText"/>
    <w:rPr>
      <w:i w:val="0"/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konec">
    <w:name w:val="Varianta_konec"/>
    <w:pPr>
      <w:pBdr>
        <w:bottom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start">
    <w:name w:val="Ucinnost_start"/>
    <w:pPr>
      <w:pBdr>
        <w:top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konec">
    <w:name w:val="Ucinnost_konec"/>
    <w:pPr>
      <w:pBdr>
        <w:bottom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Celex">
    <w:name w:val="Celex"/>
    <w:pPr>
      <w:spacing w:before="120" w:after="120"/>
      <w:jc w:val="left"/>
    </w:pPr>
    <w:rPr>
      <w:rFonts w:ascii="Times New Roman" w:eastAsia="Times New Roman" w:hAnsi="Times New Roman" w:cs="Times New Roman"/>
      <w:i/>
      <w:sz w:val="20"/>
    </w:rPr>
  </w:style>
  <w:style w:type="paragraph" w:customStyle="1" w:styleId="Pripominkystart">
    <w:name w:val="Pripominky_start"/>
    <w:pPr>
      <w:pBdr>
        <w:top w:val="single" w:sz="8" w:space="0" w:color="87CEFA"/>
      </w:pBdr>
      <w:spacing w:before="0" w:after="10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">
    <w:name w:val="1"/>
    <w:pPr>
      <w:spacing w:before="11" w:after="0"/>
      <w:ind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2">
    <w:name w:val="2"/>
    <w:pPr>
      <w:spacing w:before="0" w:after="340"/>
      <w:ind w:left="680" w:right="680"/>
      <w:jc w:val="center"/>
    </w:pPr>
    <w:rPr>
      <w:rFonts w:ascii="Times New Roman" w:eastAsia="Times New Roman" w:hAnsi="Times New Roman" w:cs="Times New Roman"/>
      <w:b/>
      <w:sz w:val="44"/>
    </w:rPr>
  </w:style>
  <w:style w:type="paragraph" w:customStyle="1" w:styleId="3">
    <w:name w:val="3"/>
    <w:pPr>
      <w:spacing w:before="340" w:after="113"/>
      <w:ind w:left="850" w:right="850"/>
      <w:jc w:val="center"/>
    </w:pPr>
    <w:rPr>
      <w:rFonts w:ascii="Times New Roman" w:eastAsia="Times New Roman" w:hAnsi="Times New Roman" w:cs="Times New Roman"/>
      <w:b/>
      <w:sz w:val="34"/>
    </w:rPr>
  </w:style>
  <w:style w:type="paragraph" w:customStyle="1" w:styleId="4">
    <w:name w:val="4"/>
    <w:pPr>
      <w:spacing w:before="510" w:after="0"/>
      <w:ind w:left="850" w:right="85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5">
    <w:name w:val="5"/>
    <w:pPr>
      <w:overflowPunct/>
      <w:spacing w:before="283" w:after="113"/>
      <w:ind w:left="340" w:right="0" w:hanging="340"/>
      <w:jc w:val="left"/>
    </w:pPr>
    <w:rPr>
      <w:rFonts w:ascii="Times New Roman" w:eastAsia="Times New Roman" w:hAnsi="Times New Roman" w:cs="Times New Roman"/>
      <w:b/>
      <w:sz w:val="26"/>
    </w:rPr>
  </w:style>
  <w:style w:type="paragraph" w:customStyle="1" w:styleId="Varianta5start">
    <w:name w:val="Varianta_5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5konec">
    <w:name w:val="Varianta_5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5start">
    <w:name w:val="Ucinnost_5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5konec">
    <w:name w:val="Ucinnost_5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5start">
    <w:name w:val="Pripominky_5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6">
    <w:name w:val="6"/>
    <w:pPr>
      <w:spacing w:before="0" w:after="57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7">
    <w:name w:val="7"/>
    <w:pPr>
      <w:overflowPunct/>
      <w:spacing w:before="0" w:after="57"/>
      <w:ind w:left="510" w:right="0" w:hanging="283"/>
      <w:jc w:val="left"/>
    </w:pPr>
    <w:rPr>
      <w:rFonts w:ascii="Times New Roman" w:eastAsia="Times New Roman" w:hAnsi="Times New Roman" w:cs="Times New Roman"/>
      <w:sz w:val="24"/>
    </w:rPr>
  </w:style>
  <w:style w:type="paragraph" w:customStyle="1" w:styleId="Varianta7start">
    <w:name w:val="Varianta_7_start"/>
    <w:pPr>
      <w:pBdr>
        <w:top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7konec">
    <w:name w:val="Varianta_7_konec"/>
    <w:pPr>
      <w:pBdr>
        <w:bottom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7start">
    <w:name w:val="Ucinnost_7_start"/>
    <w:pPr>
      <w:pBdr>
        <w:top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7konec">
    <w:name w:val="Ucinnost_7_konec"/>
    <w:pPr>
      <w:pBdr>
        <w:bottom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7start">
    <w:name w:val="Pripominky_7_start"/>
    <w:pPr>
      <w:pBdr>
        <w:top w:val="single" w:sz="8" w:space="0" w:color="87CEFA"/>
      </w:pBdr>
      <w:spacing w:before="0" w:after="100"/>
      <w:ind w:left="51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8">
    <w:name w:val="8"/>
    <w:pPr>
      <w:overflowPunct/>
      <w:spacing w:before="57" w:after="57"/>
      <w:ind w:left="510" w:right="0" w:hanging="283"/>
      <w:jc w:val="left"/>
    </w:pPr>
    <w:rPr>
      <w:rFonts w:ascii="Times New Roman" w:eastAsia="Times New Roman" w:hAnsi="Times New Roman" w:cs="Times New Roman"/>
      <w:sz w:val="24"/>
    </w:rPr>
  </w:style>
  <w:style w:type="paragraph" w:customStyle="1" w:styleId="Varianta8start">
    <w:name w:val="Varianta_8_start"/>
    <w:pPr>
      <w:pBdr>
        <w:top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8konec">
    <w:name w:val="Varianta_8_konec"/>
    <w:pPr>
      <w:pBdr>
        <w:bottom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8start">
    <w:name w:val="Ucinnost_8_start"/>
    <w:pPr>
      <w:pBdr>
        <w:top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8konec">
    <w:name w:val="Ucinnost_8_konec"/>
    <w:pPr>
      <w:pBdr>
        <w:bottom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8start">
    <w:name w:val="Pripominky_8_start"/>
    <w:pPr>
      <w:pBdr>
        <w:top w:val="single" w:sz="8" w:space="0" w:color="87CEFA"/>
      </w:pBdr>
      <w:spacing w:before="0" w:after="100"/>
      <w:ind w:left="51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9">
    <w:name w:val="9"/>
    <w:pPr>
      <w:overflowPunct/>
      <w:spacing w:before="57" w:after="113"/>
      <w:ind w:left="510" w:right="0" w:hanging="283"/>
      <w:jc w:val="left"/>
    </w:pPr>
    <w:rPr>
      <w:rFonts w:ascii="Times New Roman" w:eastAsia="Times New Roman" w:hAnsi="Times New Roman" w:cs="Times New Roman"/>
      <w:sz w:val="24"/>
    </w:rPr>
  </w:style>
  <w:style w:type="paragraph" w:customStyle="1" w:styleId="Varianta9start">
    <w:name w:val="Varianta_9_start"/>
    <w:pPr>
      <w:pBdr>
        <w:top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9konec">
    <w:name w:val="Varianta_9_konec"/>
    <w:pPr>
      <w:pBdr>
        <w:bottom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9start">
    <w:name w:val="Ucinnost_9_start"/>
    <w:pPr>
      <w:pBdr>
        <w:top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9konec">
    <w:name w:val="Ucinnost_9_konec"/>
    <w:pPr>
      <w:pBdr>
        <w:bottom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9start">
    <w:name w:val="Pripominky_9_start"/>
    <w:pPr>
      <w:pBdr>
        <w:top w:val="single" w:sz="8" w:space="0" w:color="87CEFA"/>
      </w:pBdr>
      <w:spacing w:before="0" w:after="100"/>
      <w:ind w:left="51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0">
    <w:name w:val="10"/>
    <w:pPr>
      <w:spacing w:before="170" w:after="0"/>
      <w:ind w:left="850" w:right="85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11">
    <w:name w:val="11"/>
    <w:pPr>
      <w:spacing w:before="57" w:after="0"/>
      <w:ind w:right="0"/>
      <w:jc w:val="left"/>
    </w:pPr>
    <w:rPr>
      <w:rFonts w:ascii="Times New Roman" w:eastAsia="Times New Roman" w:hAnsi="Times New Roman" w:cs="Times New Roman"/>
      <w:b/>
      <w:sz w:val="28"/>
    </w:rPr>
  </w:style>
  <w:style w:type="paragraph" w:customStyle="1" w:styleId="12">
    <w:name w:val="12"/>
    <w:pPr>
      <w:spacing w:before="0" w:after="113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13">
    <w:name w:val="13"/>
    <w:pPr>
      <w:spacing w:before="113" w:after="57"/>
      <w:ind w:right="0"/>
      <w:jc w:val="both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