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:rsidR="00A77B3E"/>
    <w:p w:rsidR="00A77B3E">
      <w:pPr>
        <w:pStyle w:val="1"/>
      </w:pPr>
    </w:p>
    <w:p w:rsidR="00A77B3E">
      <w:pPr>
        <w:pStyle w:val="1"/>
      </w:pPr>
    </w:p>
    <w:p w:rsidR="00A77B3E">
      <w:pPr>
        <w:pStyle w:val="2"/>
      </w:pPr>
      <w:r>
        <w:t>…</w:t>
      </w:r>
    </w:p>
    <w:p w:rsidR="00A77B3E">
      <w:pPr>
        <w:pStyle w:val="3"/>
      </w:pPr>
      <w:r>
        <w:t>VYHLÁŠKA</w:t>
      </w:r>
    </w:p>
    <w:p w:rsidR="00A77B3E">
      <w:pPr>
        <w:pStyle w:val="4"/>
      </w:pPr>
      <w:r>
        <w:t xml:space="preserve">ze dne …, </w:t>
      </w:r>
    </w:p>
    <w:p w:rsidR="00A77B3E">
      <w:pPr>
        <w:pStyle w:val="5"/>
      </w:pPr>
      <w:r>
        <w:t>kterou se mění vyhláška č. 518/2004 Sb., kterou se provádí zákon č. 435/2004 Sb., o zaměstnanosti</w:t>
      </w:r>
    </w:p>
    <w:p w:rsidR="00A77B3E">
      <w:pPr>
        <w:pStyle w:val="6"/>
      </w:pPr>
      <w:r>
        <w:t>Ministerstvo práce a sociálních věcí stanoví podle § 77 odst. 1, § 78 odst. 10, § 81 odst. 6 a § 119 odst. 6 zákona č. 435/2004 Sb., o zaměstnanosti, (dále jen „zákon“):</w:t>
      </w:r>
    </w:p>
    <w:p w:rsidR="00A77B3E">
      <w:pPr>
        <w:pStyle w:val="1"/>
      </w:pPr>
    </w:p>
    <w:p w:rsidR="00A77B3E">
      <w:pPr>
        <w:pStyle w:val="7"/>
      </w:pPr>
      <w:r>
        <w:t>Čl. I</w:t>
      </w:r>
    </w:p>
    <w:p w:rsidR="00A77B3E">
      <w:pPr>
        <w:pStyle w:val="8"/>
      </w:pPr>
      <w:r>
        <w:t>Vyhláška č. 518/2004 Sb., kterou se provádí zákon č. 435/2004 Sb., o zaměstnanosti, ve znění vyhlášky č. 507/2005 Sb., vyhlášky č. 452/2008 Sb., vyhlášky č. 390/2011 Sb., vyhlášky č. 340/2014 Sb., vyhlášky č. 101/2016 Sb., vyhlášky č. 444/2017 Sb., vyhlášky č. 441/2021 Sb. a vyhlášky č. 473/2024 Sb., se mění takto:</w:t>
      </w:r>
    </w:p>
    <w:p w:rsidR="00A77B3E">
      <w:pPr>
        <w:pStyle w:val="9"/>
      </w:pPr>
      <w:r>
        <w:t>1.</w:t>
      </w:r>
      <w:r>
        <w:t>   V úvodní větě se slova „§ 78 odst. 9“ nahrazují slovy „§ 78 odst. 10“, slova „§ 81 odst. 5“ se nahrazují slovy „§ 81 odst. 6“, slova „, § 119 odst. 6“ se zrušují a slova „§ 130“ se nahrazují slovy „§ 119 odst. 6“.</w:t>
      </w:r>
    </w:p>
    <w:p w:rsidR="00A77B3E">
      <w:pPr>
        <w:pStyle w:val="10"/>
      </w:pPr>
      <w:r>
        <w:t>2.</w:t>
      </w:r>
      <w:r>
        <w:t>   V § 8 odst. 2 se za slovo „78a“ vkládají slova „až 78e“.</w:t>
      </w:r>
    </w:p>
    <w:p w:rsidR="00A77B3E">
      <w:pPr>
        <w:pStyle w:val="11"/>
      </w:pPr>
      <w:r>
        <w:t>3.</w:t>
      </w:r>
      <w:r>
        <w:t>   V části třetí odkaz zní:</w:t>
      </w:r>
    </w:p>
    <w:p w:rsidR="00A77B3E">
      <w:pPr>
        <w:pStyle w:val="12"/>
      </w:pPr>
    </w:p>
    <w:p w:rsidR="00A77B3E">
      <w:pPr>
        <w:pStyle w:val="13"/>
      </w:pPr>
      <w:r>
        <w:t>„(K § 78 odst. 10 zákona)“.</w:t>
      </w:r>
    </w:p>
    <w:p w:rsidR="00A77B3E">
      <w:pPr>
        <w:pStyle w:val="9"/>
      </w:pPr>
      <w:r>
        <w:t>4.</w:t>
      </w:r>
      <w:r>
        <w:t>   V § 11 odst. 2 písm. d) se slova „nebo mu podle § 192 odst. 1 část věty druhé za středníkem zákoníku práce náhrada mzdy nebo platu nepřísluší“ zrušují.</w:t>
      </w:r>
    </w:p>
    <w:p w:rsidR="00A77B3E">
      <w:pPr>
        <w:pStyle w:val="10"/>
      </w:pPr>
      <w:r>
        <w:t>5.</w:t>
      </w:r>
      <w:r>
        <w:t>   V § 15 odst. 2 písm. d) se slova „nebo mu podle § 192 odst. 1 část věty druhé za středníkem zákoníku práce náhrada mzdy nebo platu nepřísluší“ zrušují.</w:t>
      </w:r>
    </w:p>
    <w:p w:rsidR="00A77B3E">
      <w:pPr>
        <w:pStyle w:val="10"/>
      </w:pPr>
      <w:r>
        <w:t>6.</w:t>
      </w:r>
      <w:r>
        <w:t>   V § 18a se slova „Zaměstnavatelé a“ nahrazují slovem „Zaměstnavatelé,“ a za slovo „činné“ se vkládají slova „a integrační sociální podniky“.</w:t>
      </w:r>
    </w:p>
    <w:p w:rsidR="00A77B3E">
      <w:pPr>
        <w:pStyle w:val="10"/>
      </w:pPr>
      <w:r>
        <w:t>7.</w:t>
      </w:r>
      <w:r>
        <w:t>   V § 24 a § 26 se slovo „vyplacených“ zrušuje.</w:t>
      </w:r>
    </w:p>
    <w:p w:rsidR="00A77B3E">
      <w:pPr>
        <w:pStyle w:val="11"/>
      </w:pPr>
      <w:r>
        <w:t>8.</w:t>
      </w:r>
      <w:r>
        <w:t>   V § 24 a § 26 se na konci textu doplňují slova „. Zaměstnavatel předkládá vyúčtování mzdových nákladů prostřednictvím jednotného měsíčního hlášení“.</w:t>
      </w:r>
    </w:p>
    <w:p w:rsidR="00A77B3E">
      <w:pPr>
        <w:pStyle w:val="7"/>
      </w:pPr>
      <w:r>
        <w:t>Čl. II</w:t>
      </w:r>
    </w:p>
    <w:p w:rsidR="00A77B3E">
      <w:pPr>
        <w:pStyle w:val="14"/>
      </w:pPr>
      <w:r>
        <w:t>Přechodné ustanovení</w:t>
      </w:r>
    </w:p>
    <w:p w:rsidR="00A77B3E">
      <w:pPr>
        <w:pStyle w:val="1"/>
      </w:pPr>
    </w:p>
    <w:p w:rsidR="00A77B3E">
      <w:pPr>
        <w:pStyle w:val="15"/>
      </w:pPr>
      <w:r>
        <w:t>1.</w:t>
      </w:r>
      <w:r>
        <w:t>   Na formu a způsob poskytnutí příspěvku na základě dohody o poskytnutí příspěvku na vytvoření pracovní příležitosti v rámci veřejně prospěšných prací nebo na základě dohody o poskytnutí příspěvku na společensky účelné pracovní místo, které zaměstnavatel vyhradil pro konkrétního uchazeče o zaměstnání, uzavřené přede dnem nabytí účinnosti této vyhlášky, se vztahuje vyhláška č. 518/2004 Sb., ve znění účinném přede dnem nabytí účinnosti této vyhlášky.</w:t>
      </w:r>
    </w:p>
    <w:p w:rsidR="00A77B3E">
      <w:pPr>
        <w:pStyle w:val="7"/>
      </w:pPr>
      <w:r>
        <w:t>Čl. III</w:t>
      </w:r>
    </w:p>
    <w:p w:rsidR="00A77B3E">
      <w:pPr>
        <w:pStyle w:val="14"/>
      </w:pPr>
      <w:r>
        <w:t>Účinnost</w:t>
      </w:r>
    </w:p>
    <w:p w:rsidR="00A77B3E">
      <w:pPr>
        <w:pStyle w:val="1"/>
      </w:pPr>
    </w:p>
    <w:p w:rsidR="00A77B3E">
      <w:pPr>
        <w:pStyle w:val="8"/>
      </w:pPr>
      <w:r>
        <w:t>Tato vyhláška nabývá účinnosti dnem 1. července 2026.</w:t>
      </w:r>
    </w:p>
    <w:p w:rsidR="00A77B3E">
      <w:pPr>
        <w:pStyle w:val="1"/>
      </w:pPr>
    </w:p>
    <w:sectPr>
      <w:headerReference w:type="even" r:id="rId4"/>
      <w:headerReference w:type="default" r:id="rId5"/>
      <w:headerReference w:type="first" r:id="rId6"/>
      <w:pgSz w:w="12240" w:h="15840"/>
      <w:pgMar w:top="1417" w:right="1417" w:bottom="1417" w:left="1417" w:header="400" w:footer="708" w:gutter="0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gridSpan w:val="4"/>
        </w:tcPr>
        <w:p>
          <w:pPr>
            <w:pStyle w:val="HlavickaZlutyText"/>
            <w:jc w:val="lef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  <w:r>
            <w:t>Uzavřená verze: 2025-0219-002-TVO</w:t>
          </w: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tcW w:w="2500" w:type="pct"/>
          <w:gridSpan w:val="4"/>
        </w:tcPr>
        <w:p>
          <w:pPr>
            <w:pStyle w:val="HlavickaZlutyText"/>
            <w:jc w:val="righ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  <w:r>
            <w:t>Uzavřená verze: 2025-0219-002-TVO</w:t>
          </w:r>
        </w:p>
      </w:tc>
    </w:tr>
  </w:tbl>
  <w:p>
    <w:pPr>
      <w:pStyle w:val="Hlavic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9406"/>
    </w:tblGrid>
    <w:tr>
      <w:tblPrEx>
        <w:tblW w:w="5000" w:type="pct"/>
      </w:tblPrEx>
      <w:tc>
        <w:tcPr/>
        <w:p>
          <w:pPr>
            <w:pStyle w:val="HlavickaZlutyText"/>
            <w:jc w:val="right"/>
          </w:pPr>
        </w:p>
      </w:tc>
    </w:tr>
    <w:tr>
      <w:tblPrEx>
        <w:tblW w:w="5000" w:type="pct"/>
      </w:tblPrEx>
      <w:tc>
        <w:tcPr/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lavicka">
    <w:name w:val="Hlavicka"/>
    <w:rPr>
      <w:i/>
      <w:sz w:val="20"/>
    </w:rPr>
  </w:style>
  <w:style w:type="paragraph" w:customStyle="1" w:styleId="HlavickaZlutyText">
    <w:name w:val="HlavickaZlutyText"/>
    <w:rPr>
      <w:i w:val="0"/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konec">
    <w:name w:val="Varianta_konec"/>
    <w:pPr>
      <w:pBdr>
        <w:bottom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start">
    <w:name w:val="Ucinnost_start"/>
    <w:pPr>
      <w:pBdr>
        <w:top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konec">
    <w:name w:val="Ucinnost_konec"/>
    <w:pPr>
      <w:pBdr>
        <w:bottom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Celex">
    <w:name w:val="Celex"/>
    <w:pPr>
      <w:spacing w:before="120" w:after="120"/>
      <w:jc w:val="left"/>
    </w:pPr>
    <w:rPr>
      <w:rFonts w:ascii="Times New Roman" w:eastAsia="Times New Roman" w:hAnsi="Times New Roman" w:cs="Times New Roman"/>
      <w:i/>
      <w:sz w:val="20"/>
    </w:rPr>
  </w:style>
  <w:style w:type="paragraph" w:customStyle="1" w:styleId="Pripominkystart">
    <w:name w:val="Pripominky_start"/>
    <w:pPr>
      <w:pBdr>
        <w:top w:val="single" w:sz="8" w:space="0" w:color="87CEFA"/>
      </w:pBdr>
      <w:spacing w:before="0" w:after="10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">
    <w:name w:val="1"/>
    <w:pPr>
      <w:spacing w:before="11" w:after="0"/>
      <w:ind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2">
    <w:name w:val="2"/>
    <w:pPr>
      <w:spacing w:before="57" w:after="227"/>
      <w:ind w:right="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3">
    <w:name w:val="3"/>
    <w:pPr>
      <w:spacing w:before="0" w:after="0"/>
      <w:ind w:left="680" w:right="6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4">
    <w:name w:val="4"/>
    <w:pPr>
      <w:spacing w:before="0" w:after="170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5">
    <w:name w:val="5"/>
    <w:pPr>
      <w:spacing w:before="340" w:after="113"/>
      <w:ind w:left="850" w:right="850"/>
      <w:jc w:val="center"/>
    </w:pPr>
    <w:rPr>
      <w:rFonts w:ascii="Times New Roman" w:eastAsia="Times New Roman" w:hAnsi="Times New Roman" w:cs="Times New Roman"/>
      <w:b/>
      <w:sz w:val="34"/>
    </w:rPr>
  </w:style>
  <w:style w:type="paragraph" w:customStyle="1" w:styleId="6">
    <w:name w:val="6"/>
    <w:pPr>
      <w:spacing w:before="283" w:after="340"/>
      <w:ind w:right="0"/>
      <w:jc w:val="left"/>
    </w:pPr>
    <w:rPr>
      <w:rFonts w:ascii="Times New Roman" w:eastAsia="Times New Roman" w:hAnsi="Times New Roman" w:cs="Times New Roman"/>
      <w:sz w:val="30"/>
    </w:rPr>
  </w:style>
  <w:style w:type="paragraph" w:customStyle="1" w:styleId="7">
    <w:name w:val="7"/>
    <w:pPr>
      <w:overflowPunct/>
      <w:spacing w:before="227" w:after="113"/>
      <w:ind w:left="0" w:right="0" w:firstLine="0"/>
      <w:jc w:val="center"/>
    </w:pPr>
    <w:rPr>
      <w:rFonts w:ascii="Times New Roman" w:eastAsia="Times New Roman" w:hAnsi="Times New Roman" w:cs="Times New Roman"/>
      <w:sz w:val="28"/>
    </w:rPr>
  </w:style>
  <w:style w:type="paragraph" w:customStyle="1" w:styleId="8">
    <w:name w:val="8"/>
    <w:pPr>
      <w:spacing w:before="0" w:after="57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9">
    <w:name w:val="9"/>
    <w:pPr>
      <w:overflowPunct/>
      <w:spacing w:before="0" w:after="28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9start">
    <w:name w:val="Varianta_9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9konec">
    <w:name w:val="Varianta_9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9start">
    <w:name w:val="Ucinnost_9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9konec">
    <w:name w:val="Ucinnost_9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9start">
    <w:name w:val="Pripominky_9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0">
    <w:name w:val="10"/>
    <w:pPr>
      <w:overflowPunct/>
      <w:spacing w:before="28" w:after="28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0start">
    <w:name w:val="Varianta_10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0konec">
    <w:name w:val="Varianta_10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0start">
    <w:name w:val="Ucinnost_10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0konec">
    <w:name w:val="Ucinnost_10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0start">
    <w:name w:val="Pripominky_10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1">
    <w:name w:val="11"/>
    <w:pPr>
      <w:overflowPunct/>
      <w:spacing w:before="28" w:after="113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1start">
    <w:name w:val="Varianta_11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1konec">
    <w:name w:val="Varianta_11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1start">
    <w:name w:val="Ucinnost_11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1konec">
    <w:name w:val="Ucinnost_11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1start">
    <w:name w:val="Pripominky_11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2">
    <w:name w:val="12"/>
    <w:pPr>
      <w:spacing w:before="0" w:after="0"/>
      <w:ind w:left="680"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13">
    <w:name w:val="13"/>
    <w:pPr>
      <w:spacing w:before="0" w:after="170"/>
      <w:ind w:left="1531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14">
    <w:name w:val="14"/>
    <w:pPr>
      <w:spacing w:before="0" w:after="57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15">
    <w:name w:val="15"/>
    <w:pPr>
      <w:overflowPunct/>
      <w:spacing w:before="0" w:after="113"/>
      <w:ind w:left="623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5start">
    <w:name w:val="Varianta_15_start"/>
    <w:pPr>
      <w:pBdr>
        <w:top w:val="single" w:sz="8" w:space="0" w:color="800080"/>
      </w:pBdr>
      <w:spacing w:before="0" w:after="100"/>
      <w:ind w:left="623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5konec">
    <w:name w:val="Varianta_15_konec"/>
    <w:pPr>
      <w:pBdr>
        <w:bottom w:val="single" w:sz="8" w:space="0" w:color="800080"/>
      </w:pBdr>
      <w:spacing w:before="0" w:after="100"/>
      <w:ind w:left="623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5start">
    <w:name w:val="Ucinnost_15_start"/>
    <w:pPr>
      <w:pBdr>
        <w:top w:val="single" w:sz="8" w:space="0" w:color="8B0000"/>
      </w:pBdr>
      <w:spacing w:before="0" w:after="100"/>
      <w:ind w:left="623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5konec">
    <w:name w:val="Ucinnost_15_konec"/>
    <w:pPr>
      <w:pBdr>
        <w:bottom w:val="single" w:sz="8" w:space="0" w:color="8B0000"/>
      </w:pBdr>
      <w:spacing w:before="0" w:after="100"/>
      <w:ind w:left="623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5start">
    <w:name w:val="Pripominky_15_start"/>
    <w:pPr>
      <w:pBdr>
        <w:top w:val="single" w:sz="8" w:space="0" w:color="87CEFA"/>
      </w:pBdr>
      <w:spacing w:before="0" w:after="100"/>
      <w:ind w:left="623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