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A850F" w14:textId="1AFBCF6B" w:rsidR="00F3100D" w:rsidRPr="00F3100D" w:rsidRDefault="00705BFA" w:rsidP="00F3100D">
      <w:r>
        <w:rPr>
          <w:rFonts w:cstheme="minorHAnsi"/>
          <w:noProof/>
        </w:rPr>
        <w:drawing>
          <wp:anchor distT="0" distB="0" distL="114300" distR="114300" simplePos="0" relativeHeight="251661312" behindDoc="0" locked="0" layoutInCell="1" allowOverlap="1" wp14:anchorId="49510EBE" wp14:editId="4CF78874">
            <wp:simplePos x="0" y="0"/>
            <wp:positionH relativeFrom="column">
              <wp:posOffset>3834130</wp:posOffset>
            </wp:positionH>
            <wp:positionV relativeFrom="paragraph">
              <wp:posOffset>129038</wp:posOffset>
            </wp:positionV>
            <wp:extent cx="1808328" cy="791970"/>
            <wp:effectExtent l="0" t="0" r="0" b="0"/>
            <wp:wrapSquare wrapText="bothSides"/>
            <wp:docPr id="1630171140" name="Obrázek 1" descr="Obsah obrázku Grafika, Písmo, snímek obrazovky, grafický design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171140" name="Obrázek 1" descr="Obsah obrázku Grafika, Písmo, snímek obrazovky, grafický design&#10;&#10;Obsah vygenerovaný umělou inteligencí může být nesprávný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8328" cy="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3100D" w:rsidRPr="00952783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20BEFA29" wp14:editId="03BE17CF">
            <wp:simplePos x="0" y="0"/>
            <wp:positionH relativeFrom="column">
              <wp:posOffset>0</wp:posOffset>
            </wp:positionH>
            <wp:positionV relativeFrom="paragraph">
              <wp:posOffset>57150</wp:posOffset>
            </wp:positionV>
            <wp:extent cx="3209925" cy="909955"/>
            <wp:effectExtent l="0" t="0" r="0" b="0"/>
            <wp:wrapSquare wrapText="bothSides"/>
            <wp:docPr id="740405735" name="Obrázek 2" descr="Obsah obrázku text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405735" name="Obrázek 2" descr="Obsah obrázku text&#10;&#10;Popis byl vytvořen automaticky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4E5599" w14:textId="77777777" w:rsidR="0084588A" w:rsidRDefault="0084588A" w:rsidP="00F3100D">
      <w:pPr>
        <w:spacing w:after="0"/>
        <w:jc w:val="center"/>
        <w:rPr>
          <w:rFonts w:ascii="Arial" w:hAnsi="Arial" w:cs="Arial"/>
          <w:b/>
          <w:bCs/>
          <w:color w:val="0000FF"/>
          <w:sz w:val="32"/>
          <w:szCs w:val="32"/>
        </w:rPr>
      </w:pPr>
    </w:p>
    <w:p w14:paraId="4AC9ABF3" w14:textId="77777777" w:rsidR="00E676C2" w:rsidRDefault="00E676C2" w:rsidP="00F3100D">
      <w:pPr>
        <w:spacing w:after="0"/>
        <w:jc w:val="center"/>
        <w:rPr>
          <w:rFonts w:ascii="Arial" w:hAnsi="Arial" w:cs="Arial"/>
          <w:b/>
          <w:bCs/>
          <w:color w:val="0000FF"/>
          <w:sz w:val="32"/>
          <w:szCs w:val="32"/>
        </w:rPr>
      </w:pPr>
    </w:p>
    <w:p w14:paraId="7FF82149" w14:textId="77777777" w:rsidR="00E676C2" w:rsidRDefault="00E676C2" w:rsidP="00F3100D">
      <w:pPr>
        <w:spacing w:after="0"/>
        <w:jc w:val="center"/>
        <w:rPr>
          <w:rFonts w:ascii="Arial" w:hAnsi="Arial" w:cs="Arial"/>
          <w:b/>
          <w:bCs/>
          <w:color w:val="0000FF"/>
          <w:sz w:val="32"/>
          <w:szCs w:val="32"/>
        </w:rPr>
      </w:pPr>
    </w:p>
    <w:p w14:paraId="4AC35748" w14:textId="77777777" w:rsidR="00E676C2" w:rsidRDefault="00E676C2" w:rsidP="00F3100D">
      <w:pPr>
        <w:spacing w:after="0"/>
        <w:jc w:val="center"/>
        <w:rPr>
          <w:rFonts w:ascii="Arial" w:hAnsi="Arial" w:cs="Arial"/>
          <w:b/>
          <w:bCs/>
          <w:color w:val="0000FF"/>
          <w:sz w:val="32"/>
          <w:szCs w:val="32"/>
        </w:rPr>
      </w:pPr>
    </w:p>
    <w:p w14:paraId="72A69E8C" w14:textId="77777777" w:rsidR="0077704E" w:rsidRPr="003D4833" w:rsidRDefault="0077704E" w:rsidP="0077704E">
      <w:pPr>
        <w:spacing w:after="0"/>
        <w:jc w:val="center"/>
        <w:rPr>
          <w:b/>
          <w:bCs/>
          <w:color w:val="0000FF"/>
          <w:sz w:val="32"/>
          <w:szCs w:val="32"/>
        </w:rPr>
      </w:pPr>
      <w:r w:rsidRPr="003D4833">
        <w:rPr>
          <w:b/>
          <w:bCs/>
          <w:color w:val="0000FF"/>
          <w:sz w:val="32"/>
          <w:szCs w:val="32"/>
        </w:rPr>
        <w:t>Transformace podnikání:</w:t>
      </w:r>
    </w:p>
    <w:p w14:paraId="51C7A4AD" w14:textId="740B60FF" w:rsidR="0077704E" w:rsidRPr="003D4833" w:rsidRDefault="00AD5B10" w:rsidP="0077704E">
      <w:pPr>
        <w:spacing w:after="0"/>
        <w:jc w:val="center"/>
        <w:rPr>
          <w:b/>
          <w:bCs/>
          <w:color w:val="0000FF"/>
          <w:sz w:val="32"/>
          <w:szCs w:val="32"/>
        </w:rPr>
      </w:pPr>
      <w:r>
        <w:rPr>
          <w:b/>
          <w:bCs/>
          <w:color w:val="0000FF"/>
          <w:sz w:val="32"/>
          <w:szCs w:val="32"/>
        </w:rPr>
        <w:t xml:space="preserve">České firmy ztrácejí schopnost reagovat na změny. </w:t>
      </w:r>
      <w:r>
        <w:rPr>
          <w:b/>
          <w:bCs/>
          <w:color w:val="0000FF"/>
          <w:sz w:val="32"/>
          <w:szCs w:val="32"/>
        </w:rPr>
        <w:br/>
        <w:t>MSP však dokazují, že umí být rychlé, pokud jim stát přestane házet klacky pod nohy</w:t>
      </w:r>
    </w:p>
    <w:p w14:paraId="52F99C92" w14:textId="77777777" w:rsidR="00F3100D" w:rsidRPr="00B82C2E" w:rsidRDefault="00F3100D" w:rsidP="00F3100D">
      <w:pPr>
        <w:spacing w:after="0"/>
        <w:jc w:val="center"/>
        <w:rPr>
          <w:rFonts w:cs="Arial"/>
          <w:b/>
          <w:bCs/>
          <w:color w:val="0000FF"/>
        </w:rPr>
      </w:pPr>
    </w:p>
    <w:p w14:paraId="5481DDD8" w14:textId="3A8F520C" w:rsidR="00F3100D" w:rsidRPr="00B82C2E" w:rsidRDefault="00AD5B10" w:rsidP="00F3100D">
      <w:pPr>
        <w:shd w:val="clear" w:color="auto" w:fill="E8E8E8" w:themeFill="background2"/>
        <w:jc w:val="both"/>
        <w:rPr>
          <w:rFonts w:cs="Arial"/>
        </w:rPr>
      </w:pPr>
      <w:r w:rsidRPr="00AD5B10">
        <w:rPr>
          <w:rFonts w:cs="Arial"/>
          <w:b/>
          <w:bCs/>
        </w:rPr>
        <w:t>Praha, 3. prosince 2025:</w:t>
      </w:r>
      <w:r>
        <w:rPr>
          <w:rFonts w:cs="Arial"/>
        </w:rPr>
        <w:t xml:space="preserve"> Asociace malých a středních podniků a živnostníků (AMSP ČR) zveřejňuje výsledky průzkumu mezi českými malými a středními podniky (MSP), v letošním roce podruhé na téma transformace podnikání. Průzkum realizovala agentura IPSOS v listopadu 2025. Česká podnikatelská sféra vysílá jasné varování: transformace podnikatelského prostředí se zpomaluje a bez zásadních kroků státu hrozí další ztráta konkurenceschopnosti. Nejnovější výzkum IPSOS pro AMSP ČR ukazuje, že malé a střední podniky i přes stále náročnější podmínky prokazují mimořádnou odolnost a flexibilitu. Zároveň však čelí bariérám, které samy překonat nedokážou – zejména rostoucí administrativní zátěži, regulatorní nejistotě a dlouhodobému nedostatku lidí.</w:t>
      </w:r>
    </w:p>
    <w:p w14:paraId="5A606753" w14:textId="77777777" w:rsidR="00AD5B10" w:rsidRPr="00AD5B10" w:rsidRDefault="00AD5B10" w:rsidP="00AD5B10">
      <w:pPr>
        <w:jc w:val="both"/>
        <w:rPr>
          <w:rFonts w:cs="Arial"/>
        </w:rPr>
      </w:pPr>
      <w:r w:rsidRPr="00AD5B10">
        <w:rPr>
          <w:rFonts w:cs="Arial"/>
        </w:rPr>
        <w:t xml:space="preserve">Výzkum přináší několik povzbudivých zjištění. Více než polovina firem uvádí, že jejich </w:t>
      </w:r>
      <w:r w:rsidRPr="00AD5B10">
        <w:rPr>
          <w:rFonts w:cs="Arial"/>
          <w:b/>
          <w:bCs/>
        </w:rPr>
        <w:t>zaměstnanci jsou dnes lépe připraveni na technologické a tržní změny</w:t>
      </w:r>
      <w:r w:rsidRPr="00AD5B10">
        <w:rPr>
          <w:rFonts w:cs="Arial"/>
        </w:rPr>
        <w:t xml:space="preserve"> než v předchozí vlně šetření, což potvrzuje schopnost podniků rychle interně školit a adaptovat pracovní sílu. Silný posun je patrný také </w:t>
      </w:r>
      <w:r w:rsidRPr="00AD5B10">
        <w:rPr>
          <w:rFonts w:cs="Arial"/>
          <w:b/>
          <w:bCs/>
        </w:rPr>
        <w:t>v segmentu obchodu, kde firmy výrazně zrychlily digitalizaci</w:t>
      </w:r>
      <w:r w:rsidRPr="00AD5B10">
        <w:rPr>
          <w:rFonts w:cs="Arial"/>
        </w:rPr>
        <w:t xml:space="preserve"> procesů a staly se tahounem modernizace. Klesá rovněž počet firem, které uvádějí nedostatek financí jako hlavní bariéru rozvoje. Podniky tak nadále </w:t>
      </w:r>
      <w:r w:rsidRPr="00AD5B10">
        <w:rPr>
          <w:rFonts w:cs="Arial"/>
          <w:b/>
          <w:bCs/>
        </w:rPr>
        <w:t>dokazují svou odolnost</w:t>
      </w:r>
      <w:r w:rsidRPr="00AD5B10">
        <w:rPr>
          <w:rFonts w:cs="Arial"/>
        </w:rPr>
        <w:t xml:space="preserve">, nicméně vzhledem k omezené dostupnosti záruk a nejistým podmínkám se stále častěji </w:t>
      </w:r>
      <w:r w:rsidRPr="00AD5B10">
        <w:rPr>
          <w:rFonts w:cs="Arial"/>
          <w:b/>
          <w:bCs/>
        </w:rPr>
        <w:t>spoléhají na vlastní zdroje</w:t>
      </w:r>
      <w:r w:rsidRPr="00AD5B10">
        <w:rPr>
          <w:rFonts w:cs="Arial"/>
        </w:rPr>
        <w:t xml:space="preserve"> a investují až ve chvíli, kdy si na rozvoj našetří. Tento přístup snižuje riziko, ale zároveň výrazně </w:t>
      </w:r>
      <w:r w:rsidRPr="00AD5B10">
        <w:rPr>
          <w:rFonts w:cs="Arial"/>
          <w:b/>
          <w:bCs/>
        </w:rPr>
        <w:t>zpomaluje tempo růstu i celkové transformace</w:t>
      </w:r>
      <w:r w:rsidRPr="00AD5B10">
        <w:rPr>
          <w:rFonts w:cs="Arial"/>
        </w:rPr>
        <w:t>.</w:t>
      </w:r>
    </w:p>
    <w:p w14:paraId="3F68BA16" w14:textId="77777777" w:rsidR="00AD5B10" w:rsidRPr="00AD5B10" w:rsidRDefault="00AD5B10" w:rsidP="00AD5B10">
      <w:pPr>
        <w:jc w:val="both"/>
        <w:rPr>
          <w:rFonts w:cs="Arial"/>
        </w:rPr>
      </w:pPr>
      <w:r w:rsidRPr="00AD5B10">
        <w:rPr>
          <w:rFonts w:cs="Arial"/>
          <w:b/>
          <w:bCs/>
        </w:rPr>
        <w:t>Na straně bariér jsou však zjištění alarmující.</w:t>
      </w:r>
      <w:r w:rsidRPr="00AD5B10">
        <w:rPr>
          <w:rFonts w:cs="Arial"/>
        </w:rPr>
        <w:t xml:space="preserve"> Schopnost firem </w:t>
      </w:r>
      <w:r w:rsidRPr="00AD5B10">
        <w:rPr>
          <w:rFonts w:cs="Arial"/>
          <w:b/>
          <w:bCs/>
        </w:rPr>
        <w:t>reagovat na zásadní změny v odvětví klesla ze 72 na 61 procent,</w:t>
      </w:r>
      <w:r w:rsidRPr="00AD5B10">
        <w:rPr>
          <w:rFonts w:cs="Arial"/>
        </w:rPr>
        <w:t xml:space="preserve"> přičemž nejvýraznější pokles se týká podniků </w:t>
      </w:r>
      <w:r w:rsidRPr="00AD5B10">
        <w:rPr>
          <w:rFonts w:cs="Arial"/>
          <w:b/>
          <w:bCs/>
        </w:rPr>
        <w:t xml:space="preserve">ve výrobě a průmyslu, </w:t>
      </w:r>
      <w:r w:rsidRPr="00AD5B10">
        <w:rPr>
          <w:rFonts w:cs="Arial"/>
        </w:rPr>
        <w:t xml:space="preserve">tedy v sektorech, kde jsou adaptační procesy nejnákladnější. Největší překážkou zůstává </w:t>
      </w:r>
      <w:r w:rsidRPr="00AD5B10">
        <w:rPr>
          <w:rFonts w:cs="Arial"/>
          <w:b/>
          <w:bCs/>
        </w:rPr>
        <w:t>nedostatek kvalifikovaných pracovníků</w:t>
      </w:r>
      <w:r w:rsidRPr="00AD5B10">
        <w:rPr>
          <w:rFonts w:cs="Arial"/>
        </w:rPr>
        <w:t xml:space="preserve">, který se oproti minulému roku ještě </w:t>
      </w:r>
      <w:r w:rsidRPr="00AD5B10">
        <w:rPr>
          <w:rFonts w:cs="Arial"/>
          <w:b/>
          <w:bCs/>
        </w:rPr>
        <w:t>prohloubil</w:t>
      </w:r>
      <w:r w:rsidRPr="00AD5B10">
        <w:rPr>
          <w:rFonts w:cs="Arial"/>
        </w:rPr>
        <w:t xml:space="preserve">. Ještě </w:t>
      </w:r>
      <w:r w:rsidRPr="00AD5B10">
        <w:rPr>
          <w:rFonts w:cs="Arial"/>
          <w:b/>
          <w:bCs/>
        </w:rPr>
        <w:t>závažnějším problémem je však rostoucí administrativní a regulatorní zátěž</w:t>
      </w:r>
      <w:r w:rsidRPr="00AD5B10">
        <w:rPr>
          <w:rFonts w:cs="Arial"/>
        </w:rPr>
        <w:t xml:space="preserve">: podnikatelé hlásí vyšší míru nejistoty, nepřehledná pravidla a časové náklady, které brání rozvoji firem i jejich schopnosti investovat. Až 45 procent firem proto požaduje </w:t>
      </w:r>
      <w:r w:rsidRPr="00AD5B10">
        <w:rPr>
          <w:rFonts w:cs="Arial"/>
          <w:b/>
          <w:bCs/>
        </w:rPr>
        <w:t>okamžité snížení administrativní zátěže</w:t>
      </w:r>
      <w:r w:rsidRPr="00AD5B10">
        <w:rPr>
          <w:rFonts w:cs="Arial"/>
        </w:rPr>
        <w:t xml:space="preserve"> a zhruba polovina je přesvědčena, že právě tento krok by zásadně urychlil transformaci celého podnikatelského prostředí. </w:t>
      </w:r>
      <w:r w:rsidRPr="00AD5B10">
        <w:rPr>
          <w:rFonts w:cs="Arial"/>
          <w:b/>
          <w:bCs/>
        </w:rPr>
        <w:t>Výrazně roste také požadavek na zavedení editační povinnosti,</w:t>
      </w:r>
      <w:r w:rsidRPr="00AD5B10">
        <w:rPr>
          <w:rFonts w:cs="Arial"/>
        </w:rPr>
        <w:t xml:space="preserve"> která by zvýšila odpovědnost úřadů za jejich rozhodnutí a zajistila větší předvídatelnost.</w:t>
      </w:r>
    </w:p>
    <w:p w14:paraId="2FB7BD27" w14:textId="77777777" w:rsidR="00AD5B10" w:rsidRPr="00AD5B10" w:rsidRDefault="00AD5B10" w:rsidP="00AD5B10">
      <w:pPr>
        <w:jc w:val="both"/>
        <w:rPr>
          <w:rFonts w:cs="Arial"/>
        </w:rPr>
      </w:pPr>
      <w:r w:rsidRPr="00AD5B10">
        <w:rPr>
          <w:rFonts w:cs="Arial"/>
        </w:rPr>
        <w:lastRenderedPageBreak/>
        <w:t xml:space="preserve">Digitalizace a automatizace zůstávají klíčovými prioritami, přičemž robotizaci nyní jako hlavní oblast rozvoje označuje již polovina firem. Současně však </w:t>
      </w:r>
      <w:r w:rsidRPr="00AD5B10">
        <w:rPr>
          <w:rFonts w:cs="Arial"/>
          <w:b/>
          <w:bCs/>
        </w:rPr>
        <w:t>roste počet menších podniků, které investice do digitálních a automatizačních technologií neplánují,</w:t>
      </w:r>
      <w:r w:rsidRPr="00AD5B10">
        <w:rPr>
          <w:rFonts w:cs="Arial"/>
        </w:rPr>
        <w:t xml:space="preserve"> </w:t>
      </w:r>
      <w:r w:rsidRPr="00AD5B10">
        <w:rPr>
          <w:rFonts w:cs="Arial"/>
          <w:b/>
          <w:bCs/>
        </w:rPr>
        <w:t>protože v nich nevidí dostatečný přínos – jde o jedno z nejzávažnějších a nejpřekvapivějších zjištění výzkumu.</w:t>
      </w:r>
      <w:r w:rsidRPr="00AD5B10">
        <w:rPr>
          <w:rFonts w:cs="Arial"/>
        </w:rPr>
        <w:t xml:space="preserve"> Technologie typu virtuální a rozšířené reality ustupují do pozadí, zatímco firmy se zaměřují hlavně na </w:t>
      </w:r>
      <w:r w:rsidRPr="00AD5B10">
        <w:rPr>
          <w:rFonts w:cs="Arial"/>
          <w:b/>
          <w:bCs/>
        </w:rPr>
        <w:t>praktické inovace s okamžitým dopadem</w:t>
      </w:r>
      <w:r w:rsidRPr="00AD5B10">
        <w:rPr>
          <w:rFonts w:cs="Arial"/>
        </w:rPr>
        <w:t>.</w:t>
      </w:r>
    </w:p>
    <w:p w14:paraId="36E04EDF" w14:textId="77777777" w:rsidR="00AD5B10" w:rsidRPr="00AD5B10" w:rsidRDefault="00AD5B10" w:rsidP="00AD5B10">
      <w:pPr>
        <w:jc w:val="both"/>
        <w:rPr>
          <w:rFonts w:cs="Arial"/>
        </w:rPr>
      </w:pPr>
      <w:r w:rsidRPr="00AD5B10">
        <w:rPr>
          <w:rFonts w:cs="Arial"/>
          <w:b/>
          <w:bCs/>
        </w:rPr>
        <w:t>Transformace směrem k udržitelnosti se naopak zpomaluje</w:t>
      </w:r>
      <w:r w:rsidRPr="00AD5B10">
        <w:rPr>
          <w:rFonts w:cs="Arial"/>
        </w:rPr>
        <w:t xml:space="preserve">. Zájem firem o ekologičtější výrobu </w:t>
      </w:r>
      <w:r w:rsidRPr="00AD5B10">
        <w:rPr>
          <w:rFonts w:cs="Arial"/>
          <w:b/>
          <w:bCs/>
        </w:rPr>
        <w:t>klesl</w:t>
      </w:r>
      <w:r w:rsidRPr="00AD5B10">
        <w:rPr>
          <w:rFonts w:cs="Arial"/>
        </w:rPr>
        <w:t xml:space="preserve"> ze 13 na pouhých </w:t>
      </w:r>
      <w:r w:rsidRPr="00AD5B10">
        <w:rPr>
          <w:rFonts w:cs="Arial"/>
          <w:b/>
          <w:bCs/>
        </w:rPr>
        <w:t>5 procent</w:t>
      </w:r>
      <w:r w:rsidRPr="00AD5B10">
        <w:rPr>
          <w:rFonts w:cs="Arial"/>
        </w:rPr>
        <w:t xml:space="preserve"> a v sektoru </w:t>
      </w:r>
      <w:r w:rsidRPr="00AD5B10">
        <w:rPr>
          <w:rFonts w:cs="Arial"/>
          <w:b/>
          <w:bCs/>
        </w:rPr>
        <w:t>služeb tuto možnost nezvažuje ani jedna</w:t>
      </w:r>
      <w:r w:rsidRPr="00AD5B10">
        <w:rPr>
          <w:rFonts w:cs="Arial"/>
        </w:rPr>
        <w:t xml:space="preserve"> společnost. I zde sehrává roli nedostatek finančních a personálních kapacit, stejně jako administrativní složitost opatření, která mají vést k energetickým úsporám nebo ekologickým investicím.</w:t>
      </w:r>
    </w:p>
    <w:p w14:paraId="563E8259" w14:textId="25F41BAA" w:rsidR="00AD5B10" w:rsidRDefault="00AD5B10" w:rsidP="00AD5B10">
      <w:pPr>
        <w:jc w:val="both"/>
        <w:rPr>
          <w:rFonts w:cs="Arial"/>
        </w:rPr>
      </w:pPr>
      <w:r w:rsidRPr="00AD5B10">
        <w:rPr>
          <w:rFonts w:cs="Arial"/>
          <w:i/>
          <w:iCs/>
        </w:rPr>
        <w:t>„Firmy dělají maximum. Digitalizují, školí své lidi a dokazují, že i v náročné době umí být rychlé a flexibilní. Jenže stát jim práci systematicky komplikuje. Administrativní a regulatorní zátěž narostla do té míry, že brzdí celou transformaci a snižuje konkurenceschopnost. Podnikatelé už nemají prostor dál nahrazovat nefunkčnost státu vlastní energií,“</w:t>
      </w:r>
      <w:r w:rsidRPr="00AD5B10">
        <w:rPr>
          <w:rFonts w:cs="Arial"/>
        </w:rPr>
        <w:t xml:space="preserve"> uvádí </w:t>
      </w:r>
      <w:r w:rsidRPr="00AD5B10">
        <w:rPr>
          <w:rFonts w:cs="Arial"/>
          <w:b/>
          <w:bCs/>
        </w:rPr>
        <w:t>Josef Jaroš</w:t>
      </w:r>
      <w:r w:rsidRPr="00AD5B10">
        <w:rPr>
          <w:rFonts w:cs="Arial"/>
        </w:rPr>
        <w:t>, předseda představenstva AMSP ČR.</w:t>
      </w:r>
    </w:p>
    <w:p w14:paraId="4D80698C" w14:textId="40A7E30C" w:rsidR="00EC7A27" w:rsidRDefault="00EC7A27" w:rsidP="00EC7A27">
      <w:pPr>
        <w:spacing w:after="0" w:line="276" w:lineRule="auto"/>
        <w:jc w:val="both"/>
        <w:rPr>
          <w:rFonts w:cs="Arial"/>
        </w:rPr>
      </w:pPr>
      <w:r w:rsidRPr="007B2C76">
        <w:rPr>
          <w:rFonts w:cs="Arial"/>
          <w:i/>
          <w:iCs/>
        </w:rPr>
        <w:t xml:space="preserve">„Spolupráce s Asociací malých a středních podniků je pro nás cenná. V době rychlé hospodářské transformace pomáhá českým firmám získávat potřebné zkušenosti, kompetence i nové příležitosti v oblasti udržitelnosti, digitalizace a automatizace. Pozorně proto sledujeme zpětnou vazbu od firem a aktivně s ní pracujeme. Víme, že pro malé a střední podniky je rostoucí investiční a administrativní zátěž často brzdou dalšího rozvoje. Naším cílem je nastavit procesy tak, aby se tyto kroky daly zvládnout rychleji, jednodušeji, ať už v rámci spolupráce s našimi partnery, nebo na půdě AMSP,“ </w:t>
      </w:r>
      <w:r w:rsidRPr="007B2C76">
        <w:rPr>
          <w:rFonts w:cs="Arial"/>
        </w:rPr>
        <w:t xml:space="preserve">uvádí </w:t>
      </w:r>
      <w:r w:rsidRPr="007B2C76">
        <w:rPr>
          <w:rFonts w:cs="Arial"/>
          <w:b/>
          <w:bCs/>
        </w:rPr>
        <w:t>Jiří Maláček</w:t>
      </w:r>
      <w:r w:rsidRPr="007B2C76">
        <w:rPr>
          <w:rFonts w:cs="Arial"/>
        </w:rPr>
        <w:t>, vedoucí Škoda Auto pro český trh.</w:t>
      </w:r>
    </w:p>
    <w:p w14:paraId="7AD0D33B" w14:textId="77777777" w:rsidR="00EC7A27" w:rsidRDefault="00EC7A27" w:rsidP="00EC7A27">
      <w:pPr>
        <w:spacing w:after="0" w:line="240" w:lineRule="auto"/>
        <w:jc w:val="both"/>
        <w:rPr>
          <w:rFonts w:cs="Arial"/>
        </w:rPr>
      </w:pPr>
    </w:p>
    <w:p w14:paraId="34879E4F" w14:textId="734BF238" w:rsidR="00EC7A27" w:rsidRDefault="00633D55" w:rsidP="00FD0D8B">
      <w:pPr>
        <w:spacing w:after="0" w:line="240" w:lineRule="auto"/>
        <w:jc w:val="both"/>
        <w:rPr>
          <w:rFonts w:cs="Arial"/>
        </w:rPr>
      </w:pPr>
      <w:r w:rsidRPr="00633D55">
        <w:rPr>
          <w:rFonts w:cs="Arial"/>
          <w:i/>
          <w:iCs/>
        </w:rPr>
        <w:t>„Aktuální data potvrzují to, co od podnikatelů slýcháme každý den: malé a střední firmy mají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obrovskou chuť se rozvíjet a prokazují mimořádnou odolnost. Potřebují však více prostoru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věnovat se svému byznysu, nikoli zbytečné administrativě. Samostatnou kapitolou je tlak na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kybernetickou bezpečnost, která se stává jedním z největších rizik dnešního podnikání.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Mastercard je dlouhodobým partnerem malého podnikání. Prostřednictvím digitálních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nástrojů, sdílení know-how a spolupráce s klíčovými partnery hledáme reálné cesty, jak</w:t>
      </w:r>
      <w:r w:rsidR="00FD0D8B">
        <w:rPr>
          <w:rFonts w:cs="Arial"/>
          <w:i/>
          <w:iCs/>
        </w:rPr>
        <w:t xml:space="preserve"> </w:t>
      </w:r>
      <w:r w:rsidRPr="00633D55">
        <w:rPr>
          <w:rFonts w:cs="Arial"/>
          <w:i/>
          <w:iCs/>
        </w:rPr>
        <w:t>podnikatelům uvolnit ruce a posílit konkurenceschopnost celého Česka,“</w:t>
      </w:r>
      <w:r w:rsidRPr="00633D55">
        <w:rPr>
          <w:rFonts w:cs="Arial"/>
        </w:rPr>
        <w:t xml:space="preserve"> říká </w:t>
      </w:r>
      <w:r w:rsidRPr="00633D55">
        <w:rPr>
          <w:rFonts w:cs="Arial"/>
          <w:b/>
          <w:bCs/>
        </w:rPr>
        <w:t>Jana Lvová,</w:t>
      </w:r>
      <w:r w:rsidR="00FD0D8B">
        <w:rPr>
          <w:rFonts w:cs="Arial"/>
          <w:b/>
          <w:bCs/>
        </w:rPr>
        <w:t xml:space="preserve"> </w:t>
      </w:r>
      <w:r w:rsidRPr="00633D55">
        <w:rPr>
          <w:rFonts w:cs="Arial"/>
        </w:rPr>
        <w:t>generální ředitelka Mastercard pro Českou republiku a Slovensko.</w:t>
      </w:r>
    </w:p>
    <w:p w14:paraId="0EDBC02B" w14:textId="77777777" w:rsidR="00633D55" w:rsidRPr="00AD5B10" w:rsidRDefault="00633D55" w:rsidP="00633D55">
      <w:pPr>
        <w:spacing w:after="0" w:line="240" w:lineRule="auto"/>
        <w:jc w:val="both"/>
        <w:rPr>
          <w:rFonts w:cs="Arial"/>
          <w:highlight w:val="yellow"/>
        </w:rPr>
      </w:pPr>
    </w:p>
    <w:p w14:paraId="78109DD5" w14:textId="5FCC1F4D" w:rsidR="00AD5B10" w:rsidRDefault="002B3933" w:rsidP="00AD5B10">
      <w:pPr>
        <w:jc w:val="both"/>
        <w:rPr>
          <w:rFonts w:cs="Arial"/>
        </w:rPr>
      </w:pPr>
      <w:r w:rsidRPr="002B3933">
        <w:rPr>
          <w:rFonts w:cs="Arial"/>
          <w:i/>
          <w:iCs/>
        </w:rPr>
        <w:t>„Výsledky průzkumu jednoznačně ukazují, že české firmy mají silný potenciál růst a inovovat, pokud se jim podaří překonat dvě hlavní bariéry: přetížené regulatorní prostředí a dlouhodobý nedostatek kvalifikované pracovní síly. Data potvrzují, že podniky mají chuť investovat a adaptovat se, ale právě tyto faktory zpomalují jejich rozhodování i schopnost využít nové příležitosti. Podnikatelé opakovaně dokazují odolnost a vysokou míru flexibility — teď je na systému, aby jim umožnil soustředit se na rozvoj místo administrativy,“</w:t>
      </w:r>
      <w:r w:rsidRPr="002B3933">
        <w:rPr>
          <w:rFonts w:cs="Arial"/>
        </w:rPr>
        <w:t xml:space="preserve"> uvádí </w:t>
      </w:r>
      <w:r w:rsidRPr="002B3933">
        <w:rPr>
          <w:rFonts w:cs="Arial"/>
          <w:b/>
          <w:bCs/>
        </w:rPr>
        <w:t>Pavel Postl</w:t>
      </w:r>
      <w:r w:rsidRPr="002B3933">
        <w:rPr>
          <w:rFonts w:cs="Arial"/>
        </w:rPr>
        <w:t>, Senior Partner PKF APOGEO.</w:t>
      </w:r>
    </w:p>
    <w:p w14:paraId="2C37E12F" w14:textId="1959E1B0" w:rsidR="00AD5B10" w:rsidRPr="00AD5B10" w:rsidRDefault="00AD5B10" w:rsidP="00AD5B10">
      <w:pPr>
        <w:jc w:val="both"/>
        <w:rPr>
          <w:rFonts w:cs="Arial"/>
        </w:rPr>
      </w:pPr>
    </w:p>
    <w:p w14:paraId="4F7530BD" w14:textId="77777777" w:rsidR="0088776E" w:rsidRDefault="0088776E" w:rsidP="0084588A">
      <w:pPr>
        <w:jc w:val="both"/>
        <w:rPr>
          <w:rFonts w:cs="Arial"/>
          <w:u w:val="single"/>
        </w:rPr>
      </w:pPr>
    </w:p>
    <w:p w14:paraId="4B6C2D77" w14:textId="77777777" w:rsidR="00FD0D8B" w:rsidRPr="00675459" w:rsidRDefault="00FD0D8B" w:rsidP="00675459">
      <w:pPr>
        <w:spacing w:after="0" w:line="240" w:lineRule="auto"/>
        <w:jc w:val="both"/>
        <w:rPr>
          <w:rFonts w:cs="Arial"/>
          <w:sz w:val="16"/>
          <w:szCs w:val="16"/>
        </w:rPr>
      </w:pPr>
    </w:p>
    <w:tbl>
      <w:tblPr>
        <w:tblW w:w="9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60"/>
      </w:tblGrid>
      <w:tr w:rsidR="00FE1D4F" w14:paraId="7CFD1DB3" w14:textId="77777777" w:rsidTr="00A162DE">
        <w:trPr>
          <w:trHeight w:val="520"/>
        </w:trPr>
        <w:tc>
          <w:tcPr>
            <w:tcW w:w="9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3ADBE" w14:textId="079C5876" w:rsidR="0084588A" w:rsidRPr="00B82C2E" w:rsidRDefault="00FE1D4F" w:rsidP="0084588A">
            <w:pPr>
              <w:jc w:val="both"/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</w:pPr>
            <w:r w:rsidRPr="00727E21">
              <w:rPr>
                <w:rFonts w:ascii="Arial" w:hAnsi="Arial" w:cs="Arial"/>
                <w:b/>
                <w:sz w:val="20"/>
                <w:szCs w:val="20"/>
              </w:rPr>
              <w:t>AMSP ČR</w:t>
            </w:r>
            <w:r w:rsidRPr="00727E21">
              <w:rPr>
                <w:rFonts w:ascii="Arial" w:hAnsi="Arial" w:cs="Arial"/>
                <w:sz w:val="20"/>
                <w:szCs w:val="20"/>
              </w:rPr>
              <w:t xml:space="preserve"> sdružuje od roku 2001 na otevřené, nepolitické platformě malé a střední podniky, živnostníky i spolky. Je hlavním reprezentantem nejširšího podnikatelského segmentu v</w:t>
            </w:r>
            <w:r w:rsidR="00727E21" w:rsidRPr="00727E21">
              <w:rPr>
                <w:rFonts w:ascii="Arial" w:hAnsi="Arial" w:cs="Arial"/>
                <w:sz w:val="20"/>
                <w:szCs w:val="20"/>
              </w:rPr>
              <w:t> </w:t>
            </w:r>
            <w:r w:rsidRPr="00727E21">
              <w:rPr>
                <w:rFonts w:ascii="Arial" w:hAnsi="Arial" w:cs="Arial"/>
                <w:sz w:val="20"/>
                <w:szCs w:val="20"/>
              </w:rPr>
              <w:t>ČR</w:t>
            </w:r>
            <w:r w:rsidR="00727E21" w:rsidRPr="00727E21">
              <w:rPr>
                <w:rFonts w:ascii="Arial" w:hAnsi="Arial" w:cs="Arial"/>
                <w:sz w:val="20"/>
                <w:szCs w:val="20"/>
              </w:rPr>
              <w:t>. V</w:t>
            </w:r>
            <w:r w:rsidRPr="00727E21">
              <w:rPr>
                <w:rFonts w:ascii="Arial" w:hAnsi="Arial" w:cs="Arial"/>
                <w:sz w:val="20"/>
                <w:szCs w:val="20"/>
              </w:rPr>
              <w:t xml:space="preserve">edle legislativy, exportu, inovací, vzdělávání a financování MSP se zaměřuje </w:t>
            </w:r>
            <w:r w:rsidR="00727E21" w:rsidRPr="00727E21">
              <w:rPr>
                <w:rFonts w:ascii="Arial" w:hAnsi="Arial" w:cs="Arial"/>
                <w:sz w:val="20"/>
                <w:szCs w:val="20"/>
              </w:rPr>
              <w:t xml:space="preserve">také na digitalizaci, kybernetickou bezpečnost, udržitelnost a </w:t>
            </w:r>
            <w:r w:rsidR="00727E21" w:rsidRPr="0084588A">
              <w:rPr>
                <w:rFonts w:ascii="Arial" w:hAnsi="Arial" w:cs="Arial"/>
                <w:sz w:val="20"/>
                <w:szCs w:val="20"/>
              </w:rPr>
              <w:t>další aktuální témata.</w:t>
            </w:r>
            <w:r w:rsidR="0084588A" w:rsidRPr="0084588A">
              <w:rPr>
                <w:rFonts w:ascii="Arial" w:hAnsi="Arial" w:cs="Arial"/>
                <w:sz w:val="20"/>
                <w:szCs w:val="20"/>
              </w:rPr>
              <w:t xml:space="preserve"> Podporuje podnikatelské prostředí, vzdělávání a inovace, a usiluje o rozvoj podnikání v rámci národní i evropské úrovně.</w:t>
            </w:r>
            <w:r w:rsidR="0084588A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Id9">
              <w:r w:rsidRPr="00727E21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t>www.amsp.cz</w:t>
              </w:r>
            </w:hyperlink>
            <w:r w:rsidRPr="00727E21">
              <w:rPr>
                <w:rFonts w:ascii="Arial" w:hAnsi="Arial" w:cs="Arial"/>
                <w:color w:val="0000FF"/>
                <w:sz w:val="20"/>
                <w:szCs w:val="20"/>
                <w:u w:val="single"/>
              </w:rPr>
              <w:t xml:space="preserve"> </w:t>
            </w:r>
          </w:p>
        </w:tc>
      </w:tr>
    </w:tbl>
    <w:p w14:paraId="02C4A732" w14:textId="77777777" w:rsidR="00F93A62" w:rsidRDefault="00F93A62" w:rsidP="00F3100D">
      <w:pPr>
        <w:jc w:val="both"/>
        <w:rPr>
          <w:rFonts w:ascii="Arial" w:hAnsi="Arial" w:cs="Arial"/>
          <w:sz w:val="24"/>
          <w:szCs w:val="24"/>
        </w:rPr>
      </w:pPr>
    </w:p>
    <w:p w14:paraId="182E505F" w14:textId="4D4ECB8E" w:rsidR="00FE1D4F" w:rsidRDefault="00F93A62" w:rsidP="00F3100D">
      <w:pPr>
        <w:jc w:val="both"/>
        <w:rPr>
          <w:rFonts w:ascii="Arial" w:hAnsi="Arial" w:cs="Arial"/>
          <w:sz w:val="24"/>
          <w:szCs w:val="24"/>
        </w:rPr>
      </w:pPr>
      <w:r>
        <w:rPr>
          <w:rFonts w:cs="Arial"/>
        </w:rPr>
        <w:t xml:space="preserve">Průzkum byl realizován za laskavé podpory partnerů projektu Rok transformace podnikání 2025: </w:t>
      </w:r>
      <w:r w:rsidR="00E90299" w:rsidRPr="00F3100D">
        <w:rPr>
          <w:noProof/>
        </w:rPr>
        <w:drawing>
          <wp:anchor distT="0" distB="0" distL="114300" distR="114300" simplePos="0" relativeHeight="251660288" behindDoc="0" locked="0" layoutInCell="1" allowOverlap="1" wp14:anchorId="7DE7CC6E" wp14:editId="73AD453C">
            <wp:simplePos x="0" y="0"/>
            <wp:positionH relativeFrom="column">
              <wp:posOffset>1376149</wp:posOffset>
            </wp:positionH>
            <wp:positionV relativeFrom="paragraph">
              <wp:posOffset>187818</wp:posOffset>
            </wp:positionV>
            <wp:extent cx="2616835" cy="1146061"/>
            <wp:effectExtent l="0" t="0" r="0" b="0"/>
            <wp:wrapSquare wrapText="bothSides"/>
            <wp:docPr id="606961716" name="Obrázek 3" descr="Obsah obrázku Grafika, Písmo, snímek obrazovky, grafický design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961716" name="Obrázek 3" descr="Obsah obrázku Grafika, Písmo, snímek obrazovky, grafický design&#10;&#10;Popis byl vytvořen automatick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114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8D5EC1" w14:textId="4ABC7D87" w:rsidR="00F3100D" w:rsidRDefault="00F3100D" w:rsidP="00F3100D">
      <w:pPr>
        <w:jc w:val="both"/>
        <w:rPr>
          <w:rFonts w:ascii="Arial" w:hAnsi="Arial" w:cs="Arial"/>
          <w:sz w:val="24"/>
          <w:szCs w:val="24"/>
        </w:rPr>
      </w:pPr>
    </w:p>
    <w:p w14:paraId="68618297" w14:textId="77777777" w:rsidR="00B82C2E" w:rsidRDefault="00B82C2E" w:rsidP="00F3100D">
      <w:pPr>
        <w:jc w:val="both"/>
        <w:rPr>
          <w:rFonts w:ascii="Arial" w:hAnsi="Arial" w:cs="Arial"/>
          <w:sz w:val="24"/>
          <w:szCs w:val="24"/>
        </w:rPr>
      </w:pPr>
    </w:p>
    <w:p w14:paraId="02868670" w14:textId="77777777" w:rsidR="00B82C2E" w:rsidRDefault="00B82C2E" w:rsidP="00F3100D">
      <w:pPr>
        <w:jc w:val="both"/>
        <w:rPr>
          <w:rFonts w:ascii="Arial" w:hAnsi="Arial" w:cs="Arial"/>
          <w:sz w:val="24"/>
          <w:szCs w:val="24"/>
        </w:rPr>
      </w:pPr>
    </w:p>
    <w:p w14:paraId="18A502A1" w14:textId="70398A14" w:rsidR="00B82C2E" w:rsidRPr="00F3100D" w:rsidRDefault="007A2442" w:rsidP="00F3100D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A7318A0" wp14:editId="1F0A241A">
            <wp:extent cx="5731510" cy="3620135"/>
            <wp:effectExtent l="0" t="0" r="2540" b="0"/>
            <wp:docPr id="736100783" name="Obrázek 1" descr="Obsah obrázku text, snímek obrazovky, logo, Operační systé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100783" name="Obrázek 1" descr="Obsah obrázku text, snímek obrazovky, logo, Operační systém&#10;&#10;Obsah generovaný pomocí AI může být nesprávný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2C2E" w:rsidRPr="00F3100D">
      <w:footerReference w:type="even" r:id="rId12"/>
      <w:footerReference w:type="defaul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34123" w14:textId="77777777" w:rsidR="00714921" w:rsidRDefault="00714921" w:rsidP="00727E21">
      <w:pPr>
        <w:spacing w:after="0" w:line="240" w:lineRule="auto"/>
      </w:pPr>
      <w:r>
        <w:separator/>
      </w:r>
    </w:p>
  </w:endnote>
  <w:endnote w:type="continuationSeparator" w:id="0">
    <w:p w14:paraId="359C01A1" w14:textId="77777777" w:rsidR="00714921" w:rsidRDefault="00714921" w:rsidP="00727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B0DED" w14:textId="013E6A5D" w:rsidR="007478BB" w:rsidRDefault="007478BB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2831FA4" wp14:editId="259B43D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710405389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6E9AEA" w14:textId="4A39DFFE" w:rsidR="007478BB" w:rsidRPr="007478BB" w:rsidRDefault="007478BB" w:rsidP="007478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7478BB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831FA4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59.6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textbox style="mso-fit-shape-to-text:t" inset="20pt,0,0,15pt">
                <w:txbxContent>
                  <w:p w14:paraId="4C6E9AEA" w14:textId="4A39DFFE" w:rsidR="007478BB" w:rsidRPr="007478BB" w:rsidRDefault="007478BB" w:rsidP="007478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7478BB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B3AE0" w14:textId="6642F6EC" w:rsidR="00727E21" w:rsidRPr="00F153FE" w:rsidRDefault="007478BB" w:rsidP="00727E21">
    <w:pPr>
      <w:pStyle w:val="Zpat"/>
      <w:jc w:val="center"/>
      <w:rPr>
        <w:color w:val="000080"/>
        <w:sz w:val="20"/>
        <w:szCs w:val="20"/>
      </w:rPr>
    </w:pPr>
    <w:r>
      <w:rPr>
        <w:noProof/>
        <w:color w:val="000080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207B4D2" wp14:editId="69CB4247">
              <wp:simplePos x="914400" y="924877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148718886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A5A42D" w14:textId="15982153" w:rsidR="007478BB" w:rsidRPr="007478BB" w:rsidRDefault="007478BB" w:rsidP="007478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7478BB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07B4D2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left:0;text-align:left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textbox style="mso-fit-shape-to-text:t" inset="20pt,0,0,15pt">
                <w:txbxContent>
                  <w:p w14:paraId="48A5A42D" w14:textId="15982153" w:rsidR="007478BB" w:rsidRPr="007478BB" w:rsidRDefault="007478BB" w:rsidP="007478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7478BB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27E21">
      <w:rPr>
        <w:color w:val="000080"/>
      </w:rPr>
      <w:t>____</w:t>
    </w:r>
    <w:r w:rsidR="00727E21">
      <w:rPr>
        <w:color w:val="000080"/>
        <w:sz w:val="20"/>
        <w:szCs w:val="20"/>
      </w:rPr>
      <w:t>TZ</w:t>
    </w:r>
    <w:r w:rsidR="0077704E">
      <w:rPr>
        <w:color w:val="000080"/>
        <w:sz w:val="20"/>
        <w:szCs w:val="20"/>
      </w:rPr>
      <w:t xml:space="preserve"> </w:t>
    </w:r>
    <w:r w:rsidR="00AD5B10">
      <w:rPr>
        <w:color w:val="000080"/>
        <w:sz w:val="20"/>
        <w:szCs w:val="20"/>
      </w:rPr>
      <w:t>3</w:t>
    </w:r>
    <w:r w:rsidR="00727E21">
      <w:rPr>
        <w:color w:val="000080"/>
        <w:sz w:val="20"/>
        <w:szCs w:val="20"/>
      </w:rPr>
      <w:t>.</w:t>
    </w:r>
    <w:r w:rsidR="00AD5B10">
      <w:rPr>
        <w:color w:val="000080"/>
        <w:sz w:val="20"/>
        <w:szCs w:val="20"/>
      </w:rPr>
      <w:t xml:space="preserve"> 12</w:t>
    </w:r>
    <w:r w:rsidR="00727E21">
      <w:rPr>
        <w:color w:val="000080"/>
        <w:sz w:val="20"/>
        <w:szCs w:val="20"/>
      </w:rPr>
      <w:t>. 2025</w:t>
    </w:r>
    <w:r w:rsidR="00727E21" w:rsidRPr="00561999">
      <w:rPr>
        <w:color w:val="000080"/>
        <w:sz w:val="20"/>
        <w:szCs w:val="20"/>
      </w:rPr>
      <w:t>_____</w:t>
    </w:r>
    <w:r w:rsidR="00727E21">
      <w:rPr>
        <w:color w:val="000080"/>
        <w:sz w:val="20"/>
        <w:szCs w:val="20"/>
      </w:rPr>
      <w:t>___________</w:t>
    </w:r>
    <w:r w:rsidR="00727E21" w:rsidRPr="00561999">
      <w:rPr>
        <w:color w:val="000080"/>
        <w:sz w:val="20"/>
        <w:szCs w:val="20"/>
      </w:rPr>
      <w:t>____</w:t>
    </w:r>
    <w:r w:rsidR="00727E21">
      <w:rPr>
        <w:color w:val="000080"/>
        <w:sz w:val="20"/>
        <w:szCs w:val="20"/>
      </w:rPr>
      <w:t>__________</w:t>
    </w:r>
    <w:r w:rsidR="00727E21" w:rsidRPr="00561999">
      <w:rPr>
        <w:color w:val="000080"/>
        <w:sz w:val="20"/>
        <w:szCs w:val="20"/>
      </w:rPr>
      <w:t>__</w:t>
    </w:r>
    <w:r w:rsidR="00727E21">
      <w:rPr>
        <w:color w:val="000080"/>
        <w:sz w:val="20"/>
        <w:szCs w:val="20"/>
      </w:rPr>
      <w:t>_______________________________________________</w:t>
    </w:r>
    <w:r w:rsidR="00727E21" w:rsidRPr="00561999">
      <w:rPr>
        <w:color w:val="000080"/>
        <w:sz w:val="20"/>
        <w:szCs w:val="20"/>
      </w:rPr>
      <w:fldChar w:fldCharType="begin"/>
    </w:r>
    <w:r w:rsidR="00727E21" w:rsidRPr="00561999">
      <w:rPr>
        <w:color w:val="000080"/>
        <w:sz w:val="20"/>
        <w:szCs w:val="20"/>
      </w:rPr>
      <w:instrText xml:space="preserve"> PAGE   \* MERGEFORMAT </w:instrText>
    </w:r>
    <w:r w:rsidR="00727E21" w:rsidRPr="00561999">
      <w:rPr>
        <w:color w:val="000080"/>
        <w:sz w:val="20"/>
        <w:szCs w:val="20"/>
      </w:rPr>
      <w:fldChar w:fldCharType="separate"/>
    </w:r>
    <w:r w:rsidR="00727E21">
      <w:rPr>
        <w:color w:val="000080"/>
        <w:sz w:val="20"/>
        <w:szCs w:val="20"/>
      </w:rPr>
      <w:t>1</w:t>
    </w:r>
    <w:r w:rsidR="00727E21" w:rsidRPr="00561999">
      <w:rPr>
        <w:color w:val="000080"/>
        <w:sz w:val="20"/>
        <w:szCs w:val="20"/>
      </w:rPr>
      <w:fldChar w:fldCharType="end"/>
    </w:r>
    <w:r w:rsidR="00727E21">
      <w:rPr>
        <w:color w:val="000080"/>
        <w:sz w:val="20"/>
        <w:szCs w:val="20"/>
      </w:rPr>
      <w:t xml:space="preserve"> </w:t>
    </w:r>
  </w:p>
  <w:p w14:paraId="6FFE659C" w14:textId="77777777" w:rsidR="00727E21" w:rsidRPr="00561999" w:rsidRDefault="00727E21" w:rsidP="00727E21">
    <w:pPr>
      <w:pStyle w:val="Zpat"/>
      <w:rPr>
        <w:sz w:val="20"/>
        <w:szCs w:val="20"/>
      </w:rPr>
    </w:pPr>
  </w:p>
  <w:p w14:paraId="0D8D0165" w14:textId="77777777" w:rsidR="00727E21" w:rsidRDefault="00727E21" w:rsidP="00727E21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AMSP ČR, METEOR Centre Office Park B, Sokolovská 100/94, 186 00  Praha 8</w:t>
    </w:r>
  </w:p>
  <w:p w14:paraId="757B2C92" w14:textId="77777777" w:rsidR="00727E21" w:rsidRDefault="00727E21" w:rsidP="00727E21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1169D5AD" w14:textId="77777777" w:rsidR="00727E21" w:rsidRPr="00271FF8" w:rsidRDefault="00727E21" w:rsidP="00727E21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ascii="Tahoma" w:hAnsi="Tahoma" w:cs="Tahoma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ascii="Tahoma" w:hAnsi="Tahoma" w:cs="Tahoma"/>
        <w:color w:val="000080"/>
        <w:sz w:val="16"/>
      </w:rPr>
      <w:t>﻿</w:t>
    </w:r>
  </w:p>
  <w:p w14:paraId="0C369945" w14:textId="77777777" w:rsidR="00727E21" w:rsidRDefault="00727E21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E0607" w14:textId="348A72A3" w:rsidR="007478BB" w:rsidRDefault="007478BB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E5CA7B0" wp14:editId="7BC2439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335346265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967786" w14:textId="11745402" w:rsidR="007478BB" w:rsidRPr="007478BB" w:rsidRDefault="007478BB" w:rsidP="007478BB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7478BB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5CA7B0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59.6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textbox style="mso-fit-shape-to-text:t" inset="20pt,0,0,15pt">
                <w:txbxContent>
                  <w:p w14:paraId="72967786" w14:textId="11745402" w:rsidR="007478BB" w:rsidRPr="007478BB" w:rsidRDefault="007478BB" w:rsidP="007478BB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7478BB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B2ABBC" w14:textId="77777777" w:rsidR="00714921" w:rsidRDefault="00714921" w:rsidP="00727E21">
      <w:pPr>
        <w:spacing w:after="0" w:line="240" w:lineRule="auto"/>
      </w:pPr>
      <w:r>
        <w:separator/>
      </w:r>
    </w:p>
  </w:footnote>
  <w:footnote w:type="continuationSeparator" w:id="0">
    <w:p w14:paraId="5A9B1EEE" w14:textId="77777777" w:rsidR="00714921" w:rsidRDefault="00714921" w:rsidP="00727E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75149A"/>
    <w:multiLevelType w:val="multilevel"/>
    <w:tmpl w:val="1E18CA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9EB4C2F"/>
    <w:multiLevelType w:val="multilevel"/>
    <w:tmpl w:val="CFB627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B707594"/>
    <w:multiLevelType w:val="multilevel"/>
    <w:tmpl w:val="0D6A0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523617">
    <w:abstractNumId w:val="1"/>
  </w:num>
  <w:num w:numId="2" w16cid:durableId="170687127">
    <w:abstractNumId w:val="2"/>
  </w:num>
  <w:num w:numId="3" w16cid:durableId="1123697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A4D"/>
    <w:rsid w:val="00021216"/>
    <w:rsid w:val="000323B1"/>
    <w:rsid w:val="00046737"/>
    <w:rsid w:val="0008673B"/>
    <w:rsid w:val="000E28D6"/>
    <w:rsid w:val="000F095F"/>
    <w:rsid w:val="00112E30"/>
    <w:rsid w:val="00114A5C"/>
    <w:rsid w:val="00115754"/>
    <w:rsid w:val="0014224C"/>
    <w:rsid w:val="00186AC6"/>
    <w:rsid w:val="00190A4D"/>
    <w:rsid w:val="001D508A"/>
    <w:rsid w:val="002341B1"/>
    <w:rsid w:val="002758AE"/>
    <w:rsid w:val="002A4976"/>
    <w:rsid w:val="002B3933"/>
    <w:rsid w:val="002D5459"/>
    <w:rsid w:val="002E6336"/>
    <w:rsid w:val="002F6C5E"/>
    <w:rsid w:val="00333AA6"/>
    <w:rsid w:val="003353D7"/>
    <w:rsid w:val="003362D9"/>
    <w:rsid w:val="00354DE4"/>
    <w:rsid w:val="00357C91"/>
    <w:rsid w:val="00365AFA"/>
    <w:rsid w:val="00390737"/>
    <w:rsid w:val="003D4833"/>
    <w:rsid w:val="003E071F"/>
    <w:rsid w:val="003E378C"/>
    <w:rsid w:val="00450389"/>
    <w:rsid w:val="00463792"/>
    <w:rsid w:val="004A7091"/>
    <w:rsid w:val="004E4DBE"/>
    <w:rsid w:val="004F57B0"/>
    <w:rsid w:val="00512AC4"/>
    <w:rsid w:val="00524BD8"/>
    <w:rsid w:val="005455B8"/>
    <w:rsid w:val="00546586"/>
    <w:rsid w:val="00546B39"/>
    <w:rsid w:val="005A3891"/>
    <w:rsid w:val="00615EAD"/>
    <w:rsid w:val="00624231"/>
    <w:rsid w:val="00633D55"/>
    <w:rsid w:val="00661110"/>
    <w:rsid w:val="006660B8"/>
    <w:rsid w:val="00675459"/>
    <w:rsid w:val="00695226"/>
    <w:rsid w:val="006A2C3F"/>
    <w:rsid w:val="00705BFA"/>
    <w:rsid w:val="00714921"/>
    <w:rsid w:val="00727E21"/>
    <w:rsid w:val="007409D0"/>
    <w:rsid w:val="007478BB"/>
    <w:rsid w:val="0077704E"/>
    <w:rsid w:val="00785FDD"/>
    <w:rsid w:val="007A2442"/>
    <w:rsid w:val="007B2C76"/>
    <w:rsid w:val="007C18AB"/>
    <w:rsid w:val="007D637A"/>
    <w:rsid w:val="008036BA"/>
    <w:rsid w:val="0084588A"/>
    <w:rsid w:val="0088776E"/>
    <w:rsid w:val="008C3F1C"/>
    <w:rsid w:val="008F673E"/>
    <w:rsid w:val="00906441"/>
    <w:rsid w:val="009222C4"/>
    <w:rsid w:val="00937AFB"/>
    <w:rsid w:val="00957E6F"/>
    <w:rsid w:val="009639FA"/>
    <w:rsid w:val="009669F2"/>
    <w:rsid w:val="00973729"/>
    <w:rsid w:val="00985D0B"/>
    <w:rsid w:val="00986261"/>
    <w:rsid w:val="00987A32"/>
    <w:rsid w:val="0099650B"/>
    <w:rsid w:val="00A0639A"/>
    <w:rsid w:val="00A06667"/>
    <w:rsid w:val="00A329BB"/>
    <w:rsid w:val="00A33235"/>
    <w:rsid w:val="00A42C8A"/>
    <w:rsid w:val="00A4658F"/>
    <w:rsid w:val="00AD5B10"/>
    <w:rsid w:val="00AF450B"/>
    <w:rsid w:val="00AF752B"/>
    <w:rsid w:val="00B17A60"/>
    <w:rsid w:val="00B22FC0"/>
    <w:rsid w:val="00B46801"/>
    <w:rsid w:val="00B82C2E"/>
    <w:rsid w:val="00B91D74"/>
    <w:rsid w:val="00BE25D1"/>
    <w:rsid w:val="00C11D67"/>
    <w:rsid w:val="00C2740A"/>
    <w:rsid w:val="00C71F92"/>
    <w:rsid w:val="00C87B8B"/>
    <w:rsid w:val="00CA5AB6"/>
    <w:rsid w:val="00CD48CF"/>
    <w:rsid w:val="00D30897"/>
    <w:rsid w:val="00D449F1"/>
    <w:rsid w:val="00D51B80"/>
    <w:rsid w:val="00D94C8B"/>
    <w:rsid w:val="00DC4669"/>
    <w:rsid w:val="00DF202A"/>
    <w:rsid w:val="00E0245A"/>
    <w:rsid w:val="00E5070B"/>
    <w:rsid w:val="00E5626E"/>
    <w:rsid w:val="00E676C2"/>
    <w:rsid w:val="00E90299"/>
    <w:rsid w:val="00EB6232"/>
    <w:rsid w:val="00EC7A27"/>
    <w:rsid w:val="00EF545E"/>
    <w:rsid w:val="00F1264A"/>
    <w:rsid w:val="00F3100D"/>
    <w:rsid w:val="00F55358"/>
    <w:rsid w:val="00F63348"/>
    <w:rsid w:val="00F85763"/>
    <w:rsid w:val="00F93A62"/>
    <w:rsid w:val="00FC6E00"/>
    <w:rsid w:val="00FD0988"/>
    <w:rsid w:val="00FD0D8B"/>
    <w:rsid w:val="00FE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32B729"/>
  <w15:chartTrackingRefBased/>
  <w15:docId w15:val="{90771235-036A-422B-8F26-6909698E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D5B10"/>
  </w:style>
  <w:style w:type="paragraph" w:styleId="Nadpis1">
    <w:name w:val="heading 1"/>
    <w:basedOn w:val="Normln"/>
    <w:next w:val="Normln"/>
    <w:link w:val="Nadpis1Char"/>
    <w:uiPriority w:val="9"/>
    <w:qFormat/>
    <w:rsid w:val="00190A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90A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90A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90A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90A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90A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90A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90A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90A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90A4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90A4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90A4D"/>
    <w:rPr>
      <w:rFonts w:eastAsiaTheme="majorEastAsia" w:cstheme="majorBidi"/>
      <w:color w:val="0F4761" w:themeColor="accent1" w:themeShade="BF"/>
      <w:sz w:val="28"/>
      <w:szCs w:val="28"/>
      <w:lang w:val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90A4D"/>
    <w:rPr>
      <w:rFonts w:eastAsiaTheme="majorEastAsia" w:cstheme="majorBidi"/>
      <w:i/>
      <w:iCs/>
      <w:color w:val="0F4761" w:themeColor="accent1" w:themeShade="BF"/>
      <w:lang w:val="cs-CZ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90A4D"/>
    <w:rPr>
      <w:rFonts w:eastAsiaTheme="majorEastAsia" w:cstheme="majorBidi"/>
      <w:color w:val="0F4761" w:themeColor="accent1" w:themeShade="BF"/>
      <w:lang w:val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90A4D"/>
    <w:rPr>
      <w:rFonts w:eastAsiaTheme="majorEastAsia" w:cstheme="majorBidi"/>
      <w:i/>
      <w:iCs/>
      <w:color w:val="595959" w:themeColor="text1" w:themeTint="A6"/>
      <w:lang w:val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90A4D"/>
    <w:rPr>
      <w:rFonts w:eastAsiaTheme="majorEastAsia" w:cstheme="majorBidi"/>
      <w:color w:val="595959" w:themeColor="text1" w:themeTint="A6"/>
      <w:lang w:val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90A4D"/>
    <w:rPr>
      <w:rFonts w:eastAsiaTheme="majorEastAsia" w:cstheme="majorBidi"/>
      <w:i/>
      <w:iCs/>
      <w:color w:val="272727" w:themeColor="text1" w:themeTint="D8"/>
      <w:lang w:val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90A4D"/>
    <w:rPr>
      <w:rFonts w:eastAsiaTheme="majorEastAsia" w:cstheme="majorBidi"/>
      <w:color w:val="272727" w:themeColor="text1" w:themeTint="D8"/>
      <w:lang w:val="cs-CZ"/>
    </w:rPr>
  </w:style>
  <w:style w:type="paragraph" w:styleId="Nzev">
    <w:name w:val="Title"/>
    <w:basedOn w:val="Normln"/>
    <w:next w:val="Normln"/>
    <w:link w:val="NzevChar"/>
    <w:uiPriority w:val="10"/>
    <w:qFormat/>
    <w:rsid w:val="00190A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90A4D"/>
    <w:rPr>
      <w:rFonts w:asciiTheme="majorHAnsi" w:eastAsiaTheme="majorEastAsia" w:hAnsiTheme="majorHAnsi" w:cstheme="majorBidi"/>
      <w:spacing w:val="-10"/>
      <w:kern w:val="28"/>
      <w:sz w:val="56"/>
      <w:szCs w:val="56"/>
      <w:lang w:val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90A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90A4D"/>
    <w:rPr>
      <w:rFonts w:eastAsiaTheme="majorEastAsia" w:cstheme="majorBidi"/>
      <w:color w:val="595959" w:themeColor="text1" w:themeTint="A6"/>
      <w:spacing w:val="15"/>
      <w:sz w:val="28"/>
      <w:szCs w:val="28"/>
      <w:lang w:val="cs-CZ"/>
    </w:rPr>
  </w:style>
  <w:style w:type="paragraph" w:styleId="Citt">
    <w:name w:val="Quote"/>
    <w:basedOn w:val="Normln"/>
    <w:next w:val="Normln"/>
    <w:link w:val="CittChar"/>
    <w:uiPriority w:val="29"/>
    <w:qFormat/>
    <w:rsid w:val="00190A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90A4D"/>
    <w:rPr>
      <w:i/>
      <w:iCs/>
      <w:color w:val="404040" w:themeColor="text1" w:themeTint="BF"/>
      <w:lang w:val="cs-CZ"/>
    </w:rPr>
  </w:style>
  <w:style w:type="paragraph" w:styleId="Odstavecseseznamem">
    <w:name w:val="List Paragraph"/>
    <w:basedOn w:val="Normln"/>
    <w:uiPriority w:val="34"/>
    <w:qFormat/>
    <w:rsid w:val="00190A4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90A4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90A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90A4D"/>
    <w:rPr>
      <w:i/>
      <w:iCs/>
      <w:color w:val="0F4761" w:themeColor="accent1" w:themeShade="BF"/>
      <w:lang w:val="cs-CZ"/>
    </w:rPr>
  </w:style>
  <w:style w:type="character" w:styleId="Odkazintenzivn">
    <w:name w:val="Intense Reference"/>
    <w:basedOn w:val="Standardnpsmoodstavce"/>
    <w:uiPriority w:val="32"/>
    <w:qFormat/>
    <w:rsid w:val="00190A4D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A329BB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A329B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A329B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329B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29B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29BB"/>
    <w:rPr>
      <w:b/>
      <w:bCs/>
      <w:sz w:val="20"/>
      <w:szCs w:val="20"/>
    </w:rPr>
  </w:style>
  <w:style w:type="character" w:styleId="Hypertextovodkaz">
    <w:name w:val="Hyperlink"/>
    <w:rsid w:val="00FE1D4F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E1D4F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727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27E21"/>
  </w:style>
  <w:style w:type="paragraph" w:styleId="Zpat">
    <w:name w:val="footer"/>
    <w:basedOn w:val="Normln"/>
    <w:link w:val="ZpatChar"/>
    <w:uiPriority w:val="99"/>
    <w:unhideWhenUsed/>
    <w:rsid w:val="00727E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27E21"/>
  </w:style>
  <w:style w:type="paragraph" w:customStyle="1" w:styleId="xmsonormal">
    <w:name w:val="x_msonormal"/>
    <w:basedOn w:val="Normln"/>
    <w:rsid w:val="00D94C8B"/>
    <w:pPr>
      <w:spacing w:after="0" w:line="240" w:lineRule="auto"/>
    </w:pPr>
    <w:rPr>
      <w:rFonts w:ascii="Calibri" w:hAnsi="Calibri" w:cs="Calibri"/>
      <w:kern w:val="0"/>
      <w:lang w:eastAsia="cs-CZ"/>
      <w14:ligatures w14:val="none"/>
    </w:rPr>
  </w:style>
  <w:style w:type="paragraph" w:styleId="Normlnweb">
    <w:name w:val="Normal (Web)"/>
    <w:basedOn w:val="Normln"/>
    <w:uiPriority w:val="99"/>
    <w:semiHidden/>
    <w:unhideWhenUsed/>
    <w:rsid w:val="00D449F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1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amsp.cz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933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Marek</dc:creator>
  <cp:keywords/>
  <dc:description/>
  <cp:lastModifiedBy>Zuzana Kratochvílová</cp:lastModifiedBy>
  <cp:revision>3</cp:revision>
  <dcterms:created xsi:type="dcterms:W3CDTF">2025-12-02T20:23:00Z</dcterms:created>
  <dcterms:modified xsi:type="dcterms:W3CDTF">2025-12-03T08:23:00Z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76d9757-80ae-4c87-b4d7-9ffa7a0710d0_Enabled">
    <vt:lpwstr>true</vt:lpwstr>
  </property>
  <property fmtid="{D5CDD505-2E9C-101B-9397-08002B2CF9AE}" pid="3" name="MSIP_Label_076d9757-80ae-4c87-b4d7-9ffa7a0710d0_SetDate">
    <vt:lpwstr>2025-03-10T15:24:36Z</vt:lpwstr>
  </property>
  <property fmtid="{D5CDD505-2E9C-101B-9397-08002B2CF9AE}" pid="4" name="MSIP_Label_076d9757-80ae-4c87-b4d7-9ffa7a0710d0_Method">
    <vt:lpwstr>Standard</vt:lpwstr>
  </property>
  <property fmtid="{D5CDD505-2E9C-101B-9397-08002B2CF9AE}" pid="5" name="MSIP_Label_076d9757-80ae-4c87-b4d7-9ffa7a0710d0_Name">
    <vt:lpwstr>076d9757-80ae-4c87-b4d7-9ffa7a0710d0</vt:lpwstr>
  </property>
  <property fmtid="{D5CDD505-2E9C-101B-9397-08002B2CF9AE}" pid="6" name="MSIP_Label_076d9757-80ae-4c87-b4d7-9ffa7a0710d0_SiteId">
    <vt:lpwstr>c79e7c80-cff5-4503-b468-3702cea89272</vt:lpwstr>
  </property>
  <property fmtid="{D5CDD505-2E9C-101B-9397-08002B2CF9AE}" pid="7" name="MSIP_Label_076d9757-80ae-4c87-b4d7-9ffa7a0710d0_ActionId">
    <vt:lpwstr>15411932-77b1-47f2-9570-a1dcdf3b179a</vt:lpwstr>
  </property>
  <property fmtid="{D5CDD505-2E9C-101B-9397-08002B2CF9AE}" pid="8" name="MSIP_Label_076d9757-80ae-4c87-b4d7-9ffa7a0710d0_ContentBits">
    <vt:lpwstr>0</vt:lpwstr>
  </property>
  <property fmtid="{D5CDD505-2E9C-101B-9397-08002B2CF9AE}" pid="9" name="Kod_Duvernosti">
    <vt:lpwstr>KB_C1_INTERNAL_992521</vt:lpwstr>
  </property>
  <property fmtid="{D5CDD505-2E9C-101B-9397-08002B2CF9AE}" pid="10" name="ClassificationContentMarkingFooterShapeIds">
    <vt:lpwstr>4f97c459,65f2b70d,44780f26</vt:lpwstr>
  </property>
  <property fmtid="{D5CDD505-2E9C-101B-9397-08002B2CF9AE}" pid="11" name="ClassificationContentMarkingFooterFontProps">
    <vt:lpwstr>#000000,8,Arial</vt:lpwstr>
  </property>
  <property fmtid="{D5CDD505-2E9C-101B-9397-08002B2CF9AE}" pid="12" name="ClassificationContentMarkingFooterText">
    <vt:lpwstr>INTERNAL</vt:lpwstr>
  </property>
</Properties>
</file>