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D915C8" w14:textId="77777777" w:rsidR="00177302" w:rsidRDefault="00177302" w:rsidP="00142D86">
      <w:pPr>
        <w:pStyle w:val="Nadpis1"/>
        <w:rPr>
          <w:rFonts w:cs="Times New Roman"/>
          <w:sz w:val="32"/>
        </w:rPr>
      </w:pPr>
    </w:p>
    <w:p w14:paraId="36B30579" w14:textId="6756F3EF" w:rsidR="00C75400" w:rsidRPr="00120E8E" w:rsidRDefault="00C75400" w:rsidP="00142D86">
      <w:pPr>
        <w:pStyle w:val="Nadpis1"/>
        <w:rPr>
          <w:rFonts w:cs="Times New Roman"/>
          <w:sz w:val="32"/>
        </w:rPr>
      </w:pPr>
      <w:r w:rsidRPr="00120E8E">
        <w:rPr>
          <w:rFonts w:cs="Times New Roman"/>
          <w:sz w:val="32"/>
        </w:rPr>
        <w:t>DŮVODOVÁ ZPRÁVA</w:t>
      </w:r>
    </w:p>
    <w:p w14:paraId="4E15E2A5" w14:textId="33630EE7" w:rsidR="00AD0C1D" w:rsidRPr="00120E8E" w:rsidRDefault="00C75400" w:rsidP="00AD0C1D">
      <w:pPr>
        <w:pStyle w:val="Nadpis1"/>
        <w:jc w:val="both"/>
        <w:rPr>
          <w:rFonts w:cs="Times New Roman"/>
        </w:rPr>
      </w:pPr>
      <w:r w:rsidRPr="00120E8E">
        <w:rPr>
          <w:rFonts w:cs="Times New Roman"/>
        </w:rPr>
        <w:t>I. OBECNÁ ČÁST</w:t>
      </w:r>
    </w:p>
    <w:p w14:paraId="0E24B8F5" w14:textId="1FA12BAA" w:rsidR="005A04B3" w:rsidRPr="00120E8E" w:rsidRDefault="005A04B3" w:rsidP="005A04B3">
      <w:pPr>
        <w:pStyle w:val="Nadpis2"/>
        <w:rPr>
          <w:rFonts w:cs="Times New Roman"/>
          <w:szCs w:val="24"/>
          <w:lang w:bidi="en-US"/>
        </w:rPr>
      </w:pPr>
      <w:r w:rsidRPr="00120E8E">
        <w:rPr>
          <w:rFonts w:cs="Times New Roman"/>
          <w:szCs w:val="24"/>
          <w:lang w:bidi="en-US"/>
        </w:rPr>
        <w:t xml:space="preserve">Vysvětlení nezbytnosti navrhované právní úpravy </w:t>
      </w:r>
    </w:p>
    <w:p w14:paraId="4F295322" w14:textId="1478FDB5" w:rsidR="004805C9" w:rsidRPr="00120E8E" w:rsidRDefault="00301173" w:rsidP="00C72EBC">
      <w:pPr>
        <w:rPr>
          <w:szCs w:val="24"/>
          <w:lang w:bidi="en-US"/>
        </w:rPr>
      </w:pPr>
      <w:r w:rsidRPr="00120E8E">
        <w:rPr>
          <w:szCs w:val="24"/>
          <w:lang w:bidi="en-US"/>
        </w:rPr>
        <w:t xml:space="preserve">Návrh </w:t>
      </w:r>
      <w:r w:rsidR="00086AA0" w:rsidRPr="00086AA0">
        <w:rPr>
          <w:szCs w:val="24"/>
          <w:lang w:bidi="en-US"/>
        </w:rPr>
        <w:t>zákona, kterým se mění zákon č. 256/2004 Sb., o podnikání na kapitálovém trhu, ve</w:t>
      </w:r>
      <w:r w:rsidR="004B47DD">
        <w:rPr>
          <w:szCs w:val="24"/>
          <w:lang w:bidi="en-US"/>
        </w:rPr>
        <w:t> </w:t>
      </w:r>
      <w:r w:rsidR="00086AA0" w:rsidRPr="00086AA0">
        <w:rPr>
          <w:szCs w:val="24"/>
          <w:lang w:bidi="en-US"/>
        </w:rPr>
        <w:t>znění pozdějších předpisů, a další související zákony</w:t>
      </w:r>
      <w:r w:rsidR="00086AA0" w:rsidRPr="00120E8E" w:rsidDel="00086AA0">
        <w:rPr>
          <w:szCs w:val="24"/>
          <w:lang w:bidi="en-US"/>
        </w:rPr>
        <w:t xml:space="preserve"> </w:t>
      </w:r>
      <w:r w:rsidR="00C61534" w:rsidRPr="00120E8E">
        <w:rPr>
          <w:szCs w:val="24"/>
          <w:lang w:bidi="en-US"/>
        </w:rPr>
        <w:t xml:space="preserve">(dále </w:t>
      </w:r>
      <w:r w:rsidR="001D7407" w:rsidRPr="00120E8E">
        <w:rPr>
          <w:szCs w:val="24"/>
          <w:lang w:bidi="en-US"/>
        </w:rPr>
        <w:t xml:space="preserve">též </w:t>
      </w:r>
      <w:r w:rsidR="00C61534" w:rsidRPr="00120E8E">
        <w:rPr>
          <w:szCs w:val="24"/>
          <w:lang w:bidi="en-US"/>
        </w:rPr>
        <w:t>„</w:t>
      </w:r>
      <w:r w:rsidR="00C61534" w:rsidRPr="00120E8E">
        <w:rPr>
          <w:b/>
          <w:bCs/>
          <w:i/>
          <w:iCs/>
          <w:szCs w:val="24"/>
          <w:lang w:bidi="en-US"/>
        </w:rPr>
        <w:t>návrh zákona</w:t>
      </w:r>
      <w:r w:rsidR="00C61534" w:rsidRPr="00120E8E">
        <w:rPr>
          <w:szCs w:val="24"/>
          <w:lang w:bidi="en-US"/>
        </w:rPr>
        <w:t xml:space="preserve">“) </w:t>
      </w:r>
      <w:r w:rsidR="008C1986" w:rsidRPr="00120E8E">
        <w:rPr>
          <w:szCs w:val="24"/>
          <w:lang w:bidi="en-US"/>
        </w:rPr>
        <w:t>obsahuje</w:t>
      </w:r>
      <w:r w:rsidR="004805C9" w:rsidRPr="00120E8E">
        <w:rPr>
          <w:szCs w:val="24"/>
          <w:lang w:bidi="en-US"/>
        </w:rPr>
        <w:t xml:space="preserve"> řadu změn, které </w:t>
      </w:r>
      <w:r w:rsidR="0096556C" w:rsidRPr="00120E8E">
        <w:rPr>
          <w:szCs w:val="24"/>
          <w:lang w:bidi="en-US"/>
        </w:rPr>
        <w:t>implementují</w:t>
      </w:r>
      <w:r w:rsidR="004805C9" w:rsidRPr="00120E8E">
        <w:rPr>
          <w:szCs w:val="24"/>
          <w:lang w:bidi="en-US"/>
        </w:rPr>
        <w:t xml:space="preserve"> evropské předpisy, ale také reaguje na situaci v ČR a aplikační praxi v oblasti kapitálového trhu. Návrh zákona obsahuje tyto dílčí změny:</w:t>
      </w:r>
    </w:p>
    <w:p w14:paraId="6998B303" w14:textId="77777777" w:rsidR="003C1E58" w:rsidRPr="00120E8E" w:rsidRDefault="003C1E58" w:rsidP="00C72EBC">
      <w:pPr>
        <w:rPr>
          <w:szCs w:val="24"/>
          <w:lang w:bidi="en-US"/>
        </w:rPr>
      </w:pPr>
      <w:proofErr w:type="spellStart"/>
      <w:r w:rsidRPr="00120E8E">
        <w:rPr>
          <w:b/>
          <w:szCs w:val="24"/>
          <w:lang w:bidi="en-US"/>
        </w:rPr>
        <w:t>Listing</w:t>
      </w:r>
      <w:proofErr w:type="spellEnd"/>
      <w:r w:rsidRPr="00120E8E">
        <w:rPr>
          <w:b/>
          <w:szCs w:val="24"/>
          <w:lang w:bidi="en-US"/>
        </w:rPr>
        <w:t xml:space="preserve"> </w:t>
      </w:r>
      <w:proofErr w:type="spellStart"/>
      <w:r w:rsidRPr="00120E8E">
        <w:rPr>
          <w:b/>
          <w:szCs w:val="24"/>
          <w:lang w:bidi="en-US"/>
        </w:rPr>
        <w:t>Act</w:t>
      </w:r>
      <w:proofErr w:type="spellEnd"/>
      <w:r w:rsidRPr="00120E8E">
        <w:rPr>
          <w:b/>
          <w:szCs w:val="24"/>
          <w:lang w:bidi="en-US"/>
        </w:rPr>
        <w:t xml:space="preserve"> balíček</w:t>
      </w:r>
    </w:p>
    <w:p w14:paraId="2FF13476" w14:textId="3A8AB708" w:rsidR="004805C9" w:rsidRPr="00120E8E" w:rsidRDefault="003C1E58" w:rsidP="00C72EBC">
      <w:pPr>
        <w:rPr>
          <w:szCs w:val="24"/>
          <w:lang w:bidi="en-US"/>
        </w:rPr>
      </w:pPr>
      <w:r w:rsidRPr="00120E8E">
        <w:rPr>
          <w:szCs w:val="24"/>
          <w:lang w:bidi="en-US"/>
        </w:rPr>
        <w:t>Velká část návrh</w:t>
      </w:r>
      <w:r w:rsidR="00C53440" w:rsidRPr="00120E8E">
        <w:rPr>
          <w:szCs w:val="24"/>
          <w:lang w:bidi="en-US"/>
        </w:rPr>
        <w:t>u</w:t>
      </w:r>
      <w:r w:rsidRPr="00120E8E">
        <w:rPr>
          <w:szCs w:val="24"/>
          <w:lang w:bidi="en-US"/>
        </w:rPr>
        <w:t xml:space="preserve"> se věnuje implementaci </w:t>
      </w:r>
      <w:proofErr w:type="spellStart"/>
      <w:r w:rsidRPr="00120E8E">
        <w:rPr>
          <w:szCs w:val="24"/>
          <w:lang w:bidi="en-US"/>
        </w:rPr>
        <w:t>Listing</w:t>
      </w:r>
      <w:proofErr w:type="spellEnd"/>
      <w:r w:rsidRPr="00120E8E">
        <w:rPr>
          <w:szCs w:val="24"/>
          <w:lang w:bidi="en-US"/>
        </w:rPr>
        <w:t xml:space="preserve"> </w:t>
      </w:r>
      <w:proofErr w:type="spellStart"/>
      <w:r w:rsidRPr="00120E8E">
        <w:rPr>
          <w:szCs w:val="24"/>
          <w:lang w:bidi="en-US"/>
        </w:rPr>
        <w:t>Act</w:t>
      </w:r>
      <w:proofErr w:type="spellEnd"/>
      <w:r w:rsidRPr="00120E8E">
        <w:rPr>
          <w:szCs w:val="24"/>
          <w:lang w:bidi="en-US"/>
        </w:rPr>
        <w:t xml:space="preserve"> balíčku</w:t>
      </w:r>
      <w:r w:rsidR="00ED4A36" w:rsidRPr="00120E8E">
        <w:rPr>
          <w:szCs w:val="24"/>
          <w:lang w:bidi="en-US"/>
        </w:rPr>
        <w:t xml:space="preserve"> (dále též „</w:t>
      </w:r>
      <w:r w:rsidR="00ED4A36" w:rsidRPr="000A4CDA">
        <w:rPr>
          <w:b/>
          <w:i/>
          <w:iCs/>
          <w:szCs w:val="24"/>
          <w:lang w:bidi="en-US"/>
        </w:rPr>
        <w:t>balíček</w:t>
      </w:r>
      <w:r w:rsidR="00ED4A36" w:rsidRPr="00120E8E">
        <w:rPr>
          <w:i/>
          <w:iCs/>
          <w:szCs w:val="24"/>
          <w:lang w:bidi="en-US"/>
        </w:rPr>
        <w:t>“</w:t>
      </w:r>
      <w:r w:rsidR="00ED4A36" w:rsidRPr="00120E8E">
        <w:rPr>
          <w:szCs w:val="24"/>
          <w:lang w:bidi="en-US"/>
        </w:rPr>
        <w:t>)</w:t>
      </w:r>
      <w:r w:rsidRPr="00120E8E">
        <w:rPr>
          <w:szCs w:val="24"/>
          <w:lang w:bidi="en-US"/>
        </w:rPr>
        <w:t xml:space="preserve">, </w:t>
      </w:r>
      <w:r w:rsidR="00ED4A36" w:rsidRPr="00120E8E">
        <w:rPr>
          <w:szCs w:val="24"/>
          <w:lang w:bidi="en-US"/>
        </w:rPr>
        <w:t>jehož cílem je zatraktivnit kapitálový trh zejména pro malé a střední společnosti. Celý balíček</w:t>
      </w:r>
      <w:r w:rsidRPr="00120E8E">
        <w:rPr>
          <w:szCs w:val="24"/>
          <w:lang w:bidi="en-US"/>
        </w:rPr>
        <w:t xml:space="preserve"> se </w:t>
      </w:r>
      <w:r w:rsidR="00C53440" w:rsidRPr="00120E8E">
        <w:rPr>
          <w:szCs w:val="24"/>
          <w:lang w:bidi="en-US"/>
        </w:rPr>
        <w:t>s</w:t>
      </w:r>
      <w:r w:rsidRPr="00120E8E">
        <w:rPr>
          <w:szCs w:val="24"/>
          <w:lang w:bidi="en-US"/>
        </w:rPr>
        <w:t>kládá:</w:t>
      </w:r>
    </w:p>
    <w:p w14:paraId="2C7569D3" w14:textId="3A28FC59" w:rsidR="004805C9" w:rsidRPr="00120E8E" w:rsidRDefault="004805C9" w:rsidP="0096556C">
      <w:pPr>
        <w:pStyle w:val="Odstavecseseznamem"/>
        <w:numPr>
          <w:ilvl w:val="0"/>
          <w:numId w:val="8"/>
        </w:numPr>
        <w:rPr>
          <w:szCs w:val="24"/>
          <w:lang w:bidi="en-US"/>
        </w:rPr>
      </w:pPr>
      <w:r w:rsidRPr="00120E8E">
        <w:rPr>
          <w:szCs w:val="24"/>
          <w:lang w:bidi="en-US"/>
        </w:rPr>
        <w:t xml:space="preserve">z </w:t>
      </w:r>
      <w:r w:rsidR="008C1986" w:rsidRPr="00120E8E">
        <w:rPr>
          <w:szCs w:val="24"/>
          <w:lang w:bidi="en-US"/>
        </w:rPr>
        <w:t>nařízení Evropského parlamentu a Rady (EU) 2024/2809</w:t>
      </w:r>
      <w:r w:rsidR="00F55021" w:rsidRPr="00120E8E">
        <w:rPr>
          <w:szCs w:val="24"/>
          <w:lang w:bidi="en-US"/>
        </w:rPr>
        <w:t xml:space="preserve"> ze dne 23. října 2024, kterým se mění nařízení (EU) 2017/1129, (EU) č. 596/2014 a (EU) č. 600/2014 za účelem zvýšení atraktivity veřejných kapitálových trhů v Unii pro společnosti a usnadnění přístupu malých a středních podniků ke kapitálu (dále též </w:t>
      </w:r>
      <w:r w:rsidR="00F55021" w:rsidRPr="00120E8E">
        <w:rPr>
          <w:i/>
          <w:iCs/>
          <w:szCs w:val="24"/>
          <w:lang w:bidi="en-US"/>
        </w:rPr>
        <w:t>„</w:t>
      </w:r>
      <w:r w:rsidR="00F55021" w:rsidRPr="00120E8E">
        <w:rPr>
          <w:b/>
          <w:bCs/>
          <w:i/>
          <w:iCs/>
          <w:szCs w:val="24"/>
          <w:lang w:bidi="en-US"/>
        </w:rPr>
        <w:t xml:space="preserve">nařízení </w:t>
      </w:r>
      <w:proofErr w:type="spellStart"/>
      <w:r w:rsidR="00F55021" w:rsidRPr="00120E8E">
        <w:rPr>
          <w:b/>
          <w:bCs/>
          <w:i/>
          <w:iCs/>
          <w:szCs w:val="24"/>
          <w:lang w:bidi="en-US"/>
        </w:rPr>
        <w:t>Listing</w:t>
      </w:r>
      <w:proofErr w:type="spellEnd"/>
      <w:r w:rsidR="00F55021" w:rsidRPr="00120E8E">
        <w:rPr>
          <w:b/>
          <w:bCs/>
          <w:i/>
          <w:iCs/>
          <w:szCs w:val="24"/>
          <w:lang w:bidi="en-US"/>
        </w:rPr>
        <w:t xml:space="preserve"> </w:t>
      </w:r>
      <w:proofErr w:type="spellStart"/>
      <w:r w:rsidR="00F55021" w:rsidRPr="00120E8E">
        <w:rPr>
          <w:b/>
          <w:bCs/>
          <w:i/>
          <w:iCs/>
          <w:szCs w:val="24"/>
          <w:lang w:bidi="en-US"/>
        </w:rPr>
        <w:t>Act</w:t>
      </w:r>
      <w:proofErr w:type="spellEnd"/>
      <w:r w:rsidR="00F55021" w:rsidRPr="00120E8E">
        <w:rPr>
          <w:b/>
          <w:bCs/>
          <w:i/>
          <w:iCs/>
          <w:szCs w:val="24"/>
          <w:lang w:bidi="en-US"/>
        </w:rPr>
        <w:t xml:space="preserve"> balíčku</w:t>
      </w:r>
      <w:r w:rsidR="00F55021" w:rsidRPr="00120E8E">
        <w:rPr>
          <w:i/>
          <w:iCs/>
          <w:szCs w:val="24"/>
          <w:lang w:bidi="en-US"/>
        </w:rPr>
        <w:t>“</w:t>
      </w:r>
      <w:r w:rsidR="00F55021" w:rsidRPr="00120E8E">
        <w:rPr>
          <w:szCs w:val="24"/>
          <w:lang w:bidi="en-US"/>
        </w:rPr>
        <w:t xml:space="preserve">) </w:t>
      </w:r>
      <w:r w:rsidR="008C1986" w:rsidRPr="00120E8E">
        <w:rPr>
          <w:szCs w:val="24"/>
          <w:lang w:bidi="en-US"/>
        </w:rPr>
        <w:t xml:space="preserve">a </w:t>
      </w:r>
    </w:p>
    <w:p w14:paraId="01AC9DE5" w14:textId="00A9C394" w:rsidR="004169EF" w:rsidRPr="00120E8E" w:rsidRDefault="008C1986" w:rsidP="0096556C">
      <w:pPr>
        <w:pStyle w:val="Odstavecseseznamem"/>
        <w:numPr>
          <w:ilvl w:val="0"/>
          <w:numId w:val="8"/>
        </w:numPr>
        <w:rPr>
          <w:szCs w:val="24"/>
          <w:lang w:bidi="en-US"/>
        </w:rPr>
      </w:pPr>
      <w:r w:rsidRPr="00120E8E">
        <w:rPr>
          <w:szCs w:val="24"/>
          <w:lang w:bidi="en-US"/>
        </w:rPr>
        <w:t>ze směrnice Evropského parlamentu a Rady (EU) 2024/2810</w:t>
      </w:r>
      <w:r w:rsidR="00F55021" w:rsidRPr="00120E8E">
        <w:rPr>
          <w:szCs w:val="24"/>
          <w:lang w:bidi="en-US"/>
        </w:rPr>
        <w:t xml:space="preserve"> ze dne 23. října 2024</w:t>
      </w:r>
      <w:r w:rsidRPr="00120E8E">
        <w:rPr>
          <w:szCs w:val="24"/>
          <w:lang w:bidi="en-US"/>
        </w:rPr>
        <w:t xml:space="preserve"> </w:t>
      </w:r>
      <w:r w:rsidR="00F55021" w:rsidRPr="00120E8E">
        <w:rPr>
          <w:szCs w:val="24"/>
          <w:lang w:bidi="en-US"/>
        </w:rPr>
        <w:t xml:space="preserve">o strukturách zahrnujících akcie s násobným hlasovacím právem ve společnostech, které usilují o přijetí svých akcií k obchodování v mnohostranném obchodním systému (dále též </w:t>
      </w:r>
      <w:r w:rsidR="00F55021" w:rsidRPr="00120E8E">
        <w:rPr>
          <w:i/>
          <w:iCs/>
          <w:szCs w:val="24"/>
          <w:lang w:bidi="en-US"/>
        </w:rPr>
        <w:t>„</w:t>
      </w:r>
      <w:r w:rsidR="003C1E58" w:rsidRPr="00120E8E">
        <w:rPr>
          <w:b/>
          <w:i/>
          <w:iCs/>
          <w:szCs w:val="24"/>
          <w:lang w:bidi="en-US"/>
        </w:rPr>
        <w:t xml:space="preserve">směrnice </w:t>
      </w:r>
      <w:r w:rsidR="00F55021" w:rsidRPr="00120E8E">
        <w:rPr>
          <w:b/>
          <w:bCs/>
          <w:i/>
          <w:iCs/>
          <w:szCs w:val="24"/>
          <w:lang w:bidi="en-US"/>
        </w:rPr>
        <w:t>MVS</w:t>
      </w:r>
      <w:r w:rsidR="008D7F39">
        <w:rPr>
          <w:b/>
          <w:bCs/>
          <w:i/>
          <w:iCs/>
          <w:szCs w:val="24"/>
          <w:lang w:bidi="en-US"/>
        </w:rPr>
        <w:t>D</w:t>
      </w:r>
      <w:r w:rsidR="00F55021" w:rsidRPr="00120E8E">
        <w:rPr>
          <w:i/>
          <w:iCs/>
          <w:szCs w:val="24"/>
          <w:lang w:bidi="en-US"/>
        </w:rPr>
        <w:t>“</w:t>
      </w:r>
      <w:r w:rsidR="00F55021" w:rsidRPr="00120E8E">
        <w:rPr>
          <w:szCs w:val="24"/>
          <w:lang w:bidi="en-US"/>
        </w:rPr>
        <w:t xml:space="preserve">) </w:t>
      </w:r>
      <w:r w:rsidRPr="00120E8E">
        <w:rPr>
          <w:szCs w:val="24"/>
          <w:lang w:bidi="en-US"/>
        </w:rPr>
        <w:t xml:space="preserve">a </w:t>
      </w:r>
    </w:p>
    <w:p w14:paraId="3E9FA237" w14:textId="26FC822B" w:rsidR="00ED4A36" w:rsidRPr="00120E8E" w:rsidRDefault="004169EF" w:rsidP="00ED4A36">
      <w:pPr>
        <w:pStyle w:val="Odstavecseseznamem"/>
        <w:numPr>
          <w:ilvl w:val="0"/>
          <w:numId w:val="8"/>
        </w:numPr>
        <w:spacing w:after="0"/>
        <w:rPr>
          <w:szCs w:val="24"/>
          <w:lang w:bidi="en-US"/>
        </w:rPr>
      </w:pPr>
      <w:r w:rsidRPr="00120E8E">
        <w:rPr>
          <w:szCs w:val="24"/>
          <w:lang w:bidi="en-US"/>
        </w:rPr>
        <w:t xml:space="preserve">ze </w:t>
      </w:r>
      <w:r w:rsidR="008C1986" w:rsidRPr="00120E8E">
        <w:rPr>
          <w:szCs w:val="24"/>
          <w:lang w:bidi="en-US"/>
        </w:rPr>
        <w:t>směrnice Evropského parlamentu a Rady (EU) 2024/2811</w:t>
      </w:r>
      <w:r w:rsidR="00F55021" w:rsidRPr="00120E8E">
        <w:rPr>
          <w:szCs w:val="24"/>
          <w:lang w:bidi="en-US"/>
        </w:rPr>
        <w:t xml:space="preserve"> ze dne 23. října 2024, kterou se mění směrnice 2014/65/EU za účelem zvýšení atraktivity veřejných kapitálových trhů v Unii pro společnosti a usnadnění přístupu malých a středních podniků ke kapitálu a kterou se zrušuje směrnice 2001/34/ES (dále též „</w:t>
      </w:r>
      <w:r w:rsidR="00F55021" w:rsidRPr="00120E8E">
        <w:rPr>
          <w:b/>
          <w:bCs/>
          <w:i/>
          <w:iCs/>
          <w:szCs w:val="24"/>
          <w:lang w:bidi="en-US"/>
        </w:rPr>
        <w:t xml:space="preserve">směrnice </w:t>
      </w:r>
      <w:proofErr w:type="spellStart"/>
      <w:r w:rsidR="00F55021" w:rsidRPr="00120E8E">
        <w:rPr>
          <w:b/>
          <w:bCs/>
          <w:i/>
          <w:iCs/>
          <w:szCs w:val="24"/>
          <w:lang w:bidi="en-US"/>
        </w:rPr>
        <w:t>Listing</w:t>
      </w:r>
      <w:proofErr w:type="spellEnd"/>
      <w:r w:rsidR="00F55021" w:rsidRPr="00120E8E">
        <w:rPr>
          <w:b/>
          <w:bCs/>
          <w:i/>
          <w:iCs/>
          <w:szCs w:val="24"/>
          <w:lang w:bidi="en-US"/>
        </w:rPr>
        <w:t xml:space="preserve"> </w:t>
      </w:r>
      <w:proofErr w:type="spellStart"/>
      <w:r w:rsidR="00F55021" w:rsidRPr="00120E8E">
        <w:rPr>
          <w:b/>
          <w:bCs/>
          <w:i/>
          <w:iCs/>
          <w:szCs w:val="24"/>
          <w:lang w:bidi="en-US"/>
        </w:rPr>
        <w:t>Act</w:t>
      </w:r>
      <w:proofErr w:type="spellEnd"/>
      <w:r w:rsidR="00F55021" w:rsidRPr="00120E8E">
        <w:rPr>
          <w:b/>
          <w:bCs/>
          <w:i/>
          <w:iCs/>
          <w:szCs w:val="24"/>
          <w:lang w:bidi="en-US"/>
        </w:rPr>
        <w:t xml:space="preserve"> balíčku</w:t>
      </w:r>
      <w:r w:rsidR="00F55021" w:rsidRPr="00120E8E">
        <w:rPr>
          <w:szCs w:val="24"/>
          <w:lang w:bidi="en-US"/>
        </w:rPr>
        <w:t>“)</w:t>
      </w:r>
      <w:r w:rsidR="00ED4A36" w:rsidRPr="00120E8E">
        <w:rPr>
          <w:szCs w:val="24"/>
          <w:lang w:bidi="en-US"/>
        </w:rPr>
        <w:t>.</w:t>
      </w:r>
      <w:r w:rsidR="008C1986" w:rsidRPr="00120E8E">
        <w:rPr>
          <w:szCs w:val="24"/>
          <w:lang w:bidi="en-US"/>
        </w:rPr>
        <w:t xml:space="preserve"> </w:t>
      </w:r>
    </w:p>
    <w:p w14:paraId="5FB5E3FD" w14:textId="77777777" w:rsidR="00ED4A36" w:rsidRPr="00120E8E" w:rsidRDefault="00ED4A36" w:rsidP="0096556C">
      <w:pPr>
        <w:pStyle w:val="Odstavecseseznamem"/>
        <w:ind w:left="0"/>
        <w:rPr>
          <w:szCs w:val="24"/>
          <w:lang w:bidi="en-US"/>
        </w:rPr>
      </w:pPr>
    </w:p>
    <w:p w14:paraId="0F012FC3" w14:textId="1A47FA11" w:rsidR="004E148B" w:rsidRPr="00120E8E" w:rsidRDefault="008C1986" w:rsidP="0096556C">
      <w:pPr>
        <w:pStyle w:val="Odstavecseseznamem"/>
        <w:ind w:left="0"/>
        <w:rPr>
          <w:szCs w:val="24"/>
          <w:lang w:bidi="en-US"/>
        </w:rPr>
      </w:pPr>
      <w:r w:rsidRPr="00120E8E">
        <w:rPr>
          <w:szCs w:val="24"/>
          <w:lang w:bidi="en-US"/>
        </w:rPr>
        <w:t xml:space="preserve">Jedná se </w:t>
      </w:r>
      <w:r w:rsidR="004169EF" w:rsidRPr="00120E8E">
        <w:rPr>
          <w:szCs w:val="24"/>
          <w:lang w:bidi="en-US"/>
        </w:rPr>
        <w:t>z velké části</w:t>
      </w:r>
      <w:r w:rsidR="005806FD" w:rsidRPr="00120E8E">
        <w:rPr>
          <w:szCs w:val="24"/>
          <w:lang w:bidi="en-US"/>
        </w:rPr>
        <w:t xml:space="preserve"> o</w:t>
      </w:r>
      <w:r w:rsidR="004169EF" w:rsidRPr="00120E8E">
        <w:rPr>
          <w:szCs w:val="24"/>
          <w:lang w:bidi="en-US"/>
        </w:rPr>
        <w:t xml:space="preserve"> </w:t>
      </w:r>
      <w:r w:rsidRPr="00120E8E">
        <w:rPr>
          <w:szCs w:val="24"/>
          <w:lang w:bidi="en-US"/>
        </w:rPr>
        <w:t>balí</w:t>
      </w:r>
      <w:r w:rsidR="004E148B" w:rsidRPr="00120E8E">
        <w:rPr>
          <w:szCs w:val="24"/>
          <w:lang w:bidi="en-US"/>
        </w:rPr>
        <w:t>č</w:t>
      </w:r>
      <w:r w:rsidRPr="00120E8E">
        <w:rPr>
          <w:szCs w:val="24"/>
          <w:lang w:bidi="en-US"/>
        </w:rPr>
        <w:t>ek</w:t>
      </w:r>
      <w:r w:rsidR="004169EF" w:rsidRPr="00120E8E">
        <w:rPr>
          <w:szCs w:val="24"/>
          <w:lang w:bidi="en-US"/>
        </w:rPr>
        <w:t xml:space="preserve"> obsahující spíše technické úpravy</w:t>
      </w:r>
      <w:r w:rsidRPr="00120E8E">
        <w:rPr>
          <w:szCs w:val="24"/>
          <w:lang w:bidi="en-US"/>
        </w:rPr>
        <w:t xml:space="preserve"> revidující směrnici </w:t>
      </w:r>
      <w:r w:rsidR="00F55021" w:rsidRPr="00120E8E">
        <w:rPr>
          <w:szCs w:val="24"/>
          <w:lang w:bidi="en-US"/>
        </w:rPr>
        <w:t>Evropského parlamentu a Rady 2014/65/EU ze dne 15. května 2014 o trzích finančních nástrojů a o změně směrnic 2002/92/ES a 2011/61/EU</w:t>
      </w:r>
      <w:r w:rsidRPr="00120E8E">
        <w:rPr>
          <w:szCs w:val="24"/>
          <w:lang w:bidi="en-US"/>
        </w:rPr>
        <w:t xml:space="preserve"> (dále též </w:t>
      </w:r>
      <w:r w:rsidR="00F55021" w:rsidRPr="00120E8E">
        <w:rPr>
          <w:szCs w:val="24"/>
          <w:lang w:bidi="en-US"/>
        </w:rPr>
        <w:t>„</w:t>
      </w:r>
      <w:proofErr w:type="spellStart"/>
      <w:r w:rsidRPr="00120E8E">
        <w:rPr>
          <w:b/>
          <w:bCs/>
          <w:i/>
          <w:iCs/>
          <w:szCs w:val="24"/>
          <w:lang w:bidi="en-US"/>
        </w:rPr>
        <w:t>MiFID</w:t>
      </w:r>
      <w:proofErr w:type="spellEnd"/>
      <w:r w:rsidRPr="00120E8E">
        <w:rPr>
          <w:b/>
          <w:bCs/>
          <w:i/>
          <w:iCs/>
          <w:szCs w:val="24"/>
          <w:lang w:bidi="en-US"/>
        </w:rPr>
        <w:t xml:space="preserve"> II</w:t>
      </w:r>
      <w:r w:rsidR="00F55021" w:rsidRPr="00120E8E">
        <w:rPr>
          <w:i/>
          <w:iCs/>
          <w:szCs w:val="24"/>
          <w:lang w:bidi="en-US"/>
        </w:rPr>
        <w:t>“</w:t>
      </w:r>
      <w:r w:rsidRPr="00120E8E">
        <w:rPr>
          <w:szCs w:val="24"/>
          <w:lang w:bidi="en-US"/>
        </w:rPr>
        <w:t>)</w:t>
      </w:r>
      <w:r w:rsidR="003C1E58" w:rsidRPr="00120E8E">
        <w:rPr>
          <w:szCs w:val="24"/>
          <w:lang w:bidi="en-US"/>
        </w:rPr>
        <w:t xml:space="preserve"> a</w:t>
      </w:r>
      <w:r w:rsidRPr="00120E8E">
        <w:rPr>
          <w:szCs w:val="24"/>
          <w:lang w:bidi="en-US"/>
        </w:rPr>
        <w:t xml:space="preserve"> rušící směrnici </w:t>
      </w:r>
      <w:r w:rsidR="00F55021" w:rsidRPr="00120E8E">
        <w:rPr>
          <w:szCs w:val="24"/>
          <w:lang w:bidi="en-US"/>
        </w:rPr>
        <w:t>Evropského parlamentu a Rady 2001/34/ES ze dne 28. května 2001 o přijetí cenných papírů ke</w:t>
      </w:r>
      <w:r w:rsidR="005806FD" w:rsidRPr="00120E8E">
        <w:rPr>
          <w:szCs w:val="24"/>
          <w:lang w:bidi="en-US"/>
        </w:rPr>
        <w:t> </w:t>
      </w:r>
      <w:r w:rsidR="00F55021" w:rsidRPr="00120E8E">
        <w:rPr>
          <w:szCs w:val="24"/>
          <w:lang w:bidi="en-US"/>
        </w:rPr>
        <w:t xml:space="preserve">kotování na burze cenných papírů a o informacích, které k nim mají být zveřejněny </w:t>
      </w:r>
      <w:r w:rsidRPr="00120E8E">
        <w:rPr>
          <w:szCs w:val="24"/>
          <w:lang w:bidi="en-US"/>
        </w:rPr>
        <w:t>(dále též</w:t>
      </w:r>
      <w:r w:rsidR="005806FD" w:rsidRPr="00120E8E">
        <w:rPr>
          <w:szCs w:val="24"/>
          <w:lang w:bidi="en-US"/>
        </w:rPr>
        <w:t> </w:t>
      </w:r>
      <w:r w:rsidR="00A72015" w:rsidRPr="00120E8E">
        <w:rPr>
          <w:szCs w:val="24"/>
          <w:lang w:bidi="en-US"/>
        </w:rPr>
        <w:t>„</w:t>
      </w:r>
      <w:r w:rsidRPr="00120E8E">
        <w:rPr>
          <w:b/>
          <w:bCs/>
          <w:i/>
          <w:iCs/>
          <w:szCs w:val="24"/>
          <w:lang w:bidi="en-US"/>
        </w:rPr>
        <w:t xml:space="preserve">směrnice o </w:t>
      </w:r>
      <w:proofErr w:type="spellStart"/>
      <w:r w:rsidRPr="00120E8E">
        <w:rPr>
          <w:b/>
          <w:bCs/>
          <w:i/>
          <w:iCs/>
          <w:szCs w:val="24"/>
          <w:lang w:bidi="en-US"/>
        </w:rPr>
        <w:t>listingu</w:t>
      </w:r>
      <w:proofErr w:type="spellEnd"/>
      <w:r w:rsidR="00A72015" w:rsidRPr="00120E8E">
        <w:rPr>
          <w:szCs w:val="24"/>
          <w:lang w:bidi="en-US"/>
        </w:rPr>
        <w:t>“</w:t>
      </w:r>
      <w:r w:rsidRPr="00120E8E">
        <w:rPr>
          <w:szCs w:val="24"/>
          <w:lang w:bidi="en-US"/>
        </w:rPr>
        <w:t>)</w:t>
      </w:r>
      <w:r w:rsidR="003C1E58" w:rsidRPr="00120E8E">
        <w:rPr>
          <w:szCs w:val="24"/>
          <w:lang w:bidi="en-US"/>
        </w:rPr>
        <w:t xml:space="preserve">. Dále je v rámci balíčku </w:t>
      </w:r>
      <w:r w:rsidRPr="00120E8E">
        <w:rPr>
          <w:szCs w:val="24"/>
          <w:lang w:bidi="en-US"/>
        </w:rPr>
        <w:t>revid</w:t>
      </w:r>
      <w:r w:rsidR="003C1E58" w:rsidRPr="00120E8E">
        <w:rPr>
          <w:szCs w:val="24"/>
          <w:lang w:bidi="en-US"/>
        </w:rPr>
        <w:t>ováno</w:t>
      </w:r>
      <w:r w:rsidRPr="00120E8E">
        <w:rPr>
          <w:szCs w:val="24"/>
          <w:lang w:bidi="en-US"/>
        </w:rPr>
        <w:t xml:space="preserve"> nařízení </w:t>
      </w:r>
      <w:r w:rsidR="00A72015" w:rsidRPr="00120E8E">
        <w:rPr>
          <w:szCs w:val="24"/>
          <w:lang w:bidi="en-US"/>
        </w:rPr>
        <w:t>Evropského parlamentu a Rady (EU) 2017/1129 ze dne 14. června 2017 o prospektu, který má být uveřejněn při veřejné nabídce nebo přijetí cenných papírů k obchodování na</w:t>
      </w:r>
      <w:r w:rsidR="003C1E58" w:rsidRPr="00120E8E">
        <w:rPr>
          <w:szCs w:val="24"/>
          <w:lang w:bidi="en-US"/>
        </w:rPr>
        <w:t> </w:t>
      </w:r>
      <w:r w:rsidR="00A72015" w:rsidRPr="00120E8E">
        <w:rPr>
          <w:szCs w:val="24"/>
          <w:lang w:bidi="en-US"/>
        </w:rPr>
        <w:t>regulovaném trhu, a o zrušení směrnice 2003/71/ES</w:t>
      </w:r>
      <w:r w:rsidRPr="00120E8E">
        <w:rPr>
          <w:szCs w:val="24"/>
          <w:lang w:bidi="en-US"/>
        </w:rPr>
        <w:t xml:space="preserve"> (</w:t>
      </w:r>
      <w:r w:rsidR="004E148B" w:rsidRPr="00120E8E">
        <w:rPr>
          <w:szCs w:val="24"/>
          <w:lang w:bidi="en-US"/>
        </w:rPr>
        <w:t xml:space="preserve">dále též </w:t>
      </w:r>
      <w:r w:rsidR="00A72015" w:rsidRPr="00120E8E">
        <w:rPr>
          <w:szCs w:val="24"/>
          <w:lang w:bidi="en-US"/>
        </w:rPr>
        <w:t>„</w:t>
      </w:r>
      <w:r w:rsidRPr="00120E8E">
        <w:rPr>
          <w:b/>
          <w:bCs/>
          <w:i/>
          <w:iCs/>
          <w:szCs w:val="24"/>
          <w:lang w:bidi="en-US"/>
        </w:rPr>
        <w:t>nařízení o prospektu</w:t>
      </w:r>
      <w:r w:rsidR="00A72015" w:rsidRPr="00120E8E">
        <w:rPr>
          <w:szCs w:val="24"/>
          <w:lang w:bidi="en-US"/>
        </w:rPr>
        <w:t>“</w:t>
      </w:r>
      <w:r w:rsidRPr="00120E8E">
        <w:rPr>
          <w:szCs w:val="24"/>
          <w:lang w:bidi="en-US"/>
        </w:rPr>
        <w:t xml:space="preserve">), </w:t>
      </w:r>
      <w:r w:rsidR="00A72015" w:rsidRPr="00120E8E">
        <w:rPr>
          <w:szCs w:val="24"/>
          <w:lang w:bidi="en-US"/>
        </w:rPr>
        <w:t xml:space="preserve">nařízení Evropského parlamentu a Rady (EU) č. 596/2014 ze dne 16. dubna 2014 o zneužívání trhu (nařízení o zneužívání trhu) a o zrušení </w:t>
      </w:r>
      <w:r w:rsidR="00A72015" w:rsidRPr="00120E8E">
        <w:rPr>
          <w:szCs w:val="24"/>
          <w:lang w:bidi="en-US"/>
        </w:rPr>
        <w:lastRenderedPageBreak/>
        <w:t>směrnice Evropského parlamentu a Rady 2003/6/ES a směrnic Komise 2003/124/ES, 2003/125/ES a 2004/72/ES</w:t>
      </w:r>
      <w:r w:rsidRPr="00120E8E">
        <w:rPr>
          <w:szCs w:val="24"/>
          <w:lang w:bidi="en-US"/>
        </w:rPr>
        <w:t xml:space="preserve"> (</w:t>
      </w:r>
      <w:r w:rsidR="004E148B" w:rsidRPr="00120E8E">
        <w:rPr>
          <w:szCs w:val="24"/>
          <w:lang w:bidi="en-US"/>
        </w:rPr>
        <w:t xml:space="preserve">dále též </w:t>
      </w:r>
      <w:r w:rsidR="00A72015" w:rsidRPr="00120E8E">
        <w:rPr>
          <w:szCs w:val="24"/>
          <w:lang w:bidi="en-US"/>
        </w:rPr>
        <w:t>„</w:t>
      </w:r>
      <w:r w:rsidR="000F76CA" w:rsidRPr="000F76CA">
        <w:rPr>
          <w:b/>
          <w:i/>
          <w:szCs w:val="24"/>
          <w:lang w:bidi="en-US"/>
        </w:rPr>
        <w:t xml:space="preserve">nařízení </w:t>
      </w:r>
      <w:r w:rsidRPr="00120E8E">
        <w:rPr>
          <w:b/>
          <w:bCs/>
          <w:i/>
          <w:iCs/>
          <w:szCs w:val="24"/>
          <w:lang w:bidi="en-US"/>
        </w:rPr>
        <w:t>MAR</w:t>
      </w:r>
      <w:r w:rsidR="00A72015" w:rsidRPr="00120E8E">
        <w:rPr>
          <w:szCs w:val="24"/>
          <w:lang w:bidi="en-US"/>
        </w:rPr>
        <w:t>“</w:t>
      </w:r>
      <w:r w:rsidRPr="00120E8E">
        <w:rPr>
          <w:szCs w:val="24"/>
          <w:lang w:bidi="en-US"/>
        </w:rPr>
        <w:t xml:space="preserve">), </w:t>
      </w:r>
      <w:r w:rsidR="00A72015" w:rsidRPr="00120E8E">
        <w:rPr>
          <w:szCs w:val="24"/>
          <w:lang w:bidi="en-US"/>
        </w:rPr>
        <w:t>nařízení Evropského parlamentu a Rady (EU) č. 600/2014 ze dne 15. května 2014 o trzích finančních nástrojů a o změně nařízení (EU) č. 648/2012</w:t>
      </w:r>
      <w:r w:rsidRPr="00120E8E">
        <w:rPr>
          <w:szCs w:val="24"/>
          <w:lang w:bidi="en-US"/>
        </w:rPr>
        <w:t xml:space="preserve"> (</w:t>
      </w:r>
      <w:r w:rsidR="004E148B" w:rsidRPr="00120E8E">
        <w:rPr>
          <w:szCs w:val="24"/>
          <w:lang w:bidi="en-US"/>
        </w:rPr>
        <w:t xml:space="preserve">dále též </w:t>
      </w:r>
      <w:r w:rsidR="00A72015" w:rsidRPr="00120E8E">
        <w:rPr>
          <w:szCs w:val="24"/>
          <w:lang w:bidi="en-US"/>
        </w:rPr>
        <w:t>„</w:t>
      </w:r>
      <w:proofErr w:type="spellStart"/>
      <w:r w:rsidRPr="00120E8E">
        <w:rPr>
          <w:b/>
          <w:bCs/>
          <w:i/>
          <w:iCs/>
          <w:szCs w:val="24"/>
          <w:lang w:bidi="en-US"/>
        </w:rPr>
        <w:t>MiFIR</w:t>
      </w:r>
      <w:proofErr w:type="spellEnd"/>
      <w:r w:rsidR="00A72015" w:rsidRPr="00120E8E">
        <w:rPr>
          <w:szCs w:val="24"/>
          <w:lang w:bidi="en-US"/>
        </w:rPr>
        <w:t>“</w:t>
      </w:r>
      <w:r w:rsidRPr="00120E8E">
        <w:rPr>
          <w:szCs w:val="24"/>
          <w:lang w:bidi="en-US"/>
        </w:rPr>
        <w:t xml:space="preserve">). </w:t>
      </w:r>
    </w:p>
    <w:p w14:paraId="4FB12467" w14:textId="77777777" w:rsidR="00E32EE7" w:rsidRPr="00120E8E" w:rsidRDefault="0096556C" w:rsidP="00C72EBC">
      <w:pPr>
        <w:rPr>
          <w:szCs w:val="24"/>
          <w:lang w:bidi="en-US"/>
        </w:rPr>
      </w:pPr>
      <w:r w:rsidRPr="00120E8E">
        <w:rPr>
          <w:szCs w:val="24"/>
          <w:lang w:bidi="en-US"/>
        </w:rPr>
        <w:t xml:space="preserve">Směrnice </w:t>
      </w:r>
      <w:proofErr w:type="spellStart"/>
      <w:r w:rsidRPr="00120E8E">
        <w:rPr>
          <w:szCs w:val="24"/>
          <w:lang w:bidi="en-US"/>
        </w:rPr>
        <w:t>Listing</w:t>
      </w:r>
      <w:proofErr w:type="spellEnd"/>
      <w:r w:rsidRPr="00120E8E">
        <w:rPr>
          <w:szCs w:val="24"/>
          <w:lang w:bidi="en-US"/>
        </w:rPr>
        <w:t xml:space="preserve"> </w:t>
      </w:r>
      <w:proofErr w:type="spellStart"/>
      <w:r w:rsidRPr="00120E8E">
        <w:rPr>
          <w:szCs w:val="24"/>
          <w:lang w:bidi="en-US"/>
        </w:rPr>
        <w:t>Act</w:t>
      </w:r>
      <w:proofErr w:type="spellEnd"/>
      <w:r w:rsidRPr="00120E8E">
        <w:rPr>
          <w:szCs w:val="24"/>
          <w:lang w:bidi="en-US"/>
        </w:rPr>
        <w:t xml:space="preserve"> balíčku </w:t>
      </w:r>
      <w:r w:rsidR="005806FD" w:rsidRPr="00120E8E">
        <w:rPr>
          <w:szCs w:val="24"/>
          <w:lang w:bidi="en-US"/>
        </w:rPr>
        <w:t xml:space="preserve">zavádí možnost provozovat jako trh pro růst malých a středních podniků i pouze segment mnohostranného obchodního systému, je-li tento dostatečně oddělen od zbylé části </w:t>
      </w:r>
      <w:r w:rsidR="00734FD5" w:rsidRPr="00120E8E">
        <w:rPr>
          <w:szCs w:val="24"/>
          <w:lang w:bidi="en-US"/>
        </w:rPr>
        <w:t xml:space="preserve">mnohostranného obchodního systému. </w:t>
      </w:r>
      <w:r w:rsidR="004A0D4F" w:rsidRPr="00120E8E">
        <w:rPr>
          <w:szCs w:val="24"/>
          <w:lang w:bidi="en-US"/>
        </w:rPr>
        <w:t xml:space="preserve">Dále dochází k rozvolnění možnosti investičního výzkumu a případné úhrady za něj. </w:t>
      </w:r>
      <w:r w:rsidR="00734FD5" w:rsidRPr="00120E8E">
        <w:rPr>
          <w:szCs w:val="24"/>
          <w:lang w:bidi="en-US"/>
        </w:rPr>
        <w:t xml:space="preserve">Nařízení </w:t>
      </w:r>
      <w:proofErr w:type="spellStart"/>
      <w:r w:rsidR="00734FD5" w:rsidRPr="00120E8E">
        <w:rPr>
          <w:szCs w:val="24"/>
          <w:lang w:bidi="en-US"/>
        </w:rPr>
        <w:t>Listing</w:t>
      </w:r>
      <w:proofErr w:type="spellEnd"/>
      <w:r w:rsidR="00734FD5" w:rsidRPr="00120E8E">
        <w:rPr>
          <w:szCs w:val="24"/>
          <w:lang w:bidi="en-US"/>
        </w:rPr>
        <w:t xml:space="preserve"> </w:t>
      </w:r>
      <w:proofErr w:type="spellStart"/>
      <w:r w:rsidR="00734FD5" w:rsidRPr="00120E8E">
        <w:rPr>
          <w:szCs w:val="24"/>
          <w:lang w:bidi="en-US"/>
        </w:rPr>
        <w:t>Act</w:t>
      </w:r>
      <w:proofErr w:type="spellEnd"/>
      <w:r w:rsidR="00734FD5" w:rsidRPr="00120E8E">
        <w:rPr>
          <w:szCs w:val="24"/>
          <w:lang w:bidi="en-US"/>
        </w:rPr>
        <w:t xml:space="preserve"> balíčku se</w:t>
      </w:r>
      <w:r w:rsidR="00ED5C44" w:rsidRPr="00120E8E">
        <w:rPr>
          <w:szCs w:val="24"/>
          <w:lang w:bidi="en-US"/>
        </w:rPr>
        <w:t> </w:t>
      </w:r>
      <w:r w:rsidR="00734FD5" w:rsidRPr="00120E8E">
        <w:rPr>
          <w:szCs w:val="24"/>
          <w:lang w:bidi="en-US"/>
        </w:rPr>
        <w:t>soustřeďuje mimo jiné na změny prahových hodnot – navýšení prahové hodnoty pro</w:t>
      </w:r>
      <w:r w:rsidR="00ED5C44" w:rsidRPr="00120E8E">
        <w:rPr>
          <w:szCs w:val="24"/>
          <w:lang w:bidi="en-US"/>
        </w:rPr>
        <w:t> </w:t>
      </w:r>
      <w:r w:rsidR="00734FD5" w:rsidRPr="00120E8E">
        <w:rPr>
          <w:szCs w:val="24"/>
          <w:lang w:bidi="en-US"/>
        </w:rPr>
        <w:t>prospekt, prahové hodnoty pro povolené manažerské obchody nebo větší proporcionalitu maximálních sankcí pro</w:t>
      </w:r>
      <w:r w:rsidR="00ED4A36" w:rsidRPr="00120E8E">
        <w:rPr>
          <w:szCs w:val="24"/>
          <w:lang w:bidi="en-US"/>
        </w:rPr>
        <w:t> </w:t>
      </w:r>
      <w:r w:rsidR="00734FD5" w:rsidRPr="00120E8E">
        <w:rPr>
          <w:szCs w:val="24"/>
          <w:lang w:bidi="en-US"/>
        </w:rPr>
        <w:t>malé a střední podniky (dále též „</w:t>
      </w:r>
      <w:r w:rsidR="00734FD5" w:rsidRPr="00120E8E">
        <w:rPr>
          <w:b/>
          <w:bCs/>
          <w:i/>
          <w:iCs/>
          <w:szCs w:val="24"/>
          <w:lang w:bidi="en-US"/>
        </w:rPr>
        <w:t>SME</w:t>
      </w:r>
      <w:r w:rsidR="00734FD5" w:rsidRPr="00120E8E">
        <w:rPr>
          <w:szCs w:val="24"/>
          <w:lang w:bidi="en-US"/>
        </w:rPr>
        <w:t>“). Dále je cílem snížit administrativní zátěž ve</w:t>
      </w:r>
      <w:r w:rsidR="00ED4A36" w:rsidRPr="00120E8E">
        <w:rPr>
          <w:szCs w:val="24"/>
          <w:lang w:bidi="en-US"/>
        </w:rPr>
        <w:t> </w:t>
      </w:r>
      <w:r w:rsidR="00734FD5" w:rsidRPr="00120E8E">
        <w:rPr>
          <w:szCs w:val="24"/>
          <w:lang w:bidi="en-US"/>
        </w:rPr>
        <w:t>vztahu k reportingu – ať jde již o seznam obeznámených osob (tzv.</w:t>
      </w:r>
      <w:r w:rsidR="00ED5C44" w:rsidRPr="00120E8E">
        <w:rPr>
          <w:szCs w:val="24"/>
          <w:lang w:bidi="en-US"/>
        </w:rPr>
        <w:t> </w:t>
      </w:r>
      <w:proofErr w:type="spellStart"/>
      <w:r w:rsidR="00ED5C44" w:rsidRPr="00120E8E">
        <w:rPr>
          <w:b/>
          <w:bCs/>
          <w:i/>
          <w:iCs/>
          <w:szCs w:val="24"/>
          <w:lang w:bidi="en-US"/>
        </w:rPr>
        <w:t>i</w:t>
      </w:r>
      <w:r w:rsidR="00734FD5" w:rsidRPr="00120E8E">
        <w:rPr>
          <w:b/>
          <w:bCs/>
          <w:i/>
          <w:iCs/>
          <w:szCs w:val="24"/>
          <w:lang w:bidi="en-US"/>
        </w:rPr>
        <w:t>nsider</w:t>
      </w:r>
      <w:proofErr w:type="spellEnd"/>
      <w:r w:rsidR="00734FD5" w:rsidRPr="00120E8E">
        <w:rPr>
          <w:b/>
          <w:bCs/>
          <w:i/>
          <w:iCs/>
          <w:szCs w:val="24"/>
          <w:lang w:bidi="en-US"/>
        </w:rPr>
        <w:t xml:space="preserve"> list</w:t>
      </w:r>
      <w:r w:rsidR="00734FD5" w:rsidRPr="00120E8E">
        <w:rPr>
          <w:szCs w:val="24"/>
          <w:lang w:bidi="en-US"/>
        </w:rPr>
        <w:t>) nebo odložení zveřejnění vnitřních informací. Dochází také ke snížení zátěže ve vztahu k prospektu, resp.</w:t>
      </w:r>
      <w:r w:rsidR="00ED4A36" w:rsidRPr="00120E8E">
        <w:rPr>
          <w:szCs w:val="24"/>
          <w:lang w:bidi="en-US"/>
        </w:rPr>
        <w:t> </w:t>
      </w:r>
      <w:r w:rsidR="00734FD5" w:rsidRPr="00120E8E">
        <w:rPr>
          <w:szCs w:val="24"/>
          <w:lang w:bidi="en-US"/>
        </w:rPr>
        <w:t>k </w:t>
      </w:r>
      <w:proofErr w:type="spellStart"/>
      <w:r w:rsidR="00734FD5" w:rsidRPr="00120E8E">
        <w:rPr>
          <w:szCs w:val="24"/>
          <w:lang w:bidi="en-US"/>
        </w:rPr>
        <w:t>zastropování</w:t>
      </w:r>
      <w:proofErr w:type="spellEnd"/>
      <w:r w:rsidR="00734FD5" w:rsidRPr="00120E8E">
        <w:rPr>
          <w:szCs w:val="24"/>
          <w:lang w:bidi="en-US"/>
        </w:rPr>
        <w:t xml:space="preserve"> jeho maximálního rozsahu. Nařízení </w:t>
      </w:r>
      <w:proofErr w:type="spellStart"/>
      <w:r w:rsidR="00734FD5" w:rsidRPr="00120E8E">
        <w:rPr>
          <w:szCs w:val="24"/>
          <w:lang w:bidi="en-US"/>
        </w:rPr>
        <w:t>Listing</w:t>
      </w:r>
      <w:proofErr w:type="spellEnd"/>
      <w:r w:rsidR="00734FD5" w:rsidRPr="00120E8E">
        <w:rPr>
          <w:szCs w:val="24"/>
          <w:lang w:bidi="en-US"/>
        </w:rPr>
        <w:t xml:space="preserve"> </w:t>
      </w:r>
      <w:proofErr w:type="spellStart"/>
      <w:r w:rsidR="00734FD5" w:rsidRPr="00120E8E">
        <w:rPr>
          <w:szCs w:val="24"/>
          <w:lang w:bidi="en-US"/>
        </w:rPr>
        <w:t>Act</w:t>
      </w:r>
      <w:proofErr w:type="spellEnd"/>
      <w:r w:rsidR="00734FD5" w:rsidRPr="00120E8E">
        <w:rPr>
          <w:szCs w:val="24"/>
          <w:lang w:bidi="en-US"/>
        </w:rPr>
        <w:t xml:space="preserve"> balíčku </w:t>
      </w:r>
      <w:r w:rsidR="005D6503" w:rsidRPr="00120E8E">
        <w:rPr>
          <w:szCs w:val="24"/>
          <w:lang w:bidi="en-US"/>
        </w:rPr>
        <w:t>obsahuje řadu di</w:t>
      </w:r>
      <w:r w:rsidR="0075290D" w:rsidRPr="00120E8E">
        <w:rPr>
          <w:szCs w:val="24"/>
          <w:lang w:bidi="en-US"/>
        </w:rPr>
        <w:t>s</w:t>
      </w:r>
      <w:r w:rsidR="005D6503" w:rsidRPr="00120E8E">
        <w:rPr>
          <w:szCs w:val="24"/>
          <w:lang w:bidi="en-US"/>
        </w:rPr>
        <w:t>krecí, kterých mohou členské státy využít –</w:t>
      </w:r>
    </w:p>
    <w:p w14:paraId="705AA8D3" w14:textId="77777777" w:rsidR="00E32EE7" w:rsidRPr="00120E8E" w:rsidRDefault="005D6503" w:rsidP="00E32EE7">
      <w:pPr>
        <w:pStyle w:val="Odstavecseseznamem"/>
        <w:numPr>
          <w:ilvl w:val="0"/>
          <w:numId w:val="11"/>
        </w:numPr>
        <w:rPr>
          <w:szCs w:val="24"/>
          <w:lang w:bidi="en-US"/>
        </w:rPr>
      </w:pPr>
      <w:r w:rsidRPr="00120E8E">
        <w:rPr>
          <w:szCs w:val="24"/>
          <w:lang w:bidi="en-US"/>
        </w:rPr>
        <w:t xml:space="preserve">jedná se </w:t>
      </w:r>
      <w:r w:rsidR="00E32EE7" w:rsidRPr="00120E8E">
        <w:rPr>
          <w:szCs w:val="24"/>
          <w:lang w:bidi="en-US"/>
        </w:rPr>
        <w:t>právě</w:t>
      </w:r>
      <w:r w:rsidRPr="00120E8E">
        <w:rPr>
          <w:szCs w:val="24"/>
          <w:lang w:bidi="en-US"/>
        </w:rPr>
        <w:t xml:space="preserve"> o</w:t>
      </w:r>
      <w:r w:rsidR="00ED5C44" w:rsidRPr="00120E8E">
        <w:rPr>
          <w:szCs w:val="24"/>
          <w:lang w:bidi="en-US"/>
        </w:rPr>
        <w:t> </w:t>
      </w:r>
      <w:r w:rsidRPr="00120E8E">
        <w:rPr>
          <w:szCs w:val="24"/>
          <w:lang w:bidi="en-US"/>
        </w:rPr>
        <w:t>prahovou hodnotu pro</w:t>
      </w:r>
      <w:r w:rsidR="00ED4A36" w:rsidRPr="00120E8E">
        <w:rPr>
          <w:szCs w:val="24"/>
          <w:lang w:bidi="en-US"/>
        </w:rPr>
        <w:t> </w:t>
      </w:r>
      <w:r w:rsidRPr="00120E8E">
        <w:rPr>
          <w:szCs w:val="24"/>
          <w:lang w:bidi="en-US"/>
        </w:rPr>
        <w:t xml:space="preserve">prospekt, kdy je nastavena obecná hranice 12 mil. EUR s tím, že tuto mohou členské státy snížit na 5. mil. EUR; </w:t>
      </w:r>
    </w:p>
    <w:p w14:paraId="34BAB903" w14:textId="77777777" w:rsidR="00E32EE7" w:rsidRPr="00120E8E" w:rsidRDefault="0075290D" w:rsidP="00E32EE7">
      <w:pPr>
        <w:pStyle w:val="Odstavecseseznamem"/>
        <w:numPr>
          <w:ilvl w:val="0"/>
          <w:numId w:val="11"/>
        </w:numPr>
        <w:rPr>
          <w:szCs w:val="24"/>
          <w:lang w:bidi="en-US"/>
        </w:rPr>
      </w:pPr>
      <w:r w:rsidRPr="00120E8E">
        <w:rPr>
          <w:szCs w:val="24"/>
          <w:lang w:bidi="en-US"/>
        </w:rPr>
        <w:t>možnost požadovat formalizovaný dokument pod</w:t>
      </w:r>
      <w:r w:rsidR="00ED5C44" w:rsidRPr="00120E8E">
        <w:rPr>
          <w:szCs w:val="24"/>
          <w:lang w:bidi="en-US"/>
        </w:rPr>
        <w:t> </w:t>
      </w:r>
      <w:r w:rsidRPr="00120E8E">
        <w:rPr>
          <w:szCs w:val="24"/>
          <w:lang w:bidi="en-US"/>
        </w:rPr>
        <w:t xml:space="preserve">hranicí prospektu; </w:t>
      </w:r>
    </w:p>
    <w:p w14:paraId="01B885B6" w14:textId="77777777" w:rsidR="00E32EE7" w:rsidRPr="00120E8E" w:rsidRDefault="0075290D" w:rsidP="00E32EE7">
      <w:pPr>
        <w:pStyle w:val="Odstavecseseznamem"/>
        <w:numPr>
          <w:ilvl w:val="0"/>
          <w:numId w:val="11"/>
        </w:numPr>
        <w:rPr>
          <w:szCs w:val="24"/>
          <w:lang w:bidi="en-US"/>
        </w:rPr>
      </w:pPr>
      <w:r w:rsidRPr="00120E8E">
        <w:rPr>
          <w:szCs w:val="24"/>
          <w:lang w:bidi="en-US"/>
        </w:rPr>
        <w:t>jazyk prospektu</w:t>
      </w:r>
      <w:r w:rsidR="00ED5C44" w:rsidRPr="00120E8E">
        <w:rPr>
          <w:szCs w:val="24"/>
          <w:lang w:bidi="en-US"/>
        </w:rPr>
        <w:t xml:space="preserve"> při </w:t>
      </w:r>
      <w:r w:rsidR="00ED4A36" w:rsidRPr="00120E8E">
        <w:rPr>
          <w:szCs w:val="24"/>
          <w:lang w:bidi="en-US"/>
        </w:rPr>
        <w:t>čistě</w:t>
      </w:r>
      <w:r w:rsidR="00ED5C44" w:rsidRPr="00120E8E">
        <w:rPr>
          <w:szCs w:val="24"/>
          <w:lang w:bidi="en-US"/>
        </w:rPr>
        <w:t xml:space="preserve"> vnitrostátní nabídce</w:t>
      </w:r>
      <w:r w:rsidRPr="00120E8E">
        <w:rPr>
          <w:szCs w:val="24"/>
          <w:lang w:bidi="en-US"/>
        </w:rPr>
        <w:t xml:space="preserve">; </w:t>
      </w:r>
    </w:p>
    <w:p w14:paraId="74019D24" w14:textId="77777777" w:rsidR="00E32EE7" w:rsidRPr="00120E8E" w:rsidRDefault="0075290D" w:rsidP="00E32EE7">
      <w:pPr>
        <w:pStyle w:val="Odstavecseseznamem"/>
        <w:numPr>
          <w:ilvl w:val="0"/>
          <w:numId w:val="11"/>
        </w:numPr>
        <w:rPr>
          <w:szCs w:val="24"/>
          <w:lang w:bidi="en-US"/>
        </w:rPr>
      </w:pPr>
      <w:r w:rsidRPr="00120E8E">
        <w:rPr>
          <w:szCs w:val="24"/>
          <w:lang w:bidi="en-US"/>
        </w:rPr>
        <w:t xml:space="preserve">stanovení alternativních požadavků zajištění dostatečné likvidity při </w:t>
      </w:r>
      <w:r w:rsidR="00E32EE7" w:rsidRPr="00120E8E">
        <w:rPr>
          <w:szCs w:val="24"/>
          <w:lang w:bidi="en-US"/>
        </w:rPr>
        <w:t>veřejné nabídce cenných papírů nebo</w:t>
      </w:r>
    </w:p>
    <w:p w14:paraId="2D6BF1ED" w14:textId="03E00307" w:rsidR="0096556C" w:rsidRPr="00120E8E" w:rsidRDefault="00ED5C44" w:rsidP="00E32EE7">
      <w:pPr>
        <w:pStyle w:val="Odstavecseseznamem"/>
        <w:numPr>
          <w:ilvl w:val="0"/>
          <w:numId w:val="11"/>
        </w:numPr>
        <w:rPr>
          <w:szCs w:val="24"/>
          <w:lang w:bidi="en-US"/>
        </w:rPr>
      </w:pPr>
      <w:r w:rsidRPr="00120E8E">
        <w:rPr>
          <w:szCs w:val="24"/>
          <w:lang w:bidi="en-US"/>
        </w:rPr>
        <w:t>poskytnutí vysvětlení v případě odložení uveřejnění vnitřních informací až</w:t>
      </w:r>
      <w:r w:rsidR="00E32EE7" w:rsidRPr="00120E8E">
        <w:rPr>
          <w:szCs w:val="24"/>
          <w:lang w:bidi="en-US"/>
        </w:rPr>
        <w:t xml:space="preserve"> na vyžádání dohledového orgánu.</w:t>
      </w:r>
    </w:p>
    <w:p w14:paraId="4957E736" w14:textId="76B1FAE1" w:rsidR="00C72EBC" w:rsidRPr="00120E8E" w:rsidRDefault="003C1E58" w:rsidP="00C72EBC">
      <w:pPr>
        <w:rPr>
          <w:szCs w:val="24"/>
          <w:lang w:bidi="en-US"/>
        </w:rPr>
      </w:pPr>
      <w:r w:rsidRPr="00120E8E">
        <w:rPr>
          <w:szCs w:val="24"/>
          <w:lang w:bidi="en-US"/>
        </w:rPr>
        <w:t>Směrnice</w:t>
      </w:r>
      <w:r w:rsidR="004E148B" w:rsidRPr="00120E8E">
        <w:rPr>
          <w:szCs w:val="24"/>
          <w:lang w:bidi="en-US"/>
        </w:rPr>
        <w:t xml:space="preserve"> MVSD zavádí celoevropskou úpravu přijímání akcií s vícenásobným hlasovacím právem na</w:t>
      </w:r>
      <w:r w:rsidRPr="00120E8E">
        <w:rPr>
          <w:szCs w:val="24"/>
          <w:lang w:bidi="en-US"/>
        </w:rPr>
        <w:t> </w:t>
      </w:r>
      <w:r w:rsidR="004E148B" w:rsidRPr="00120E8E">
        <w:rPr>
          <w:szCs w:val="24"/>
          <w:lang w:bidi="en-US"/>
        </w:rPr>
        <w:t>mnohostrann</w:t>
      </w:r>
      <w:r w:rsidR="00B518BD" w:rsidRPr="00120E8E">
        <w:rPr>
          <w:szCs w:val="24"/>
          <w:lang w:bidi="en-US"/>
        </w:rPr>
        <w:t>ém</w:t>
      </w:r>
      <w:r w:rsidR="004E148B" w:rsidRPr="00120E8E">
        <w:rPr>
          <w:szCs w:val="24"/>
          <w:lang w:bidi="en-US"/>
        </w:rPr>
        <w:t xml:space="preserve"> obchodní</w:t>
      </w:r>
      <w:r w:rsidR="00B518BD" w:rsidRPr="00120E8E">
        <w:rPr>
          <w:szCs w:val="24"/>
          <w:lang w:bidi="en-US"/>
        </w:rPr>
        <w:t>m</w:t>
      </w:r>
      <w:r w:rsidR="004E148B" w:rsidRPr="00120E8E">
        <w:rPr>
          <w:szCs w:val="24"/>
          <w:lang w:bidi="en-US"/>
        </w:rPr>
        <w:t xml:space="preserve"> systém</w:t>
      </w:r>
      <w:r w:rsidR="00B518BD" w:rsidRPr="00120E8E">
        <w:rPr>
          <w:szCs w:val="24"/>
          <w:lang w:bidi="en-US"/>
        </w:rPr>
        <w:t>u</w:t>
      </w:r>
      <w:r w:rsidR="004E148B" w:rsidRPr="00120E8E">
        <w:rPr>
          <w:szCs w:val="24"/>
          <w:lang w:bidi="en-US"/>
        </w:rPr>
        <w:t xml:space="preserve">. </w:t>
      </w:r>
      <w:r w:rsidR="00C72EBC" w:rsidRPr="00120E8E">
        <w:rPr>
          <w:szCs w:val="24"/>
          <w:lang w:bidi="en-US"/>
        </w:rPr>
        <w:t>Cílem</w:t>
      </w:r>
      <w:r w:rsidR="00FE0E65" w:rsidRPr="00120E8E">
        <w:rPr>
          <w:szCs w:val="24"/>
          <w:lang w:bidi="en-US"/>
        </w:rPr>
        <w:t> části týkající se emitentů, kteří vydali akcie s rozdílnou vahou hlasů</w:t>
      </w:r>
      <w:r w:rsidR="00C72EBC" w:rsidRPr="00120E8E">
        <w:rPr>
          <w:szCs w:val="24"/>
          <w:lang w:bidi="en-US"/>
        </w:rPr>
        <w:t xml:space="preserve"> a související změny zákona č. 90/2012 Sb., o obchodních společnostech a družstvech</w:t>
      </w:r>
      <w:r w:rsidR="0052680A" w:rsidRPr="00120E8E">
        <w:rPr>
          <w:szCs w:val="24"/>
          <w:lang w:bidi="en-US"/>
        </w:rPr>
        <w:t xml:space="preserve"> (zákon o obchodních korporacích), ve znění pozdějších předpisů</w:t>
      </w:r>
      <w:r w:rsidR="00C72EBC" w:rsidRPr="00120E8E">
        <w:rPr>
          <w:szCs w:val="24"/>
          <w:lang w:bidi="en-US"/>
        </w:rPr>
        <w:t xml:space="preserve"> (dále </w:t>
      </w:r>
      <w:r w:rsidR="001D7407" w:rsidRPr="00120E8E">
        <w:rPr>
          <w:szCs w:val="24"/>
          <w:lang w:bidi="en-US"/>
        </w:rPr>
        <w:t xml:space="preserve">též </w:t>
      </w:r>
      <w:r w:rsidR="00C72EBC" w:rsidRPr="00120E8E">
        <w:rPr>
          <w:szCs w:val="24"/>
          <w:lang w:bidi="en-US"/>
        </w:rPr>
        <w:t>„</w:t>
      </w:r>
      <w:r w:rsidR="00C72EBC" w:rsidRPr="00120E8E">
        <w:rPr>
          <w:b/>
          <w:bCs/>
          <w:i/>
          <w:iCs/>
          <w:szCs w:val="24"/>
          <w:lang w:bidi="en-US"/>
        </w:rPr>
        <w:t>zákon o obchodních korporacích</w:t>
      </w:r>
      <w:r w:rsidR="00C72EBC" w:rsidRPr="00120E8E">
        <w:rPr>
          <w:szCs w:val="24"/>
          <w:lang w:bidi="en-US"/>
        </w:rPr>
        <w:t>“ nebo „</w:t>
      </w:r>
      <w:r w:rsidR="00C72EBC" w:rsidRPr="00120E8E">
        <w:rPr>
          <w:b/>
          <w:bCs/>
          <w:i/>
          <w:iCs/>
          <w:szCs w:val="24"/>
          <w:lang w:bidi="en-US"/>
        </w:rPr>
        <w:t>ZOK</w:t>
      </w:r>
      <w:r w:rsidR="00C72EBC" w:rsidRPr="00120E8E">
        <w:rPr>
          <w:szCs w:val="24"/>
          <w:lang w:bidi="en-US"/>
        </w:rPr>
        <w:t>“)</w:t>
      </w:r>
      <w:r w:rsidR="0052680A" w:rsidRPr="00120E8E">
        <w:rPr>
          <w:szCs w:val="24"/>
          <w:lang w:bidi="en-US"/>
        </w:rPr>
        <w:t>,</w:t>
      </w:r>
      <w:r w:rsidR="009232B0" w:rsidRPr="00120E8E">
        <w:rPr>
          <w:szCs w:val="24"/>
          <w:lang w:bidi="en-US"/>
        </w:rPr>
        <w:t xml:space="preserve"> je </w:t>
      </w:r>
      <w:r w:rsidR="004E148B" w:rsidRPr="00120E8E">
        <w:rPr>
          <w:szCs w:val="24"/>
          <w:lang w:bidi="en-US"/>
        </w:rPr>
        <w:t xml:space="preserve">právě </w:t>
      </w:r>
      <w:r w:rsidR="009232B0" w:rsidRPr="00120E8E">
        <w:rPr>
          <w:szCs w:val="24"/>
          <w:lang w:bidi="en-US"/>
        </w:rPr>
        <w:t xml:space="preserve">zapracování </w:t>
      </w:r>
      <w:r w:rsidR="00B518BD" w:rsidRPr="00120E8E">
        <w:rPr>
          <w:szCs w:val="24"/>
          <w:lang w:bidi="en-US"/>
        </w:rPr>
        <w:t xml:space="preserve">směrnice </w:t>
      </w:r>
      <w:r w:rsidR="009232B0" w:rsidRPr="00120E8E">
        <w:rPr>
          <w:szCs w:val="24"/>
          <w:lang w:bidi="en-US"/>
        </w:rPr>
        <w:t>MVSD do</w:t>
      </w:r>
      <w:r w:rsidR="00B518BD" w:rsidRPr="00120E8E">
        <w:rPr>
          <w:szCs w:val="24"/>
          <w:lang w:bidi="en-US"/>
        </w:rPr>
        <w:t> </w:t>
      </w:r>
      <w:r w:rsidR="009232B0" w:rsidRPr="00120E8E">
        <w:rPr>
          <w:szCs w:val="24"/>
          <w:lang w:bidi="en-US"/>
        </w:rPr>
        <w:t>českého právního řádu.</w:t>
      </w:r>
    </w:p>
    <w:p w14:paraId="23148C1A" w14:textId="1F3C763B" w:rsidR="003C1E58" w:rsidRPr="00120E8E" w:rsidRDefault="003C1E58" w:rsidP="00C72EBC">
      <w:pPr>
        <w:rPr>
          <w:b/>
          <w:szCs w:val="24"/>
          <w:lang w:bidi="en-US"/>
        </w:rPr>
      </w:pPr>
      <w:r w:rsidRPr="00120E8E">
        <w:rPr>
          <w:b/>
          <w:szCs w:val="24"/>
          <w:lang w:bidi="en-US"/>
        </w:rPr>
        <w:t>Transpozice směrnice o evropské tržní infrastruktuře</w:t>
      </w:r>
      <w:r w:rsidR="00ED4A36" w:rsidRPr="00120E8E">
        <w:rPr>
          <w:b/>
          <w:szCs w:val="24"/>
          <w:lang w:bidi="en-US"/>
        </w:rPr>
        <w:t xml:space="preserve"> (EMIR 3)</w:t>
      </w:r>
    </w:p>
    <w:p w14:paraId="7F510716" w14:textId="06FEF2AD" w:rsidR="00FE2DEA" w:rsidRPr="00120E8E" w:rsidRDefault="000A5A9D" w:rsidP="009F2F0F">
      <w:pPr>
        <w:rPr>
          <w:szCs w:val="24"/>
          <w:lang w:bidi="en-US"/>
        </w:rPr>
      </w:pPr>
      <w:r w:rsidRPr="00120E8E">
        <w:rPr>
          <w:szCs w:val="24"/>
          <w:lang w:bidi="en-US"/>
        </w:rPr>
        <w:t xml:space="preserve">Návrhem zákona se dále transponuje </w:t>
      </w:r>
      <w:r w:rsidR="003C1E58" w:rsidRPr="00120E8E">
        <w:rPr>
          <w:szCs w:val="24"/>
          <w:lang w:bidi="en-US"/>
        </w:rPr>
        <w:t>směrnic</w:t>
      </w:r>
      <w:r w:rsidR="00B518BD" w:rsidRPr="00120E8E">
        <w:rPr>
          <w:szCs w:val="24"/>
          <w:lang w:bidi="en-US"/>
        </w:rPr>
        <w:t>e</w:t>
      </w:r>
      <w:r w:rsidR="003C1E58" w:rsidRPr="00120E8E">
        <w:rPr>
          <w:szCs w:val="24"/>
          <w:lang w:bidi="en-US"/>
        </w:rPr>
        <w:t xml:space="preserve"> </w:t>
      </w:r>
      <w:r w:rsidR="001759E0" w:rsidRPr="00120E8E">
        <w:rPr>
          <w:szCs w:val="24"/>
          <w:lang w:bidi="en-US"/>
        </w:rPr>
        <w:t xml:space="preserve">Evropského parlamentu a Rady (EU) 2024/2994 ze dne 27. listopadu 2024, kterou se mění směrnice 2009/65/ES, 2013/36/EU a (EU) 2019/2034, pokud jde o přístup k riziku koncentrace vyplývajícímu z expozic vůči ústředním protistranám a k riziku selhání protistrany u derivátových transakcí, jejichž clearing provádí ústřední protistrana (dále </w:t>
      </w:r>
      <w:r w:rsidR="001D7407" w:rsidRPr="00120E8E">
        <w:rPr>
          <w:szCs w:val="24"/>
          <w:lang w:bidi="en-US"/>
        </w:rPr>
        <w:t xml:space="preserve">též </w:t>
      </w:r>
      <w:r w:rsidR="001759E0" w:rsidRPr="00120E8E">
        <w:rPr>
          <w:szCs w:val="24"/>
          <w:lang w:bidi="en-US"/>
        </w:rPr>
        <w:t>„</w:t>
      </w:r>
      <w:r w:rsidR="001759E0" w:rsidRPr="00120E8E">
        <w:rPr>
          <w:b/>
          <w:i/>
          <w:szCs w:val="24"/>
          <w:lang w:bidi="en-US"/>
        </w:rPr>
        <w:t xml:space="preserve">směrnice </w:t>
      </w:r>
      <w:r w:rsidR="004E148B" w:rsidRPr="00120E8E">
        <w:rPr>
          <w:b/>
          <w:i/>
          <w:szCs w:val="24"/>
          <w:lang w:bidi="en-US"/>
        </w:rPr>
        <w:t>EMIR</w:t>
      </w:r>
      <w:r w:rsidR="001759E0" w:rsidRPr="00120E8E">
        <w:rPr>
          <w:b/>
          <w:i/>
          <w:szCs w:val="24"/>
          <w:lang w:bidi="en-US"/>
        </w:rPr>
        <w:t xml:space="preserve"> 3</w:t>
      </w:r>
      <w:r w:rsidR="001759E0" w:rsidRPr="00120E8E">
        <w:rPr>
          <w:szCs w:val="24"/>
          <w:lang w:bidi="en-US"/>
        </w:rPr>
        <w:t>“), která doprovázela nařízení Evropského parlamentu a rady (EU) 2024/2987 ze dne 27. listopadu 2024, kterým se mění nařízení (EU) č. 648/2012, (EU) č. 575/2013 a (EU) 2017/1131, pokud jde o opatření ke zmírnění nadměrných expozic vůči ústředním protistranám ze třetích zemí a ke zlepšení účinnosti clearingových trhů Unie</w:t>
      </w:r>
      <w:r w:rsidR="009F2F0F" w:rsidRPr="00120E8E">
        <w:rPr>
          <w:szCs w:val="24"/>
          <w:lang w:bidi="en-US"/>
        </w:rPr>
        <w:t xml:space="preserve"> (dále </w:t>
      </w:r>
      <w:r w:rsidR="001D7407" w:rsidRPr="00120E8E">
        <w:rPr>
          <w:szCs w:val="24"/>
          <w:lang w:bidi="en-US"/>
        </w:rPr>
        <w:t xml:space="preserve">též </w:t>
      </w:r>
      <w:r w:rsidR="009F2F0F" w:rsidRPr="00120E8E">
        <w:rPr>
          <w:szCs w:val="24"/>
          <w:lang w:bidi="en-US"/>
        </w:rPr>
        <w:t>„</w:t>
      </w:r>
      <w:r w:rsidR="009F2F0F" w:rsidRPr="00120E8E">
        <w:rPr>
          <w:b/>
          <w:i/>
          <w:szCs w:val="24"/>
          <w:lang w:bidi="en-US"/>
        </w:rPr>
        <w:t>nařízení EMIR 3</w:t>
      </w:r>
      <w:r w:rsidR="009F2F0F" w:rsidRPr="00120E8E">
        <w:rPr>
          <w:szCs w:val="24"/>
          <w:lang w:bidi="en-US"/>
        </w:rPr>
        <w:t>“)</w:t>
      </w:r>
      <w:r w:rsidR="001759E0" w:rsidRPr="00120E8E">
        <w:rPr>
          <w:szCs w:val="24"/>
          <w:lang w:bidi="en-US"/>
        </w:rPr>
        <w:t xml:space="preserve">. </w:t>
      </w:r>
    </w:p>
    <w:p w14:paraId="46723EA7" w14:textId="338A878B" w:rsidR="009F2F0F" w:rsidRPr="00120E8E" w:rsidRDefault="001759E0" w:rsidP="009F2F0F">
      <w:pPr>
        <w:rPr>
          <w:szCs w:val="24"/>
          <w:lang w:bidi="en-US"/>
        </w:rPr>
      </w:pPr>
      <w:r w:rsidRPr="00120E8E">
        <w:rPr>
          <w:szCs w:val="24"/>
          <w:lang w:bidi="en-US"/>
        </w:rPr>
        <w:t>Směrnice EMIR 3</w:t>
      </w:r>
      <w:r w:rsidR="009F2F0F" w:rsidRPr="00120E8E">
        <w:rPr>
          <w:szCs w:val="24"/>
          <w:lang w:bidi="en-US"/>
        </w:rPr>
        <w:t xml:space="preserve"> reaguje na potřebu zmírnit nadměrné expozice vůči systémově významným ústředním protistranám ze třetích zemí (tzv. </w:t>
      </w:r>
      <w:proofErr w:type="spellStart"/>
      <w:r w:rsidR="009F2F0F" w:rsidRPr="00120E8E">
        <w:rPr>
          <w:i/>
          <w:iCs/>
          <w:szCs w:val="24"/>
          <w:lang w:bidi="en-US"/>
        </w:rPr>
        <w:t>tier</w:t>
      </w:r>
      <w:proofErr w:type="spellEnd"/>
      <w:r w:rsidR="009F2F0F" w:rsidRPr="00120E8E">
        <w:rPr>
          <w:i/>
          <w:iCs/>
          <w:szCs w:val="24"/>
          <w:lang w:bidi="en-US"/>
        </w:rPr>
        <w:t xml:space="preserve"> 2 </w:t>
      </w:r>
      <w:proofErr w:type="spellStart"/>
      <w:r w:rsidR="009F2F0F" w:rsidRPr="00120E8E">
        <w:rPr>
          <w:i/>
          <w:iCs/>
          <w:szCs w:val="24"/>
          <w:lang w:bidi="en-US"/>
        </w:rPr>
        <w:t>CCPs</w:t>
      </w:r>
      <w:proofErr w:type="spellEnd"/>
      <w:r w:rsidR="009F2F0F" w:rsidRPr="00120E8E">
        <w:rPr>
          <w:szCs w:val="24"/>
          <w:lang w:bidi="en-US"/>
        </w:rPr>
        <w:t xml:space="preserve">) a dává si za cíl posílit efektivitu </w:t>
      </w:r>
      <w:r w:rsidR="009F2F0F" w:rsidRPr="00120E8E">
        <w:rPr>
          <w:szCs w:val="24"/>
          <w:lang w:bidi="en-US"/>
        </w:rPr>
        <w:lastRenderedPageBreak/>
        <w:t xml:space="preserve">clearingových trhů v EU. Nařízení EMIR 3 zavádí požadavek na aktivní účet u evropské ústřední protistrany pro subjekty, na které se vztahuje povinný clearing derivátů, a </w:t>
      </w:r>
      <w:r w:rsidR="00FE2DEA" w:rsidRPr="00120E8E">
        <w:rPr>
          <w:szCs w:val="24"/>
          <w:lang w:bidi="en-US"/>
        </w:rPr>
        <w:t>v návaznosti na to směrnice EMIR 3</w:t>
      </w:r>
      <w:r w:rsidR="009F2F0F" w:rsidRPr="00120E8E">
        <w:rPr>
          <w:szCs w:val="24"/>
          <w:lang w:bidi="en-US"/>
        </w:rPr>
        <w:t xml:space="preserve"> posiluj</w:t>
      </w:r>
      <w:r w:rsidR="00FE2DEA" w:rsidRPr="00120E8E">
        <w:rPr>
          <w:szCs w:val="24"/>
          <w:lang w:bidi="en-US"/>
        </w:rPr>
        <w:t>e</w:t>
      </w:r>
      <w:r w:rsidR="009F2F0F" w:rsidRPr="00120E8E">
        <w:rPr>
          <w:szCs w:val="24"/>
          <w:lang w:bidi="en-US"/>
        </w:rPr>
        <w:t xml:space="preserve"> požadavky na řízení rizika koncentrace. Instituce (banky, družstevní záložny, obchodníci s cennými papíry) musí nově implementovat postupy a cíle pro</w:t>
      </w:r>
      <w:r w:rsidR="00FE2DEA" w:rsidRPr="00120E8E">
        <w:rPr>
          <w:szCs w:val="24"/>
          <w:lang w:bidi="en-US"/>
        </w:rPr>
        <w:t> </w:t>
      </w:r>
      <w:r w:rsidR="009F2F0F" w:rsidRPr="00120E8E">
        <w:rPr>
          <w:szCs w:val="24"/>
          <w:lang w:bidi="en-US"/>
        </w:rPr>
        <w:t>sledování a snižování těchto rizik, včetně pravomocí dohledu k jejich kontrole a vymáhání.</w:t>
      </w:r>
    </w:p>
    <w:p w14:paraId="6CD402E3" w14:textId="3B052AF4" w:rsidR="004E148B" w:rsidRPr="00120E8E" w:rsidRDefault="00FE2DEA" w:rsidP="009F2F0F">
      <w:pPr>
        <w:rPr>
          <w:szCs w:val="24"/>
          <w:lang w:bidi="en-US"/>
        </w:rPr>
      </w:pPr>
      <w:r w:rsidRPr="00120E8E">
        <w:rPr>
          <w:szCs w:val="24"/>
          <w:lang w:bidi="en-US"/>
        </w:rPr>
        <w:t xml:space="preserve">Směrnice EMIR 3 také </w:t>
      </w:r>
      <w:r w:rsidR="009F2F0F" w:rsidRPr="00120E8E">
        <w:rPr>
          <w:szCs w:val="24"/>
          <w:lang w:bidi="en-US"/>
        </w:rPr>
        <w:t>harmoniz</w:t>
      </w:r>
      <w:r w:rsidRPr="00120E8E">
        <w:rPr>
          <w:szCs w:val="24"/>
          <w:lang w:bidi="en-US"/>
        </w:rPr>
        <w:t>uje</w:t>
      </w:r>
      <w:r w:rsidR="009F2F0F" w:rsidRPr="00120E8E">
        <w:rPr>
          <w:szCs w:val="24"/>
          <w:lang w:bidi="en-US"/>
        </w:rPr>
        <w:t xml:space="preserve"> přístup k riziku selhání protistrany u derivátových transakcí </w:t>
      </w:r>
      <w:r w:rsidRPr="00120E8E">
        <w:rPr>
          <w:szCs w:val="24"/>
          <w:lang w:bidi="en-US"/>
        </w:rPr>
        <w:t>pro zmíněné instituce tak, aby</w:t>
      </w:r>
      <w:r w:rsidR="009F2F0F" w:rsidRPr="00120E8E">
        <w:rPr>
          <w:szCs w:val="24"/>
          <w:lang w:bidi="en-US"/>
        </w:rPr>
        <w:t xml:space="preserve"> umožnila efektivnější využívání clearingových služeb v rámci EU. Změny podporují přechod k evropským </w:t>
      </w:r>
      <w:r w:rsidRPr="00120E8E">
        <w:rPr>
          <w:szCs w:val="24"/>
          <w:lang w:bidi="en-US"/>
        </w:rPr>
        <w:t>ústředním protistranám</w:t>
      </w:r>
      <w:r w:rsidR="009F2F0F" w:rsidRPr="00120E8E">
        <w:rPr>
          <w:szCs w:val="24"/>
          <w:lang w:bidi="en-US"/>
        </w:rPr>
        <w:t>, posilují pravomoci dohledových orgánů (</w:t>
      </w:r>
      <w:r w:rsidRPr="00120E8E">
        <w:rPr>
          <w:szCs w:val="24"/>
          <w:lang w:bidi="en-US"/>
        </w:rPr>
        <w:t>v našem případě</w:t>
      </w:r>
      <w:r w:rsidR="009F2F0F" w:rsidRPr="00120E8E">
        <w:rPr>
          <w:szCs w:val="24"/>
          <w:lang w:bidi="en-US"/>
        </w:rPr>
        <w:t xml:space="preserve"> ČNB) a stanovují povinnost vypracování konkrétních plánů a kvantifikovatelných cílů pro řízení rizika koncentrace.</w:t>
      </w:r>
    </w:p>
    <w:p w14:paraId="504DB58C" w14:textId="0FBE78B8" w:rsidR="00FE2DEA" w:rsidRPr="00120E8E" w:rsidRDefault="00FE2DEA" w:rsidP="009F2F0F">
      <w:pPr>
        <w:rPr>
          <w:b/>
          <w:szCs w:val="24"/>
          <w:lang w:bidi="en-US"/>
        </w:rPr>
      </w:pPr>
      <w:r w:rsidRPr="00120E8E">
        <w:rPr>
          <w:b/>
          <w:szCs w:val="24"/>
          <w:lang w:bidi="en-US"/>
        </w:rPr>
        <w:t>Transpozice směrnice</w:t>
      </w:r>
      <w:r w:rsidR="00B5668B" w:rsidRPr="00120E8E">
        <w:rPr>
          <w:b/>
          <w:szCs w:val="24"/>
          <w:lang w:bidi="en-US"/>
        </w:rPr>
        <w:t xml:space="preserve"> o obezřetnostním dohledu nad investičními podniky</w:t>
      </w:r>
      <w:r w:rsidR="00A34769" w:rsidRPr="00120E8E">
        <w:rPr>
          <w:b/>
          <w:szCs w:val="24"/>
          <w:lang w:bidi="en-US"/>
        </w:rPr>
        <w:t xml:space="preserve"> (</w:t>
      </w:r>
      <w:r w:rsidR="008C69E1">
        <w:rPr>
          <w:b/>
          <w:szCs w:val="24"/>
          <w:lang w:bidi="en-US"/>
        </w:rPr>
        <w:t xml:space="preserve">směrnice </w:t>
      </w:r>
      <w:r w:rsidR="00A34769" w:rsidRPr="00120E8E">
        <w:rPr>
          <w:b/>
          <w:szCs w:val="24"/>
          <w:lang w:bidi="en-US"/>
        </w:rPr>
        <w:t>IFD)</w:t>
      </w:r>
    </w:p>
    <w:p w14:paraId="3FA49609" w14:textId="623129A4" w:rsidR="00D87BD2" w:rsidRPr="00120E8E" w:rsidRDefault="00D87BD2" w:rsidP="000F4618">
      <w:pPr>
        <w:keepNext/>
        <w:widowControl w:val="0"/>
        <w:spacing w:before="120"/>
        <w:rPr>
          <w:szCs w:val="24"/>
          <w:lang w:bidi="en-US"/>
        </w:rPr>
      </w:pPr>
      <w:r w:rsidRPr="00120E8E">
        <w:rPr>
          <w:szCs w:val="24"/>
          <w:lang w:bidi="en-US"/>
        </w:rPr>
        <w:t>Návrh</w:t>
      </w:r>
      <w:r w:rsidR="000A5A9D" w:rsidRPr="00120E8E">
        <w:rPr>
          <w:szCs w:val="24"/>
          <w:lang w:bidi="en-US"/>
        </w:rPr>
        <w:t xml:space="preserve"> zákona</w:t>
      </w:r>
      <w:r w:rsidRPr="00120E8E">
        <w:rPr>
          <w:szCs w:val="24"/>
          <w:lang w:bidi="en-US"/>
        </w:rPr>
        <w:t xml:space="preserve"> také reaguje na některé výtky ze strany Evropské komise </w:t>
      </w:r>
      <w:r w:rsidR="003B0C74">
        <w:rPr>
          <w:szCs w:val="24"/>
          <w:lang w:bidi="en-US"/>
        </w:rPr>
        <w:t>(dále též „</w:t>
      </w:r>
      <w:r w:rsidR="003B0C74" w:rsidRPr="00202744">
        <w:rPr>
          <w:b/>
          <w:bCs/>
          <w:i/>
          <w:iCs/>
          <w:szCs w:val="24"/>
          <w:lang w:bidi="en-US"/>
        </w:rPr>
        <w:t>EK</w:t>
      </w:r>
      <w:r w:rsidR="003B0C74">
        <w:rPr>
          <w:szCs w:val="24"/>
          <w:lang w:bidi="en-US"/>
        </w:rPr>
        <w:t xml:space="preserve">“) </w:t>
      </w:r>
      <w:r w:rsidRPr="00120E8E">
        <w:rPr>
          <w:szCs w:val="24"/>
          <w:lang w:bidi="en-US"/>
        </w:rPr>
        <w:t xml:space="preserve">uplatněné vůči </w:t>
      </w:r>
      <w:r w:rsidR="004854A7">
        <w:rPr>
          <w:szCs w:val="24"/>
          <w:lang w:bidi="en-US"/>
        </w:rPr>
        <w:t>ČR</w:t>
      </w:r>
      <w:r w:rsidRPr="00120E8E">
        <w:rPr>
          <w:szCs w:val="24"/>
          <w:lang w:bidi="en-US"/>
        </w:rPr>
        <w:t xml:space="preserve"> </w:t>
      </w:r>
      <w:r w:rsidR="00FE2DEA" w:rsidRPr="00120E8E">
        <w:rPr>
          <w:szCs w:val="24"/>
          <w:lang w:bidi="en-US"/>
        </w:rPr>
        <w:t>ve vztahu k transpozici směrnice</w:t>
      </w:r>
      <w:r w:rsidR="00B5668B" w:rsidRPr="00120E8E">
        <w:rPr>
          <w:szCs w:val="24"/>
          <w:lang w:bidi="en-US"/>
        </w:rPr>
        <w:t xml:space="preserve"> Evropského parlamentu a Rady (EU) 2019/2034 ze dne 27. listopadu 2019 o obezřetnostním dohledu nad investičními podniky a</w:t>
      </w:r>
      <w:r w:rsidR="00683E7A">
        <w:rPr>
          <w:szCs w:val="24"/>
          <w:lang w:bidi="en-US"/>
        </w:rPr>
        <w:t> </w:t>
      </w:r>
      <w:r w:rsidR="00B5668B" w:rsidRPr="00120E8E">
        <w:rPr>
          <w:szCs w:val="24"/>
          <w:lang w:bidi="en-US"/>
        </w:rPr>
        <w:t>o</w:t>
      </w:r>
      <w:r w:rsidR="00683E7A">
        <w:rPr>
          <w:szCs w:val="24"/>
          <w:lang w:bidi="en-US"/>
        </w:rPr>
        <w:t> </w:t>
      </w:r>
      <w:r w:rsidR="00B5668B" w:rsidRPr="00120E8E">
        <w:rPr>
          <w:szCs w:val="24"/>
          <w:lang w:bidi="en-US"/>
        </w:rPr>
        <w:t xml:space="preserve">změně směrnic 2002/87/ES, 2009/65/ES, 2011/61/EU, 2013/36/EU, 2014/59/EU a </w:t>
      </w:r>
      <w:r w:rsidR="00C73B1F">
        <w:rPr>
          <w:szCs w:val="24"/>
          <w:lang w:bidi="en-US"/>
        </w:rPr>
        <w:t> </w:t>
      </w:r>
      <w:r w:rsidR="00B5668B" w:rsidRPr="00120E8E">
        <w:rPr>
          <w:szCs w:val="24"/>
          <w:lang w:bidi="en-US"/>
        </w:rPr>
        <w:t>2014/65/EU</w:t>
      </w:r>
      <w:r w:rsidR="00B9047B" w:rsidRPr="00120E8E">
        <w:rPr>
          <w:szCs w:val="24"/>
          <w:lang w:bidi="en-US"/>
        </w:rPr>
        <w:t xml:space="preserve"> (dále </w:t>
      </w:r>
      <w:r w:rsidR="001D7407" w:rsidRPr="00120E8E">
        <w:rPr>
          <w:szCs w:val="24"/>
          <w:lang w:bidi="en-US"/>
        </w:rPr>
        <w:t xml:space="preserve">též </w:t>
      </w:r>
      <w:r w:rsidR="00B9047B" w:rsidRPr="00120E8E">
        <w:rPr>
          <w:szCs w:val="24"/>
          <w:lang w:bidi="en-US"/>
        </w:rPr>
        <w:t>„</w:t>
      </w:r>
      <w:r w:rsidR="00B9047B" w:rsidRPr="00120E8E">
        <w:rPr>
          <w:b/>
          <w:i/>
          <w:szCs w:val="24"/>
          <w:lang w:bidi="en-US"/>
        </w:rPr>
        <w:t>směrnice IFD</w:t>
      </w:r>
      <w:r w:rsidR="00B9047B" w:rsidRPr="00120E8E">
        <w:rPr>
          <w:szCs w:val="24"/>
          <w:lang w:bidi="en-US"/>
        </w:rPr>
        <w:t>“)</w:t>
      </w:r>
      <w:r w:rsidRPr="00120E8E">
        <w:rPr>
          <w:szCs w:val="24"/>
          <w:lang w:bidi="en-US"/>
        </w:rPr>
        <w:t xml:space="preserve">. </w:t>
      </w:r>
      <w:r w:rsidR="000F4618" w:rsidRPr="00120E8E">
        <w:rPr>
          <w:bCs/>
          <w:color w:val="000000" w:themeColor="text1"/>
          <w:szCs w:val="24"/>
        </w:rPr>
        <w:t xml:space="preserve">Navrhují se i změny reagující na praxí identifikované nedostatky v současné právní úpravě. Tyto změny jsou převážně technického rázu a slouží k odstranění pochybností ve výkladu. </w:t>
      </w:r>
    </w:p>
    <w:p w14:paraId="6038008A" w14:textId="0E570124" w:rsidR="001A494F" w:rsidRPr="00120E8E" w:rsidRDefault="001A494F" w:rsidP="001A494F">
      <w:pPr>
        <w:keepNext/>
        <w:widowControl w:val="0"/>
        <w:spacing w:before="120"/>
        <w:rPr>
          <w:b/>
          <w:szCs w:val="24"/>
          <w:lang w:bidi="en-US"/>
        </w:rPr>
      </w:pPr>
      <w:r w:rsidRPr="00120E8E">
        <w:rPr>
          <w:b/>
          <w:szCs w:val="24"/>
          <w:lang w:bidi="en-US"/>
        </w:rPr>
        <w:t xml:space="preserve">Redukce </w:t>
      </w:r>
      <w:proofErr w:type="spellStart"/>
      <w:r w:rsidRPr="00120E8E">
        <w:rPr>
          <w:b/>
          <w:szCs w:val="24"/>
          <w:lang w:bidi="en-US"/>
        </w:rPr>
        <w:t>gold</w:t>
      </w:r>
      <w:r w:rsidR="009F75C4" w:rsidRPr="00120E8E">
        <w:rPr>
          <w:b/>
          <w:szCs w:val="24"/>
          <w:lang w:bidi="en-US"/>
        </w:rPr>
        <w:t>-</w:t>
      </w:r>
      <w:r w:rsidRPr="00120E8E">
        <w:rPr>
          <w:b/>
          <w:szCs w:val="24"/>
          <w:lang w:bidi="en-US"/>
        </w:rPr>
        <w:t>p</w:t>
      </w:r>
      <w:r w:rsidR="009F75C4" w:rsidRPr="00120E8E">
        <w:rPr>
          <w:b/>
          <w:szCs w:val="24"/>
          <w:lang w:bidi="en-US"/>
        </w:rPr>
        <w:t>l</w:t>
      </w:r>
      <w:r w:rsidRPr="00120E8E">
        <w:rPr>
          <w:b/>
          <w:szCs w:val="24"/>
          <w:lang w:bidi="en-US"/>
        </w:rPr>
        <w:t>atingu</w:t>
      </w:r>
      <w:proofErr w:type="spellEnd"/>
    </w:p>
    <w:p w14:paraId="2F532EE9" w14:textId="51D6E9B1" w:rsidR="00952E73" w:rsidRPr="00120E8E" w:rsidRDefault="00952E73" w:rsidP="00952E73">
      <w:pPr>
        <w:rPr>
          <w:szCs w:val="24"/>
          <w:lang w:bidi="en-US"/>
        </w:rPr>
      </w:pPr>
      <w:r w:rsidRPr="00120E8E">
        <w:rPr>
          <w:szCs w:val="24"/>
          <w:lang w:bidi="en-US"/>
        </w:rPr>
        <w:t>V neposlední řadě se návrh zákona snaží reagovat na nutnost snížení administrativní zátěže pro</w:t>
      </w:r>
      <w:r w:rsidR="003D7953" w:rsidRPr="00120E8E">
        <w:rPr>
          <w:szCs w:val="24"/>
          <w:lang w:bidi="en-US"/>
        </w:rPr>
        <w:t> </w:t>
      </w:r>
      <w:r w:rsidRPr="00120E8E">
        <w:rPr>
          <w:szCs w:val="24"/>
          <w:lang w:bidi="en-US"/>
        </w:rPr>
        <w:t xml:space="preserve">subjekty na kapitálovém trhu. Tato zátěž byla při mnohých příležitostech vyhodnocena jako neopodstatnění a nad míru restriktivní (viz. </w:t>
      </w:r>
      <w:proofErr w:type="gramStart"/>
      <w:r w:rsidRPr="00120E8E">
        <w:rPr>
          <w:szCs w:val="24"/>
          <w:lang w:bidi="en-US"/>
        </w:rPr>
        <w:t>např.</w:t>
      </w:r>
      <w:proofErr w:type="gramEnd"/>
      <w:r w:rsidRPr="00120E8E">
        <w:rPr>
          <w:szCs w:val="24"/>
          <w:lang w:bidi="en-US"/>
        </w:rPr>
        <w:t xml:space="preserve"> </w:t>
      </w:r>
      <w:proofErr w:type="spellStart"/>
      <w:r w:rsidRPr="00120E8E">
        <w:rPr>
          <w:szCs w:val="24"/>
          <w:lang w:bidi="en-US"/>
        </w:rPr>
        <w:t>Draghiho</w:t>
      </w:r>
      <w:proofErr w:type="spellEnd"/>
      <w:r w:rsidRPr="00120E8E">
        <w:rPr>
          <w:szCs w:val="24"/>
          <w:lang w:bidi="en-US"/>
        </w:rPr>
        <w:t xml:space="preserve"> zpráva</w:t>
      </w:r>
      <w:r w:rsidR="00D959F2" w:rsidRPr="00120E8E">
        <w:rPr>
          <w:rStyle w:val="Znakapoznpodarou"/>
          <w:szCs w:val="24"/>
          <w:lang w:bidi="en-US"/>
        </w:rPr>
        <w:footnoteReference w:id="2"/>
      </w:r>
      <w:r w:rsidRPr="00120E8E">
        <w:rPr>
          <w:szCs w:val="24"/>
          <w:lang w:bidi="en-US"/>
        </w:rPr>
        <w:t xml:space="preserve">). </w:t>
      </w:r>
    </w:p>
    <w:p w14:paraId="53731C6D" w14:textId="7FD28F1B" w:rsidR="001A494F" w:rsidRPr="00120E8E" w:rsidRDefault="001A494F" w:rsidP="003D7953">
      <w:pPr>
        <w:rPr>
          <w:szCs w:val="24"/>
          <w:lang w:bidi="en-US"/>
        </w:rPr>
      </w:pPr>
      <w:r w:rsidRPr="00120E8E">
        <w:rPr>
          <w:szCs w:val="24"/>
          <w:lang w:bidi="en-US"/>
        </w:rPr>
        <w:t>V rámci snižování administrativní zátěže a po diskuzi s ČNB předkladatel navrhuje odstranit z právního řádu některé povinnosti, které byly přijaty ze strany českého zákonodárce nad rámec požadavků evropských předpisů a byly shledány jako zatěžující.</w:t>
      </w:r>
      <w:r w:rsidR="00EE6087" w:rsidRPr="00120E8E">
        <w:rPr>
          <w:szCs w:val="24"/>
          <w:lang w:bidi="en-US"/>
        </w:rPr>
        <w:t xml:space="preserve"> Takový</w:t>
      </w:r>
      <w:r w:rsidR="00A34769" w:rsidRPr="00120E8E">
        <w:rPr>
          <w:szCs w:val="24"/>
          <w:lang w:bidi="en-US"/>
        </w:rPr>
        <w:t>mi</w:t>
      </w:r>
      <w:r w:rsidR="00EE6087" w:rsidRPr="00120E8E">
        <w:rPr>
          <w:szCs w:val="24"/>
          <w:lang w:bidi="en-US"/>
        </w:rPr>
        <w:t xml:space="preserve"> požadavky jsou např.</w:t>
      </w:r>
      <w:r w:rsidR="00E33CE1" w:rsidRPr="00120E8E">
        <w:rPr>
          <w:szCs w:val="24"/>
          <w:lang w:bidi="en-US"/>
        </w:rPr>
        <w:t> </w:t>
      </w:r>
      <w:r w:rsidR="00EE6087" w:rsidRPr="00120E8E">
        <w:rPr>
          <w:szCs w:val="24"/>
          <w:lang w:bidi="en-US"/>
        </w:rPr>
        <w:t xml:space="preserve">požadavek na </w:t>
      </w:r>
      <w:r w:rsidR="00952E73" w:rsidRPr="00120E8E">
        <w:rPr>
          <w:szCs w:val="24"/>
          <w:lang w:bidi="en-US"/>
        </w:rPr>
        <w:t>registraci</w:t>
      </w:r>
      <w:r w:rsidR="00EE6087" w:rsidRPr="00120E8E">
        <w:rPr>
          <w:szCs w:val="24"/>
          <w:lang w:bidi="en-US"/>
        </w:rPr>
        <w:t xml:space="preserve"> další podnikatelské činnosti pro obchodník</w:t>
      </w:r>
      <w:r w:rsidR="0031715E">
        <w:rPr>
          <w:szCs w:val="24"/>
          <w:lang w:bidi="en-US"/>
        </w:rPr>
        <w:t>a</w:t>
      </w:r>
      <w:r w:rsidR="00EE6087" w:rsidRPr="00120E8E">
        <w:rPr>
          <w:szCs w:val="24"/>
          <w:lang w:bidi="en-US"/>
        </w:rPr>
        <w:t xml:space="preserve"> s</w:t>
      </w:r>
      <w:r w:rsidR="0031715E">
        <w:rPr>
          <w:szCs w:val="24"/>
          <w:lang w:bidi="en-US"/>
        </w:rPr>
        <w:t xml:space="preserve"> </w:t>
      </w:r>
      <w:r w:rsidR="00EE6087" w:rsidRPr="00120E8E">
        <w:rPr>
          <w:szCs w:val="24"/>
          <w:lang w:bidi="en-US"/>
        </w:rPr>
        <w:t>cennými</w:t>
      </w:r>
      <w:r w:rsidR="0031715E">
        <w:rPr>
          <w:szCs w:val="24"/>
          <w:lang w:bidi="en-US"/>
        </w:rPr>
        <w:t xml:space="preserve"> papíry</w:t>
      </w:r>
      <w:r w:rsidR="00300363">
        <w:rPr>
          <w:szCs w:val="24"/>
          <w:lang w:bidi="en-US"/>
        </w:rPr>
        <w:t xml:space="preserve"> (dále též „</w:t>
      </w:r>
      <w:r w:rsidR="00300363" w:rsidRPr="000A4CDA">
        <w:rPr>
          <w:b/>
          <w:szCs w:val="24"/>
          <w:lang w:bidi="en-US"/>
        </w:rPr>
        <w:t>OCP</w:t>
      </w:r>
      <w:r w:rsidR="00300363">
        <w:rPr>
          <w:szCs w:val="24"/>
          <w:lang w:bidi="en-US"/>
        </w:rPr>
        <w:t>“)</w:t>
      </w:r>
      <w:r w:rsidR="00EE6087" w:rsidRPr="00120E8E">
        <w:rPr>
          <w:szCs w:val="24"/>
          <w:lang w:bidi="en-US"/>
        </w:rPr>
        <w:t xml:space="preserve"> či</w:t>
      </w:r>
      <w:r w:rsidR="00E33CE1" w:rsidRPr="00120E8E">
        <w:rPr>
          <w:szCs w:val="24"/>
          <w:lang w:bidi="en-US"/>
        </w:rPr>
        <w:t> </w:t>
      </w:r>
      <w:r w:rsidR="00EE6087" w:rsidRPr="00120E8E">
        <w:rPr>
          <w:szCs w:val="24"/>
          <w:lang w:bidi="en-US"/>
        </w:rPr>
        <w:t xml:space="preserve">organizátora regulovaného trhu nebo </w:t>
      </w:r>
      <w:r w:rsidR="00952E73" w:rsidRPr="00120E8E">
        <w:rPr>
          <w:szCs w:val="24"/>
          <w:lang w:bidi="en-US"/>
        </w:rPr>
        <w:t xml:space="preserve">snížení </w:t>
      </w:r>
      <w:proofErr w:type="spellStart"/>
      <w:r w:rsidR="00952E73" w:rsidRPr="00120E8E">
        <w:rPr>
          <w:szCs w:val="24"/>
          <w:lang w:bidi="en-US"/>
        </w:rPr>
        <w:t>reportova</w:t>
      </w:r>
      <w:r w:rsidR="00A34769" w:rsidRPr="00120E8E">
        <w:rPr>
          <w:szCs w:val="24"/>
          <w:lang w:bidi="en-US"/>
        </w:rPr>
        <w:t>c</w:t>
      </w:r>
      <w:r w:rsidR="00952E73" w:rsidRPr="00120E8E">
        <w:rPr>
          <w:szCs w:val="24"/>
          <w:lang w:bidi="en-US"/>
        </w:rPr>
        <w:t>í</w:t>
      </w:r>
      <w:proofErr w:type="spellEnd"/>
      <w:r w:rsidR="00952E73" w:rsidRPr="00120E8E">
        <w:rPr>
          <w:szCs w:val="24"/>
          <w:lang w:bidi="en-US"/>
        </w:rPr>
        <w:t xml:space="preserve"> povinnosti, kdy některé údaje se</w:t>
      </w:r>
      <w:r w:rsidR="00E33CE1" w:rsidRPr="00120E8E">
        <w:rPr>
          <w:szCs w:val="24"/>
          <w:lang w:bidi="en-US"/>
        </w:rPr>
        <w:t> </w:t>
      </w:r>
      <w:r w:rsidR="00952E73" w:rsidRPr="00120E8E">
        <w:rPr>
          <w:szCs w:val="24"/>
          <w:lang w:bidi="en-US"/>
        </w:rPr>
        <w:t xml:space="preserve">oznamují zbytečně dvakrát. </w:t>
      </w:r>
    </w:p>
    <w:p w14:paraId="067E3C1F" w14:textId="530EEF7F" w:rsidR="00952E73" w:rsidRPr="00120E8E" w:rsidRDefault="00952E73" w:rsidP="00D959F2">
      <w:pPr>
        <w:rPr>
          <w:b/>
          <w:szCs w:val="24"/>
          <w:lang w:bidi="en-US"/>
        </w:rPr>
      </w:pPr>
      <w:r w:rsidRPr="00120E8E">
        <w:rPr>
          <w:b/>
          <w:szCs w:val="24"/>
          <w:lang w:bidi="en-US"/>
        </w:rPr>
        <w:t xml:space="preserve">Varování </w:t>
      </w:r>
      <w:r w:rsidR="00F36707" w:rsidRPr="00120E8E">
        <w:rPr>
          <w:b/>
          <w:szCs w:val="24"/>
          <w:lang w:bidi="en-US"/>
        </w:rPr>
        <w:t>při nabídce</w:t>
      </w:r>
      <w:r w:rsidRPr="00120E8E">
        <w:rPr>
          <w:b/>
          <w:szCs w:val="24"/>
          <w:lang w:bidi="en-US"/>
        </w:rPr>
        <w:t xml:space="preserve"> dluhopisů</w:t>
      </w:r>
    </w:p>
    <w:p w14:paraId="1D71965D" w14:textId="242D58C9" w:rsidR="00DD4659" w:rsidRPr="00120E8E" w:rsidRDefault="00D87BD2" w:rsidP="00D959F2">
      <w:pPr>
        <w:rPr>
          <w:szCs w:val="24"/>
          <w:lang w:bidi="en-US"/>
        </w:rPr>
      </w:pPr>
      <w:r w:rsidRPr="00120E8E">
        <w:rPr>
          <w:szCs w:val="24"/>
          <w:lang w:bidi="en-US"/>
        </w:rPr>
        <w:t xml:space="preserve">S ohledem na přetrvávající problematiku nabízení dluhopisů laické veřejnosti, </w:t>
      </w:r>
      <w:r w:rsidR="00952E73" w:rsidRPr="00120E8E">
        <w:rPr>
          <w:szCs w:val="24"/>
          <w:lang w:bidi="en-US"/>
        </w:rPr>
        <w:t>u kterých může být pochybnost o jejich bonitě,</w:t>
      </w:r>
      <w:r w:rsidRPr="00120E8E">
        <w:rPr>
          <w:szCs w:val="24"/>
          <w:lang w:bidi="en-US"/>
        </w:rPr>
        <w:t xml:space="preserve"> </w:t>
      </w:r>
      <w:r w:rsidR="00952E73" w:rsidRPr="00120E8E">
        <w:rPr>
          <w:szCs w:val="24"/>
          <w:lang w:bidi="en-US"/>
        </w:rPr>
        <w:t>kdy je veřejnost</w:t>
      </w:r>
      <w:r w:rsidRPr="00120E8E">
        <w:rPr>
          <w:szCs w:val="24"/>
          <w:lang w:bidi="en-US"/>
        </w:rPr>
        <w:t xml:space="preserve"> </w:t>
      </w:r>
      <w:r w:rsidR="00952E73" w:rsidRPr="00120E8E">
        <w:rPr>
          <w:szCs w:val="24"/>
          <w:lang w:bidi="en-US"/>
        </w:rPr>
        <w:t>uvádě</w:t>
      </w:r>
      <w:r w:rsidR="00D959F2" w:rsidRPr="00120E8E">
        <w:rPr>
          <w:szCs w:val="24"/>
          <w:lang w:bidi="en-US"/>
        </w:rPr>
        <w:t>na</w:t>
      </w:r>
      <w:r w:rsidR="00952E73" w:rsidRPr="00120E8E">
        <w:rPr>
          <w:szCs w:val="24"/>
          <w:lang w:bidi="en-US"/>
        </w:rPr>
        <w:t xml:space="preserve"> v omyl ohledně role ČNB při</w:t>
      </w:r>
      <w:r w:rsidR="00C6199B" w:rsidRPr="00120E8E">
        <w:rPr>
          <w:szCs w:val="24"/>
          <w:lang w:bidi="en-US"/>
        </w:rPr>
        <w:t> </w:t>
      </w:r>
      <w:r w:rsidR="00952E73" w:rsidRPr="00120E8E">
        <w:rPr>
          <w:szCs w:val="24"/>
          <w:lang w:bidi="en-US"/>
        </w:rPr>
        <w:t>schvalování dluhopisů</w:t>
      </w:r>
      <w:r w:rsidRPr="00120E8E">
        <w:rPr>
          <w:szCs w:val="24"/>
          <w:lang w:bidi="en-US"/>
        </w:rPr>
        <w:t xml:space="preserve">, bylo přistoupeno k legislativnímu řešení dané otázky. </w:t>
      </w:r>
      <w:r w:rsidR="00DD4659" w:rsidRPr="00120E8E">
        <w:rPr>
          <w:szCs w:val="24"/>
          <w:lang w:bidi="en-US"/>
        </w:rPr>
        <w:t>ČNB se</w:t>
      </w:r>
      <w:r w:rsidR="00E33CE1" w:rsidRPr="00120E8E">
        <w:rPr>
          <w:szCs w:val="24"/>
          <w:lang w:bidi="en-US"/>
        </w:rPr>
        <w:t> </w:t>
      </w:r>
      <w:r w:rsidR="00952E73" w:rsidRPr="00120E8E">
        <w:rPr>
          <w:szCs w:val="24"/>
          <w:lang w:bidi="en-US"/>
        </w:rPr>
        <w:t>dle</w:t>
      </w:r>
      <w:r w:rsidR="00E33CE1" w:rsidRPr="00120E8E">
        <w:rPr>
          <w:szCs w:val="24"/>
          <w:lang w:bidi="en-US"/>
        </w:rPr>
        <w:t> </w:t>
      </w:r>
      <w:r w:rsidR="00952E73" w:rsidRPr="00120E8E">
        <w:rPr>
          <w:szCs w:val="24"/>
          <w:lang w:bidi="en-US"/>
        </w:rPr>
        <w:t xml:space="preserve">svého </w:t>
      </w:r>
      <w:r w:rsidR="00D959F2" w:rsidRPr="00120E8E">
        <w:rPr>
          <w:szCs w:val="24"/>
          <w:lang w:bidi="en-US"/>
        </w:rPr>
        <w:t>vyjádření</w:t>
      </w:r>
      <w:r w:rsidR="00DD4659" w:rsidRPr="00120E8E">
        <w:rPr>
          <w:szCs w:val="24"/>
          <w:lang w:bidi="en-US"/>
        </w:rPr>
        <w:t xml:space="preserve"> opakovaně setkává se zneužíváním svého jména při</w:t>
      </w:r>
      <w:r w:rsidR="00C6199B" w:rsidRPr="00120E8E">
        <w:rPr>
          <w:szCs w:val="24"/>
          <w:lang w:bidi="en-US"/>
        </w:rPr>
        <w:t> </w:t>
      </w:r>
      <w:r w:rsidR="00DD4659" w:rsidRPr="00120E8E">
        <w:rPr>
          <w:szCs w:val="24"/>
          <w:lang w:bidi="en-US"/>
        </w:rPr>
        <w:t>nabízení podnikových dluhopisů, přičemž investoři mohou mylně nabývat dojmu, že ČNB garantuje finanční zdraví emitentů nebo návratnost investice, což však neodpovídá skutečnosti.</w:t>
      </w:r>
    </w:p>
    <w:p w14:paraId="21D6563F" w14:textId="6CFCF864" w:rsidR="00D87BD2" w:rsidRDefault="004E148B" w:rsidP="00C72EBC">
      <w:pPr>
        <w:rPr>
          <w:szCs w:val="24"/>
          <w:lang w:bidi="en-US"/>
        </w:rPr>
      </w:pPr>
      <w:r w:rsidRPr="00120E8E">
        <w:rPr>
          <w:szCs w:val="24"/>
          <w:lang w:bidi="en-US"/>
        </w:rPr>
        <w:t xml:space="preserve">Ve snaze o </w:t>
      </w:r>
      <w:r w:rsidR="00D87BD2" w:rsidRPr="00120E8E">
        <w:rPr>
          <w:szCs w:val="24"/>
          <w:lang w:bidi="en-US"/>
        </w:rPr>
        <w:t xml:space="preserve">zabránění klamavým sdělením </w:t>
      </w:r>
      <w:r w:rsidRPr="00120E8E">
        <w:rPr>
          <w:szCs w:val="24"/>
          <w:lang w:bidi="en-US"/>
        </w:rPr>
        <w:t>potencionální</w:t>
      </w:r>
      <w:r w:rsidR="00D87BD2" w:rsidRPr="00120E8E">
        <w:rPr>
          <w:szCs w:val="24"/>
          <w:lang w:bidi="en-US"/>
        </w:rPr>
        <w:t>m</w:t>
      </w:r>
      <w:r w:rsidRPr="00120E8E">
        <w:rPr>
          <w:szCs w:val="24"/>
          <w:lang w:bidi="en-US"/>
        </w:rPr>
        <w:t xml:space="preserve"> </w:t>
      </w:r>
      <w:r w:rsidR="00D87BD2" w:rsidRPr="00120E8E">
        <w:rPr>
          <w:szCs w:val="24"/>
          <w:lang w:bidi="en-US"/>
        </w:rPr>
        <w:t>investorů</w:t>
      </w:r>
      <w:r w:rsidR="006A0E91" w:rsidRPr="00120E8E">
        <w:rPr>
          <w:szCs w:val="24"/>
          <w:lang w:bidi="en-US"/>
        </w:rPr>
        <w:t>m</w:t>
      </w:r>
      <w:r w:rsidRPr="00120E8E">
        <w:rPr>
          <w:szCs w:val="24"/>
          <w:lang w:bidi="en-US"/>
        </w:rPr>
        <w:t xml:space="preserve"> do dluhopisů </w:t>
      </w:r>
      <w:r w:rsidR="00D87BD2" w:rsidRPr="00120E8E">
        <w:rPr>
          <w:szCs w:val="24"/>
          <w:lang w:bidi="en-US"/>
        </w:rPr>
        <w:t xml:space="preserve">návrh zákona vkládá do zákona č. </w:t>
      </w:r>
      <w:r w:rsidR="00CA781B" w:rsidRPr="00120E8E">
        <w:rPr>
          <w:szCs w:val="24"/>
          <w:lang w:bidi="en-US"/>
        </w:rPr>
        <w:t>190/2004 S.</w:t>
      </w:r>
      <w:r w:rsidR="00D87BD2" w:rsidRPr="00120E8E">
        <w:rPr>
          <w:szCs w:val="24"/>
          <w:lang w:bidi="en-US"/>
        </w:rPr>
        <w:t xml:space="preserve">, o dluhopisech, ve znění pozdějších předpisů (dále </w:t>
      </w:r>
      <w:r w:rsidR="00D87BD2" w:rsidRPr="00120E8E">
        <w:rPr>
          <w:szCs w:val="24"/>
          <w:lang w:bidi="en-US"/>
        </w:rPr>
        <w:lastRenderedPageBreak/>
        <w:t>též</w:t>
      </w:r>
      <w:r w:rsidR="00A34769" w:rsidRPr="00120E8E">
        <w:rPr>
          <w:szCs w:val="24"/>
          <w:lang w:bidi="en-US"/>
        </w:rPr>
        <w:t> </w:t>
      </w:r>
      <w:r w:rsidR="00CA781B" w:rsidRPr="00120E8E">
        <w:rPr>
          <w:szCs w:val="24"/>
          <w:lang w:bidi="en-US"/>
        </w:rPr>
        <w:t>„</w:t>
      </w:r>
      <w:r w:rsidR="00D87BD2" w:rsidRPr="00120E8E">
        <w:rPr>
          <w:b/>
          <w:i/>
          <w:szCs w:val="24"/>
          <w:lang w:bidi="en-US"/>
        </w:rPr>
        <w:t>z</w:t>
      </w:r>
      <w:r w:rsidR="00CA781B" w:rsidRPr="00120E8E">
        <w:rPr>
          <w:b/>
          <w:i/>
          <w:szCs w:val="24"/>
          <w:lang w:bidi="en-US"/>
        </w:rPr>
        <w:t>ákon</w:t>
      </w:r>
      <w:r w:rsidR="00D87BD2" w:rsidRPr="00120E8E">
        <w:rPr>
          <w:b/>
          <w:i/>
          <w:szCs w:val="24"/>
          <w:lang w:bidi="en-US"/>
        </w:rPr>
        <w:t xml:space="preserve"> o dluhopisech</w:t>
      </w:r>
      <w:r w:rsidR="00CA781B" w:rsidRPr="00120E8E">
        <w:rPr>
          <w:szCs w:val="24"/>
          <w:lang w:bidi="en-US"/>
        </w:rPr>
        <w:t>“ nebo „</w:t>
      </w:r>
      <w:proofErr w:type="spellStart"/>
      <w:r w:rsidR="00CA781B" w:rsidRPr="00120E8E">
        <w:rPr>
          <w:b/>
          <w:i/>
          <w:szCs w:val="24"/>
          <w:lang w:bidi="en-US"/>
        </w:rPr>
        <w:t>ZoD</w:t>
      </w:r>
      <w:proofErr w:type="spellEnd"/>
      <w:r w:rsidR="00CA781B" w:rsidRPr="00120E8E">
        <w:rPr>
          <w:szCs w:val="24"/>
          <w:lang w:bidi="en-US"/>
        </w:rPr>
        <w:t>“</w:t>
      </w:r>
      <w:r w:rsidR="00D87BD2" w:rsidRPr="00120E8E">
        <w:rPr>
          <w:szCs w:val="24"/>
          <w:lang w:bidi="en-US"/>
        </w:rPr>
        <w:t>), povinnost při nabídce dluhopisů uvádět varování, že</w:t>
      </w:r>
      <w:r w:rsidR="00F36707" w:rsidRPr="00120E8E">
        <w:rPr>
          <w:szCs w:val="24"/>
          <w:lang w:bidi="en-US"/>
        </w:rPr>
        <w:t> </w:t>
      </w:r>
      <w:r w:rsidR="00D87BD2" w:rsidRPr="00120E8E">
        <w:rPr>
          <w:szCs w:val="24"/>
          <w:lang w:bidi="en-US"/>
        </w:rPr>
        <w:t xml:space="preserve">ČNB </w:t>
      </w:r>
      <w:r w:rsidR="00952E73" w:rsidRPr="00120E8E">
        <w:rPr>
          <w:szCs w:val="24"/>
          <w:lang w:bidi="en-US"/>
        </w:rPr>
        <w:t>neposuzovala fin</w:t>
      </w:r>
      <w:r w:rsidR="00D1205E" w:rsidRPr="00120E8E">
        <w:rPr>
          <w:szCs w:val="24"/>
          <w:lang w:bidi="en-US"/>
        </w:rPr>
        <w:t>anční zdraví emitenta a negarantuje návratnost investice</w:t>
      </w:r>
      <w:r w:rsidR="00952E73" w:rsidRPr="00120E8E">
        <w:rPr>
          <w:szCs w:val="24"/>
          <w:lang w:bidi="en-US"/>
        </w:rPr>
        <w:t>.</w:t>
      </w:r>
    </w:p>
    <w:p w14:paraId="04905E36" w14:textId="007D83ED" w:rsidR="00FE410E" w:rsidRDefault="00FE410E" w:rsidP="00FE410E">
      <w:pPr>
        <w:rPr>
          <w:b/>
          <w:bCs/>
          <w:szCs w:val="24"/>
          <w:lang w:bidi="en-US"/>
        </w:rPr>
      </w:pPr>
      <w:r>
        <w:rPr>
          <w:b/>
          <w:bCs/>
          <w:szCs w:val="24"/>
          <w:lang w:bidi="en-US"/>
        </w:rPr>
        <w:t xml:space="preserve">Transpozice směrnice o přístupu k činnosti úvěrových institucí a o obezřetnostním dohledu nad úvěrovými institucemi, ve znění jejích pozdějších </w:t>
      </w:r>
      <w:r w:rsidRPr="008F0D86">
        <w:rPr>
          <w:b/>
          <w:bCs/>
          <w:szCs w:val="24"/>
          <w:lang w:bidi="en-US"/>
        </w:rPr>
        <w:t>revizí</w:t>
      </w:r>
      <w:r w:rsidR="008F0D86" w:rsidRPr="008F0D86">
        <w:rPr>
          <w:b/>
          <w:bCs/>
          <w:szCs w:val="24"/>
          <w:lang w:bidi="en-US"/>
        </w:rPr>
        <w:t xml:space="preserve"> (směrnice CRD)</w:t>
      </w:r>
    </w:p>
    <w:p w14:paraId="317B02B4" w14:textId="77777777" w:rsidR="00FE410E" w:rsidRDefault="00FE410E" w:rsidP="00FE410E">
      <w:pPr>
        <w:rPr>
          <w:szCs w:val="24"/>
          <w:lang w:bidi="en-US"/>
        </w:rPr>
      </w:pPr>
      <w:r>
        <w:rPr>
          <w:szCs w:val="24"/>
          <w:lang w:bidi="en-US"/>
        </w:rPr>
        <w:t xml:space="preserve">V návrhu zákona je také obsažena dílčí transpozice dvou směrnic novelizujících směrnici Evropského parlamentu a Rady 2013/36/EU ze dne 26. června 2013 o přístupu k činnosti úvěrových institucí a o obezřetnostním dohledu nad úvěrovými institucemi a o změně směrnice 2002/87/ES a zrušení směrnic 2006/48/ES a 20063/49/ES (dále též </w:t>
      </w:r>
      <w:r>
        <w:rPr>
          <w:b/>
          <w:bCs/>
          <w:i/>
          <w:iCs/>
          <w:szCs w:val="24"/>
          <w:lang w:bidi="en-US"/>
        </w:rPr>
        <w:t>„CRD“</w:t>
      </w:r>
      <w:r>
        <w:rPr>
          <w:b/>
          <w:bCs/>
          <w:szCs w:val="24"/>
          <w:lang w:bidi="en-US"/>
        </w:rPr>
        <w:t>)</w:t>
      </w:r>
      <w:r>
        <w:rPr>
          <w:szCs w:val="24"/>
          <w:lang w:bidi="en-US"/>
        </w:rPr>
        <w:t>, a to</w:t>
      </w:r>
    </w:p>
    <w:p w14:paraId="572378FF" w14:textId="719D1809" w:rsidR="00FE410E" w:rsidRPr="006143BB" w:rsidRDefault="00FE410E" w:rsidP="00FE410E">
      <w:pPr>
        <w:pStyle w:val="Odstavecseseznamem"/>
        <w:numPr>
          <w:ilvl w:val="0"/>
          <w:numId w:val="8"/>
        </w:numPr>
        <w:rPr>
          <w:szCs w:val="24"/>
          <w:lang w:bidi="en-US"/>
        </w:rPr>
      </w:pPr>
      <w:r w:rsidRPr="006143BB">
        <w:rPr>
          <w:szCs w:val="24"/>
          <w:lang w:bidi="en-US"/>
        </w:rPr>
        <w:t>směrnice Evropského parlamentu a Rady (EU) 2019/878 ze dne 20. května 2019, kterou se mění směrnice 2013/36/EU, pokud jde o osvobozené subjekty, finanční holdingové společnosti, smíšené finanční holdingové společnosti, odměňování, opatření a</w:t>
      </w:r>
      <w:r>
        <w:rPr>
          <w:szCs w:val="24"/>
          <w:lang w:bidi="en-US"/>
        </w:rPr>
        <w:t> </w:t>
      </w:r>
      <w:r w:rsidRPr="006143BB">
        <w:rPr>
          <w:szCs w:val="24"/>
          <w:lang w:bidi="en-US"/>
        </w:rPr>
        <w:t>pravomoci v oblasti dohledu a opatření na zachování kapitálu</w:t>
      </w:r>
      <w:r>
        <w:rPr>
          <w:szCs w:val="24"/>
          <w:lang w:bidi="en-US"/>
        </w:rPr>
        <w:t xml:space="preserve"> (dále též </w:t>
      </w:r>
      <w:r>
        <w:rPr>
          <w:b/>
          <w:bCs/>
          <w:i/>
          <w:iCs/>
          <w:szCs w:val="24"/>
          <w:lang w:bidi="en-US"/>
        </w:rPr>
        <w:t>„CRD</w:t>
      </w:r>
      <w:r w:rsidR="001E3FD8">
        <w:rPr>
          <w:b/>
          <w:bCs/>
          <w:i/>
          <w:iCs/>
          <w:szCs w:val="24"/>
          <w:lang w:bidi="en-US"/>
        </w:rPr>
        <w:t xml:space="preserve"> </w:t>
      </w:r>
      <w:r>
        <w:rPr>
          <w:b/>
          <w:bCs/>
          <w:i/>
          <w:iCs/>
          <w:szCs w:val="24"/>
          <w:lang w:bidi="en-US"/>
        </w:rPr>
        <w:t>V“</w:t>
      </w:r>
      <w:r>
        <w:rPr>
          <w:szCs w:val="24"/>
          <w:lang w:bidi="en-US"/>
        </w:rPr>
        <w:t>)</w:t>
      </w:r>
      <w:r w:rsidRPr="006143BB">
        <w:rPr>
          <w:szCs w:val="24"/>
          <w:lang w:bidi="en-US"/>
        </w:rPr>
        <w:t xml:space="preserve">, a </w:t>
      </w:r>
    </w:p>
    <w:p w14:paraId="06E5C507" w14:textId="32B0137F" w:rsidR="00FE410E" w:rsidRPr="006143BB" w:rsidRDefault="00FE410E" w:rsidP="00FE410E">
      <w:pPr>
        <w:pStyle w:val="Odstavecseseznamem"/>
        <w:numPr>
          <w:ilvl w:val="0"/>
          <w:numId w:val="8"/>
        </w:numPr>
        <w:rPr>
          <w:szCs w:val="24"/>
          <w:lang w:bidi="en-US"/>
        </w:rPr>
      </w:pPr>
      <w:r w:rsidRPr="006143BB">
        <w:rPr>
          <w:szCs w:val="24"/>
          <w:lang w:bidi="en-US"/>
        </w:rPr>
        <w:t>směrnice Evropského parlamentu a Rady (EU) 2024/1619 ze dne 31. května 2024, kterou se mění směrnice 2013/36/EU, pokud jde o pravomoci dohledu, sankce, pobočky ze třetích zemí a environmentální, sociální a správní rizika</w:t>
      </w:r>
      <w:r>
        <w:rPr>
          <w:szCs w:val="24"/>
          <w:lang w:bidi="en-US"/>
        </w:rPr>
        <w:t xml:space="preserve"> (dále též </w:t>
      </w:r>
      <w:r>
        <w:rPr>
          <w:b/>
          <w:bCs/>
          <w:i/>
          <w:iCs/>
          <w:szCs w:val="24"/>
          <w:lang w:bidi="en-US"/>
        </w:rPr>
        <w:t>„CRD</w:t>
      </w:r>
      <w:r w:rsidR="001E3FD8">
        <w:rPr>
          <w:b/>
          <w:bCs/>
          <w:i/>
          <w:iCs/>
          <w:szCs w:val="24"/>
          <w:lang w:bidi="en-US"/>
        </w:rPr>
        <w:t xml:space="preserve"> </w:t>
      </w:r>
      <w:r>
        <w:rPr>
          <w:b/>
          <w:bCs/>
          <w:i/>
          <w:iCs/>
          <w:szCs w:val="24"/>
          <w:lang w:bidi="en-US"/>
        </w:rPr>
        <w:t>VI“</w:t>
      </w:r>
      <w:r>
        <w:rPr>
          <w:szCs w:val="24"/>
          <w:lang w:bidi="en-US"/>
        </w:rPr>
        <w:t>)</w:t>
      </w:r>
      <w:r w:rsidRPr="006143BB">
        <w:rPr>
          <w:szCs w:val="24"/>
          <w:lang w:bidi="en-US"/>
        </w:rPr>
        <w:t>.</w:t>
      </w:r>
    </w:p>
    <w:p w14:paraId="01597F02" w14:textId="7BA27320" w:rsidR="00FE410E" w:rsidRDefault="00FE410E" w:rsidP="00FE410E">
      <w:pPr>
        <w:rPr>
          <w:szCs w:val="24"/>
          <w:lang w:bidi="en-US"/>
        </w:rPr>
      </w:pPr>
      <w:r w:rsidRPr="00120E8E">
        <w:rPr>
          <w:szCs w:val="24"/>
          <w:lang w:bidi="en-US"/>
        </w:rPr>
        <w:t xml:space="preserve">Návrh zákona reaguje na </w:t>
      </w:r>
      <w:r>
        <w:rPr>
          <w:szCs w:val="24"/>
          <w:lang w:bidi="en-US"/>
        </w:rPr>
        <w:t>v</w:t>
      </w:r>
      <w:r w:rsidRPr="00120E8E">
        <w:rPr>
          <w:szCs w:val="24"/>
          <w:lang w:bidi="en-US"/>
        </w:rPr>
        <w:t xml:space="preserve">ýtky ze strany </w:t>
      </w:r>
      <w:r w:rsidR="00503C81">
        <w:rPr>
          <w:szCs w:val="24"/>
          <w:lang w:bidi="en-US"/>
        </w:rPr>
        <w:t>EK</w:t>
      </w:r>
      <w:r w:rsidRPr="00120E8E">
        <w:rPr>
          <w:szCs w:val="24"/>
          <w:lang w:bidi="en-US"/>
        </w:rPr>
        <w:t xml:space="preserve"> uplatněné vůči </w:t>
      </w:r>
      <w:r w:rsidR="004854A7">
        <w:rPr>
          <w:szCs w:val="24"/>
          <w:lang w:bidi="en-US"/>
        </w:rPr>
        <w:t>ČR</w:t>
      </w:r>
      <w:r w:rsidRPr="00120E8E">
        <w:rPr>
          <w:szCs w:val="24"/>
          <w:lang w:bidi="en-US"/>
        </w:rPr>
        <w:t xml:space="preserve"> ve vztahu k transpozici směrnice</w:t>
      </w:r>
      <w:r>
        <w:rPr>
          <w:szCs w:val="24"/>
          <w:lang w:bidi="en-US"/>
        </w:rPr>
        <w:t xml:space="preserve"> CRD</w:t>
      </w:r>
      <w:r w:rsidR="001E3FD8">
        <w:rPr>
          <w:szCs w:val="24"/>
          <w:lang w:bidi="en-US"/>
        </w:rPr>
        <w:t xml:space="preserve"> </w:t>
      </w:r>
      <w:r>
        <w:rPr>
          <w:szCs w:val="24"/>
          <w:lang w:bidi="en-US"/>
        </w:rPr>
        <w:t xml:space="preserve">V </w:t>
      </w:r>
      <w:proofErr w:type="spellStart"/>
      <w:r>
        <w:rPr>
          <w:szCs w:val="24"/>
          <w:lang w:bidi="en-US"/>
        </w:rPr>
        <w:t>v</w:t>
      </w:r>
      <w:proofErr w:type="spellEnd"/>
      <w:r>
        <w:rPr>
          <w:szCs w:val="24"/>
          <w:lang w:bidi="en-US"/>
        </w:rPr>
        <w:t> rámci tzv. pilotního řízení (</w:t>
      </w:r>
      <w:proofErr w:type="spellStart"/>
      <w:r>
        <w:rPr>
          <w:szCs w:val="24"/>
          <w:lang w:bidi="en-US"/>
        </w:rPr>
        <w:t>Conformity</w:t>
      </w:r>
      <w:proofErr w:type="spellEnd"/>
      <w:r>
        <w:rPr>
          <w:szCs w:val="24"/>
          <w:lang w:bidi="en-US"/>
        </w:rPr>
        <w:t xml:space="preserve"> Pilot). </w:t>
      </w:r>
      <w:r w:rsidR="004854A7">
        <w:rPr>
          <w:szCs w:val="24"/>
          <w:lang w:bidi="en-US"/>
        </w:rPr>
        <w:t>ČR</w:t>
      </w:r>
      <w:r>
        <w:rPr>
          <w:szCs w:val="24"/>
          <w:lang w:bidi="en-US"/>
        </w:rPr>
        <w:t xml:space="preserve"> v odpovědi </w:t>
      </w:r>
      <w:r w:rsidR="00503C81">
        <w:rPr>
          <w:szCs w:val="24"/>
          <w:lang w:bidi="en-US"/>
        </w:rPr>
        <w:t>EK</w:t>
      </w:r>
      <w:r>
        <w:rPr>
          <w:szCs w:val="24"/>
          <w:lang w:bidi="en-US"/>
        </w:rPr>
        <w:t xml:space="preserve"> v červnu 2025 </w:t>
      </w:r>
      <w:r w:rsidRPr="00A731B7">
        <w:rPr>
          <w:szCs w:val="24"/>
          <w:lang w:bidi="en-US"/>
        </w:rPr>
        <w:t xml:space="preserve">přislíbila provést transpozici </w:t>
      </w:r>
      <w:r>
        <w:rPr>
          <w:szCs w:val="24"/>
          <w:lang w:bidi="en-US"/>
        </w:rPr>
        <w:t>dotčeného ustanovení do zákona č. 21/1992 Sb., o bankách, ve znění pozdějších předpisů</w:t>
      </w:r>
      <w:r w:rsidR="001C627E">
        <w:rPr>
          <w:szCs w:val="24"/>
          <w:lang w:bidi="en-US"/>
        </w:rPr>
        <w:t>,</w:t>
      </w:r>
      <w:r>
        <w:rPr>
          <w:szCs w:val="24"/>
          <w:lang w:bidi="en-US"/>
        </w:rPr>
        <w:t xml:space="preserve"> (dále též </w:t>
      </w:r>
      <w:r>
        <w:rPr>
          <w:b/>
          <w:bCs/>
          <w:i/>
          <w:iCs/>
          <w:szCs w:val="24"/>
          <w:lang w:bidi="en-US"/>
        </w:rPr>
        <w:t>„</w:t>
      </w:r>
      <w:proofErr w:type="spellStart"/>
      <w:r>
        <w:rPr>
          <w:b/>
          <w:bCs/>
          <w:i/>
          <w:iCs/>
          <w:szCs w:val="24"/>
          <w:lang w:bidi="en-US"/>
        </w:rPr>
        <w:t>ZoB</w:t>
      </w:r>
      <w:proofErr w:type="spellEnd"/>
      <w:r>
        <w:rPr>
          <w:b/>
          <w:bCs/>
          <w:i/>
          <w:iCs/>
          <w:szCs w:val="24"/>
          <w:lang w:bidi="en-US"/>
        </w:rPr>
        <w:t>“</w:t>
      </w:r>
      <w:r>
        <w:rPr>
          <w:szCs w:val="24"/>
          <w:lang w:bidi="en-US"/>
        </w:rPr>
        <w:t>)</w:t>
      </w:r>
      <w:r>
        <w:rPr>
          <w:b/>
          <w:bCs/>
          <w:i/>
          <w:iCs/>
          <w:szCs w:val="24"/>
          <w:lang w:bidi="en-US"/>
        </w:rPr>
        <w:t xml:space="preserve"> </w:t>
      </w:r>
      <w:r>
        <w:rPr>
          <w:szCs w:val="24"/>
          <w:lang w:bidi="en-US"/>
        </w:rPr>
        <w:t>a do zákona č. 87/1995 Sb.,</w:t>
      </w:r>
      <w:r w:rsidR="001C627E">
        <w:rPr>
          <w:szCs w:val="24"/>
          <w:lang w:bidi="en-US"/>
        </w:rPr>
        <w:t xml:space="preserve"> o spořitelních </w:t>
      </w:r>
      <w:r w:rsidR="001C627E" w:rsidRPr="00452630">
        <w:rPr>
          <w:szCs w:val="24"/>
          <w:lang w:bidi="en-US"/>
        </w:rPr>
        <w:t xml:space="preserve">a </w:t>
      </w:r>
      <w:r w:rsidR="00C73B1F">
        <w:rPr>
          <w:szCs w:val="24"/>
          <w:lang w:bidi="en-US"/>
        </w:rPr>
        <w:t> </w:t>
      </w:r>
      <w:r w:rsidR="001C627E" w:rsidRPr="00452630">
        <w:rPr>
          <w:szCs w:val="24"/>
          <w:lang w:bidi="en-US"/>
        </w:rPr>
        <w:t>úvěrních družstvech a některých opatřeních s tím souvisejících a o doplnění zákona České národní rady č. 586/1992 Sb., o daních z příjmů, ve znění pozdějších předpisů</w:t>
      </w:r>
      <w:r w:rsidR="001C627E">
        <w:rPr>
          <w:szCs w:val="24"/>
          <w:lang w:bidi="en-US"/>
        </w:rPr>
        <w:t>,</w:t>
      </w:r>
      <w:r>
        <w:rPr>
          <w:szCs w:val="24"/>
          <w:lang w:bidi="en-US"/>
        </w:rPr>
        <w:t xml:space="preserve"> </w:t>
      </w:r>
      <w:r w:rsidR="001C627E">
        <w:rPr>
          <w:szCs w:val="24"/>
          <w:lang w:bidi="en-US"/>
        </w:rPr>
        <w:t xml:space="preserve">(dále též </w:t>
      </w:r>
      <w:r w:rsidRPr="00232B70">
        <w:rPr>
          <w:b/>
          <w:bCs/>
          <w:i/>
          <w:iCs/>
          <w:szCs w:val="24"/>
          <w:lang w:bidi="en-US"/>
        </w:rPr>
        <w:t>„ZSÚD“</w:t>
      </w:r>
      <w:r>
        <w:rPr>
          <w:szCs w:val="24"/>
          <w:lang w:bidi="en-US"/>
        </w:rPr>
        <w:t xml:space="preserve">) </w:t>
      </w:r>
      <w:r w:rsidRPr="00A731B7">
        <w:rPr>
          <w:szCs w:val="24"/>
          <w:lang w:bidi="en-US"/>
        </w:rPr>
        <w:t>v nejbližším možném termínu</w:t>
      </w:r>
      <w:r>
        <w:rPr>
          <w:szCs w:val="24"/>
          <w:lang w:bidi="en-US"/>
        </w:rPr>
        <w:t>.</w:t>
      </w:r>
    </w:p>
    <w:p w14:paraId="616A333C" w14:textId="566CF08A" w:rsidR="00FE410E" w:rsidRDefault="00FE410E" w:rsidP="00FE410E">
      <w:pPr>
        <w:rPr>
          <w:szCs w:val="24"/>
          <w:lang w:bidi="en-US"/>
        </w:rPr>
      </w:pPr>
      <w:r>
        <w:rPr>
          <w:szCs w:val="24"/>
          <w:lang w:bidi="en-US"/>
        </w:rPr>
        <w:t xml:space="preserve">Dále se do </w:t>
      </w:r>
      <w:proofErr w:type="spellStart"/>
      <w:r w:rsidR="00E15F6F">
        <w:rPr>
          <w:szCs w:val="24"/>
          <w:lang w:bidi="en-US"/>
        </w:rPr>
        <w:t>ZoB</w:t>
      </w:r>
      <w:proofErr w:type="spellEnd"/>
      <w:r>
        <w:rPr>
          <w:szCs w:val="24"/>
          <w:lang w:bidi="en-US"/>
        </w:rPr>
        <w:t xml:space="preserve"> navrhuje doplnit opatření k nápravě udělující pravomoc </w:t>
      </w:r>
      <w:r w:rsidR="004B3660">
        <w:t>ČNB</w:t>
      </w:r>
      <w:r w:rsidRPr="00E20D49">
        <w:t xml:space="preserve"> nařídit bance změnu auditora, pokud nesplní povinnost informovat </w:t>
      </w:r>
      <w:r w:rsidR="004B3660">
        <w:t>ČNB</w:t>
      </w:r>
      <w:r w:rsidRPr="00E20D49">
        <w:t xml:space="preserve"> o skutečnostech zjištěných podle zákona </w:t>
      </w:r>
      <w:r w:rsidR="001C627E">
        <w:t xml:space="preserve">č. 93/2009 Sb., o auditorech a o změně některých zákonů, ve znění pozdějších předpisů, </w:t>
      </w:r>
      <w:r w:rsidR="008F0D86">
        <w:t>(dále též „</w:t>
      </w:r>
      <w:r w:rsidR="008F0D86" w:rsidRPr="00452630">
        <w:rPr>
          <w:b/>
          <w:bCs/>
          <w:i/>
          <w:iCs/>
        </w:rPr>
        <w:t xml:space="preserve">zákon </w:t>
      </w:r>
      <w:r w:rsidRPr="00452630">
        <w:rPr>
          <w:b/>
          <w:bCs/>
          <w:i/>
          <w:iCs/>
        </w:rPr>
        <w:t>o auditorech</w:t>
      </w:r>
      <w:r w:rsidR="008F0D86">
        <w:t>“)</w:t>
      </w:r>
      <w:r w:rsidRPr="00E20D49">
        <w:t>.</w:t>
      </w:r>
      <w:r>
        <w:t xml:space="preserve"> Shodné opatření k nápravě bude s účinností k 11. lednu 2026 zrušeno novelou </w:t>
      </w:r>
      <w:proofErr w:type="spellStart"/>
      <w:r w:rsidR="00E15F6F">
        <w:t>ZoB</w:t>
      </w:r>
      <w:proofErr w:type="spellEnd"/>
      <w:r w:rsidR="00B71042">
        <w:t xml:space="preserve"> -</w:t>
      </w:r>
      <w:r>
        <w:t xml:space="preserve"> zákonem č. 280/2025 Sb., </w:t>
      </w:r>
      <w:r w:rsidRPr="007038F8">
        <w:t>kterým se mění některé zákony v oblasti finančního trhu v souvislosti s</w:t>
      </w:r>
      <w:r>
        <w:t> </w:t>
      </w:r>
      <w:r w:rsidRPr="007038F8">
        <w:t>úpravou činnosti poboček zahraničních bank z jiných než členských států, úpravou některých přestupků a v souvislosti s posílením pravomocí orgánu dohledu a jeho nezávislosti</w:t>
      </w:r>
      <w:r>
        <w:t xml:space="preserve"> (dále jen </w:t>
      </w:r>
      <w:r>
        <w:rPr>
          <w:b/>
          <w:bCs/>
          <w:i/>
          <w:iCs/>
        </w:rPr>
        <w:t>„zákon č. 280/2025 Sb.“</w:t>
      </w:r>
      <w:r>
        <w:t>). S ohledem na to, že se jedná o</w:t>
      </w:r>
      <w:r w:rsidR="00FE252E">
        <w:t> </w:t>
      </w:r>
      <w:r>
        <w:t>transpoziční ustanovení k</w:t>
      </w:r>
      <w:r w:rsidR="001E3FD8">
        <w:t> </w:t>
      </w:r>
      <w:r>
        <w:t>CRD</w:t>
      </w:r>
      <w:r w:rsidR="001E3FD8">
        <w:t xml:space="preserve"> </w:t>
      </w:r>
      <w:r>
        <w:t xml:space="preserve">V, je nutné zajistit plnou transpozici tohoto ustanovení doplněním opatření k nápravě do </w:t>
      </w:r>
      <w:proofErr w:type="spellStart"/>
      <w:r w:rsidR="00E15F6F">
        <w:t>ZoB</w:t>
      </w:r>
      <w:proofErr w:type="spellEnd"/>
      <w:r>
        <w:t>.</w:t>
      </w:r>
    </w:p>
    <w:p w14:paraId="423C77E3" w14:textId="4B02A788" w:rsidR="00FE410E" w:rsidRDefault="00FE410E" w:rsidP="00FE410E">
      <w:r>
        <w:rPr>
          <w:szCs w:val="24"/>
          <w:lang w:bidi="en-US"/>
        </w:rPr>
        <w:t>V neposlední řadě je v návrhu zákona provedena dílčí revize transpozice směrnice CRD</w:t>
      </w:r>
      <w:r w:rsidR="001E3FD8">
        <w:rPr>
          <w:szCs w:val="24"/>
          <w:lang w:bidi="en-US"/>
        </w:rPr>
        <w:t xml:space="preserve"> </w:t>
      </w:r>
      <w:r>
        <w:rPr>
          <w:szCs w:val="24"/>
          <w:lang w:bidi="en-US"/>
        </w:rPr>
        <w:t xml:space="preserve">VI </w:t>
      </w:r>
      <w:r>
        <w:t>do</w:t>
      </w:r>
      <w:r w:rsidR="00FE252E">
        <w:t> </w:t>
      </w:r>
      <w:proofErr w:type="spellStart"/>
      <w:r w:rsidR="00FE252E">
        <w:t>ZoB</w:t>
      </w:r>
      <w:proofErr w:type="spellEnd"/>
      <w:r w:rsidR="00FE252E">
        <w:t xml:space="preserve"> a ZSÚD</w:t>
      </w:r>
      <w:r>
        <w:rPr>
          <w:szCs w:val="24"/>
          <w:lang w:bidi="en-US"/>
        </w:rPr>
        <w:t xml:space="preserve"> týkající se úpravy výpočtu </w:t>
      </w:r>
      <w:r>
        <w:t xml:space="preserve">celkového ročního čistého obratu (§ 36i </w:t>
      </w:r>
      <w:proofErr w:type="spellStart"/>
      <w:r>
        <w:t>ZoB</w:t>
      </w:r>
      <w:proofErr w:type="spellEnd"/>
      <w:r>
        <w:t xml:space="preserve">, § 27e ZSÚD). V navazujících ustanoveních obou zákonů, v nichž je tento obrat použit pro účely výpočtu výše pokuty za přestupek právnické osoby, je z důvodu nadbytečnosti vypuštěno upřesnění, že se jedná o celkový roční obrat právnické osoby za bezprostředně předcházející účetní období a dále se vypouští právní úprava výpočtu výše celkového ročního čistého obratu pro ovládající osoby, která je obsažena v § 36i odst. 2 a 3 </w:t>
      </w:r>
      <w:proofErr w:type="spellStart"/>
      <w:r>
        <w:t>ZoB</w:t>
      </w:r>
      <w:proofErr w:type="spellEnd"/>
      <w:r>
        <w:t xml:space="preserve"> a § 27e odst. 2 a 3 ZSÚD.</w:t>
      </w:r>
    </w:p>
    <w:p w14:paraId="24D024C5" w14:textId="77777777" w:rsidR="00FE410E" w:rsidRDefault="00FE410E" w:rsidP="00FE410E">
      <w:r>
        <w:t xml:space="preserve">Cílem navrhované právní úpravy je zajistit soulad s úpravou v CRD VI. </w:t>
      </w:r>
    </w:p>
    <w:p w14:paraId="601F6338" w14:textId="3FE1E81E" w:rsidR="00FE410E" w:rsidRDefault="00FE410E" w:rsidP="00FE410E">
      <w:r>
        <w:lastRenderedPageBreak/>
        <w:t xml:space="preserve">Pro úplnost je vhodné doplnit, že výše uvedené úpravy </w:t>
      </w:r>
      <w:proofErr w:type="spellStart"/>
      <w:r>
        <w:t>ZoB</w:t>
      </w:r>
      <w:proofErr w:type="spellEnd"/>
      <w:r>
        <w:t xml:space="preserve"> a ZSÚD vyplynuly z  pilotního řízení ke směrnici CRD V, resp. z diskusí s EK v návaznosti na transpoziční workshop ke</w:t>
      </w:r>
      <w:r w:rsidR="00564446">
        <w:t> </w:t>
      </w:r>
      <w:r>
        <w:t xml:space="preserve">směrnicím CRD VI již ve velmi pokročilé fázi legislativního procesu k zákonu </w:t>
      </w:r>
      <w:r w:rsidRPr="00FE5205">
        <w:t>č. 280/2025 Sb.</w:t>
      </w:r>
      <w:r>
        <w:t xml:space="preserve">, kdy již nebylo možné do znění </w:t>
      </w:r>
      <w:r w:rsidR="00001A33">
        <w:t>daného</w:t>
      </w:r>
      <w:r>
        <w:t xml:space="preserve"> zákona zasahovat.</w:t>
      </w:r>
    </w:p>
    <w:p w14:paraId="6D3CCB4F" w14:textId="62BE071B" w:rsidR="009001AB" w:rsidRDefault="009001AB" w:rsidP="00C72EBC">
      <w:pPr>
        <w:rPr>
          <w:b/>
          <w:bCs/>
          <w:szCs w:val="24"/>
          <w:lang w:bidi="en-US"/>
        </w:rPr>
      </w:pPr>
      <w:r w:rsidRPr="007D58C7">
        <w:rPr>
          <w:b/>
          <w:bCs/>
          <w:szCs w:val="24"/>
          <w:lang w:bidi="en-US"/>
        </w:rPr>
        <w:t>Adaptace nařízení o ESG ratingu</w:t>
      </w:r>
    </w:p>
    <w:p w14:paraId="2F237ECF" w14:textId="55D532FE" w:rsidR="009001AB" w:rsidRDefault="0001266A" w:rsidP="00C72EBC">
      <w:pPr>
        <w:rPr>
          <w:lang w:bidi="en-US"/>
        </w:rPr>
      </w:pPr>
      <w:r w:rsidRPr="00A8314D">
        <w:rPr>
          <w:szCs w:val="24"/>
          <w:lang w:bidi="en-US"/>
        </w:rPr>
        <w:t>Cílem návrhu zákona je</w:t>
      </w:r>
      <w:r>
        <w:rPr>
          <w:szCs w:val="24"/>
          <w:lang w:bidi="en-US"/>
        </w:rPr>
        <w:t xml:space="preserve"> dále</w:t>
      </w:r>
      <w:r w:rsidRPr="00A8314D">
        <w:rPr>
          <w:szCs w:val="24"/>
          <w:lang w:bidi="en-US"/>
        </w:rPr>
        <w:t xml:space="preserve"> </w:t>
      </w:r>
      <w:r w:rsidR="00683E7A">
        <w:rPr>
          <w:szCs w:val="24"/>
          <w:lang w:bidi="en-US"/>
        </w:rPr>
        <w:t>adaptovat český právní řád na</w:t>
      </w:r>
      <w:r w:rsidR="00683E7A" w:rsidRPr="00A8314D">
        <w:rPr>
          <w:szCs w:val="24"/>
          <w:lang w:bidi="en-US"/>
        </w:rPr>
        <w:t xml:space="preserve"> </w:t>
      </w:r>
      <w:r w:rsidRPr="00A8314D">
        <w:rPr>
          <w:szCs w:val="24"/>
          <w:lang w:bidi="en-US"/>
        </w:rPr>
        <w:t>nařízení Evropského parlamentu a Rady (EU) 2024/3005 ze dne 27. listopadu 2024 o transparentnosti a integritě činností v oblasti environmentálního, sociálního a správního (ESG) ratingu a o změně nařízení (EU) 2019/2088 a (EU) 2023/2859 (dále jen „</w:t>
      </w:r>
      <w:r w:rsidRPr="00202744">
        <w:rPr>
          <w:b/>
          <w:bCs/>
          <w:i/>
          <w:iCs/>
          <w:szCs w:val="24"/>
          <w:lang w:bidi="en-US"/>
        </w:rPr>
        <w:t>nařízení o ESG ratingu</w:t>
      </w:r>
      <w:r w:rsidRPr="00A8314D">
        <w:rPr>
          <w:szCs w:val="24"/>
          <w:lang w:bidi="en-US"/>
        </w:rPr>
        <w:t>“</w:t>
      </w:r>
      <w:r>
        <w:rPr>
          <w:szCs w:val="24"/>
          <w:lang w:bidi="en-US"/>
        </w:rPr>
        <w:t>)</w:t>
      </w:r>
      <w:r w:rsidRPr="00A8314D">
        <w:rPr>
          <w:szCs w:val="24"/>
          <w:lang w:bidi="en-US"/>
        </w:rPr>
        <w:t xml:space="preserve">. </w:t>
      </w:r>
      <w:r>
        <w:rPr>
          <w:szCs w:val="24"/>
          <w:lang w:bidi="en-US"/>
        </w:rPr>
        <w:t xml:space="preserve">Toto nařízení se použije od 2. července 2026, přičemž do tohoto dne je třeba adaptovat na nařízení o ESG ratingu český právní řád. Současně je třeba do 2. dubna 2026 určit příslušný </w:t>
      </w:r>
      <w:r w:rsidR="00683E7A">
        <w:rPr>
          <w:szCs w:val="24"/>
          <w:lang w:bidi="en-US"/>
        </w:rPr>
        <w:t xml:space="preserve">národní </w:t>
      </w:r>
      <w:r>
        <w:rPr>
          <w:szCs w:val="24"/>
          <w:lang w:bidi="en-US"/>
        </w:rPr>
        <w:t>orgán pro účely tohoto nařízení.</w:t>
      </w:r>
      <w:r w:rsidR="005468B2">
        <w:rPr>
          <w:szCs w:val="24"/>
          <w:lang w:bidi="en-US"/>
        </w:rPr>
        <w:t xml:space="preserve"> </w:t>
      </w:r>
    </w:p>
    <w:p w14:paraId="4FCB7F9E" w14:textId="77777777" w:rsidR="00C75EC6" w:rsidRPr="006914C5" w:rsidRDefault="00C75EC6" w:rsidP="00C75EC6">
      <w:pPr>
        <w:rPr>
          <w:color w:val="000000" w:themeColor="text1"/>
          <w:szCs w:val="24"/>
          <w:lang w:bidi="en-US"/>
        </w:rPr>
      </w:pPr>
      <w:r w:rsidRPr="006914C5">
        <w:rPr>
          <w:color w:val="000000" w:themeColor="text1"/>
          <w:szCs w:val="24"/>
          <w:lang w:bidi="en-US"/>
        </w:rPr>
        <w:t xml:space="preserve">Nařízení o ESG ratingu je součástí širších politik Evropské unie financování udržitelnosti. Odpovídá Akci 4 písm. c) sdělení Komise Evropskému parlamentu, Radě, Evropskému hospodářskému výboru a Výboru regionů </w:t>
      </w:r>
      <w:proofErr w:type="gramStart"/>
      <w:r w:rsidRPr="006914C5">
        <w:rPr>
          <w:color w:val="000000" w:themeColor="text1"/>
          <w:szCs w:val="24"/>
          <w:lang w:bidi="en-US"/>
        </w:rPr>
        <w:t>COM(2021</w:t>
      </w:r>
      <w:proofErr w:type="gramEnd"/>
      <w:r w:rsidRPr="006914C5">
        <w:rPr>
          <w:color w:val="000000" w:themeColor="text1"/>
          <w:szCs w:val="24"/>
          <w:lang w:bidi="en-US"/>
        </w:rPr>
        <w:t xml:space="preserve">) 390 </w:t>
      </w:r>
      <w:proofErr w:type="spellStart"/>
      <w:r w:rsidRPr="006914C5">
        <w:rPr>
          <w:color w:val="000000" w:themeColor="text1"/>
          <w:szCs w:val="24"/>
          <w:lang w:bidi="en-US"/>
        </w:rPr>
        <w:t>final</w:t>
      </w:r>
      <w:proofErr w:type="spellEnd"/>
      <w:r w:rsidRPr="006914C5">
        <w:rPr>
          <w:color w:val="000000" w:themeColor="text1"/>
          <w:szCs w:val="24"/>
          <w:lang w:bidi="en-US"/>
        </w:rPr>
        <w:t xml:space="preserve"> „</w:t>
      </w:r>
      <w:r w:rsidRPr="006914C5">
        <w:rPr>
          <w:i/>
          <w:iCs/>
          <w:color w:val="000000" w:themeColor="text1"/>
          <w:szCs w:val="24"/>
          <w:lang w:bidi="en-US"/>
        </w:rPr>
        <w:t>Strategie financování přechodu k udržitelnému hospodářství</w:t>
      </w:r>
      <w:r w:rsidRPr="006914C5">
        <w:rPr>
          <w:color w:val="000000" w:themeColor="text1"/>
          <w:szCs w:val="24"/>
          <w:lang w:bidi="en-US"/>
        </w:rPr>
        <w:t xml:space="preserve">“. </w:t>
      </w:r>
    </w:p>
    <w:p w14:paraId="4CEBAAC3" w14:textId="77777777" w:rsidR="00C75EC6" w:rsidRPr="006914C5" w:rsidRDefault="00C75EC6" w:rsidP="00C75EC6">
      <w:pPr>
        <w:rPr>
          <w:color w:val="000000" w:themeColor="text1"/>
          <w:szCs w:val="24"/>
          <w:lang w:bidi="en-US"/>
        </w:rPr>
      </w:pPr>
      <w:r w:rsidRPr="006914C5">
        <w:rPr>
          <w:color w:val="000000" w:themeColor="text1"/>
          <w:szCs w:val="24"/>
          <w:lang w:bidi="en-US"/>
        </w:rPr>
        <w:t>Cílem nařízení o ESG ratingu je posílit srovnatelnost, spolehlivost a integritu ratingu ESG. K tomu za nástroj volí především zveřejňování metodik ratingů ESG jejich poskytovateli. Jde tak cestou povinné transparentnosti poskytovatelů ratingu ESG, ne skrze zavedení jednotné metodiky. Zveřejněná metodika v sobě musí obsahovat rozklíčování, do jaké míry bere v úvahu jednotlivé částí E (environmentální), S (sociální) a G (správní) a jejich poměrný vliv na konečné hodnocení.</w:t>
      </w:r>
    </w:p>
    <w:p w14:paraId="0802D6EE" w14:textId="013E921C" w:rsidR="00C75EC6" w:rsidRPr="006914C5" w:rsidRDefault="00C75EC6" w:rsidP="00C75EC6">
      <w:pPr>
        <w:rPr>
          <w:color w:val="000000" w:themeColor="text1"/>
          <w:szCs w:val="24"/>
          <w:lang w:bidi="en-US"/>
        </w:rPr>
      </w:pPr>
      <w:r w:rsidRPr="006914C5">
        <w:rPr>
          <w:color w:val="000000" w:themeColor="text1"/>
          <w:szCs w:val="24"/>
          <w:lang w:bidi="en-US"/>
        </w:rPr>
        <w:t>Ratingem ESG nařízení o ESG ratingu rozumí hodnocení a skórování hodnocených položek na</w:t>
      </w:r>
      <w:r w:rsidR="00683E7A">
        <w:rPr>
          <w:color w:val="000000" w:themeColor="text1"/>
          <w:szCs w:val="24"/>
          <w:lang w:bidi="en-US"/>
        </w:rPr>
        <w:t> </w:t>
      </w:r>
      <w:r w:rsidRPr="006914C5">
        <w:rPr>
          <w:color w:val="000000" w:themeColor="text1"/>
          <w:szCs w:val="24"/>
          <w:lang w:bidi="en-US"/>
        </w:rPr>
        <w:t>základě environmentálních, sociálních, lidskoprávních nebo správních faktorů, případně posouzení expozice hodnocených položek vůči rizikům plynoucích s těchto faktorů. Hodnocené položky nařízení o ESG ratingu definuje jako právnickou osobu, finanční nástroj, finanční produkt, orgán veřejné správy nebo veřejnoprávní subjekt.</w:t>
      </w:r>
    </w:p>
    <w:p w14:paraId="6FFC2500" w14:textId="6CC6386B" w:rsidR="00C75EC6" w:rsidRPr="006914C5" w:rsidRDefault="00C75EC6" w:rsidP="00C75EC6">
      <w:pPr>
        <w:rPr>
          <w:color w:val="000000" w:themeColor="text1"/>
          <w:szCs w:val="24"/>
          <w:lang w:bidi="en-US"/>
        </w:rPr>
      </w:pPr>
      <w:r w:rsidRPr="006914C5">
        <w:rPr>
          <w:color w:val="000000" w:themeColor="text1"/>
          <w:szCs w:val="24"/>
          <w:lang w:bidi="en-US"/>
        </w:rPr>
        <w:t>Dohled nad poskytovateli ratingu ESG nařízení o ESG ratingu primárně svěřuje orgánu ESMA. ESMA má pravomoc účtovat poskytovatelům ratingu ESG poplatky za dohled. Podle čl. 30 nařízení o ESG ratingu má ESMA možnost přenést pravomoc žádat o informace a pravomoc provádět šetření a kontroly na místě na příslušný</w:t>
      </w:r>
      <w:r w:rsidR="00683E7A">
        <w:rPr>
          <w:color w:val="000000" w:themeColor="text1"/>
          <w:szCs w:val="24"/>
          <w:lang w:bidi="en-US"/>
        </w:rPr>
        <w:t xml:space="preserve"> národní</w:t>
      </w:r>
      <w:r w:rsidRPr="006914C5">
        <w:rPr>
          <w:color w:val="000000" w:themeColor="text1"/>
          <w:szCs w:val="24"/>
          <w:lang w:bidi="en-US"/>
        </w:rPr>
        <w:t xml:space="preserve"> orgán členského státu. ESMA za takové přenesení příslušnému</w:t>
      </w:r>
      <w:r w:rsidR="00683E7A">
        <w:rPr>
          <w:color w:val="000000" w:themeColor="text1"/>
          <w:szCs w:val="24"/>
          <w:lang w:bidi="en-US"/>
        </w:rPr>
        <w:t xml:space="preserve"> národnímu</w:t>
      </w:r>
      <w:r w:rsidRPr="006914C5">
        <w:rPr>
          <w:color w:val="000000" w:themeColor="text1"/>
          <w:szCs w:val="24"/>
          <w:lang w:bidi="en-US"/>
        </w:rPr>
        <w:t xml:space="preserve"> orgánu poskytne náhradu nákladů. Určení příslušného orgánu je v diskreci členských států. Tento návrh zákona za příslušný orgán v ČR stanovuje ČNB. </w:t>
      </w:r>
    </w:p>
    <w:p w14:paraId="7E87F677" w14:textId="5DB09524" w:rsidR="00FE5CEB" w:rsidRPr="00120E8E" w:rsidRDefault="005A04B3" w:rsidP="00FE5CEB">
      <w:pPr>
        <w:pStyle w:val="Nadpis2"/>
        <w:rPr>
          <w:rFonts w:cs="Times New Roman"/>
          <w:szCs w:val="24"/>
          <w:lang w:bidi="en-US"/>
        </w:rPr>
      </w:pPr>
      <w:r w:rsidRPr="00120E8E">
        <w:rPr>
          <w:rFonts w:cs="Times New Roman"/>
          <w:szCs w:val="24"/>
          <w:lang w:bidi="en-US"/>
        </w:rPr>
        <w:t>Zhodnocení platného právního stavu</w:t>
      </w:r>
    </w:p>
    <w:p w14:paraId="18AA2911" w14:textId="42AFBA2E" w:rsidR="000F4618" w:rsidRPr="00120E8E" w:rsidRDefault="000F4618" w:rsidP="005A04B3">
      <w:pPr>
        <w:rPr>
          <w:szCs w:val="24"/>
        </w:rPr>
      </w:pPr>
      <w:r w:rsidRPr="00120E8E">
        <w:rPr>
          <w:szCs w:val="24"/>
        </w:rPr>
        <w:t xml:space="preserve">V současné době je do </w:t>
      </w:r>
      <w:r w:rsidR="00094A07" w:rsidRPr="00120E8E">
        <w:rPr>
          <w:szCs w:val="24"/>
        </w:rPr>
        <w:t xml:space="preserve">zákona </w:t>
      </w:r>
      <w:r w:rsidR="001927D3" w:rsidRPr="00120E8E">
        <w:rPr>
          <w:szCs w:val="24"/>
        </w:rPr>
        <w:t xml:space="preserve">č. 256/ 2004 Sb., </w:t>
      </w:r>
      <w:r w:rsidR="00094A07" w:rsidRPr="00120E8E">
        <w:rPr>
          <w:szCs w:val="24"/>
        </w:rPr>
        <w:t>o podnikání na kapitálovém trhu</w:t>
      </w:r>
      <w:r w:rsidR="001927D3" w:rsidRPr="00120E8E">
        <w:rPr>
          <w:szCs w:val="24"/>
        </w:rPr>
        <w:t>, ve znění pozdějších předpisů</w:t>
      </w:r>
      <w:r w:rsidR="00094A07" w:rsidRPr="00120E8E">
        <w:rPr>
          <w:szCs w:val="24"/>
        </w:rPr>
        <w:t xml:space="preserve"> (dále též „</w:t>
      </w:r>
      <w:r w:rsidR="00094A07" w:rsidRPr="00120E8E">
        <w:rPr>
          <w:b/>
          <w:bCs/>
          <w:i/>
          <w:iCs/>
          <w:szCs w:val="24"/>
        </w:rPr>
        <w:t>ZPKT</w:t>
      </w:r>
      <w:r w:rsidR="00094A07" w:rsidRPr="00120E8E">
        <w:rPr>
          <w:szCs w:val="24"/>
        </w:rPr>
        <w:t>“)</w:t>
      </w:r>
      <w:r w:rsidR="001927D3" w:rsidRPr="00120E8E">
        <w:rPr>
          <w:szCs w:val="24"/>
        </w:rPr>
        <w:t>,</w:t>
      </w:r>
      <w:r w:rsidRPr="00120E8E">
        <w:rPr>
          <w:szCs w:val="24"/>
        </w:rPr>
        <w:t xml:space="preserve"> transponována řada směrnic – mimo jiné i </w:t>
      </w:r>
      <w:proofErr w:type="spellStart"/>
      <w:r w:rsidRPr="00120E8E">
        <w:rPr>
          <w:szCs w:val="24"/>
        </w:rPr>
        <w:t>MiFID</w:t>
      </w:r>
      <w:proofErr w:type="spellEnd"/>
      <w:r w:rsidRPr="00120E8E">
        <w:rPr>
          <w:szCs w:val="24"/>
        </w:rPr>
        <w:t xml:space="preserve"> II a</w:t>
      </w:r>
      <w:r w:rsidR="00C6199B" w:rsidRPr="00120E8E">
        <w:rPr>
          <w:szCs w:val="24"/>
        </w:rPr>
        <w:t> </w:t>
      </w:r>
      <w:r w:rsidRPr="00120E8E">
        <w:rPr>
          <w:szCs w:val="24"/>
        </w:rPr>
        <w:t xml:space="preserve">směrnice o </w:t>
      </w:r>
      <w:proofErr w:type="spellStart"/>
      <w:r w:rsidRPr="00120E8E">
        <w:rPr>
          <w:szCs w:val="24"/>
        </w:rPr>
        <w:t>listingu</w:t>
      </w:r>
      <w:proofErr w:type="spellEnd"/>
      <w:r w:rsidRPr="00120E8E">
        <w:rPr>
          <w:szCs w:val="24"/>
        </w:rPr>
        <w:t xml:space="preserve"> – stejně jako je </w:t>
      </w:r>
      <w:r w:rsidR="00683E7A">
        <w:rPr>
          <w:szCs w:val="24"/>
        </w:rPr>
        <w:t xml:space="preserve">skrze tento zákona česká právní řád </w:t>
      </w:r>
      <w:r w:rsidRPr="00120E8E">
        <w:rPr>
          <w:szCs w:val="24"/>
        </w:rPr>
        <w:t>adaptován</w:t>
      </w:r>
      <w:r w:rsidR="00683E7A">
        <w:rPr>
          <w:szCs w:val="24"/>
        </w:rPr>
        <w:t xml:space="preserve"> na</w:t>
      </w:r>
      <w:r w:rsidRPr="00120E8E">
        <w:rPr>
          <w:szCs w:val="24"/>
        </w:rPr>
        <w:t xml:space="preserve"> řad</w:t>
      </w:r>
      <w:r w:rsidR="00683E7A">
        <w:rPr>
          <w:szCs w:val="24"/>
        </w:rPr>
        <w:t>u</w:t>
      </w:r>
      <w:r w:rsidRPr="00120E8E">
        <w:rPr>
          <w:szCs w:val="24"/>
        </w:rPr>
        <w:t xml:space="preserve"> nařízení –</w:t>
      </w:r>
      <w:r w:rsidR="000F76CA">
        <w:rPr>
          <w:szCs w:val="24"/>
        </w:rPr>
        <w:t xml:space="preserve"> nařízení </w:t>
      </w:r>
      <w:r w:rsidRPr="00120E8E">
        <w:rPr>
          <w:szCs w:val="24"/>
        </w:rPr>
        <w:t>MAR, nařízení o</w:t>
      </w:r>
      <w:r w:rsidR="00C6199B" w:rsidRPr="00120E8E">
        <w:rPr>
          <w:szCs w:val="24"/>
        </w:rPr>
        <w:t> </w:t>
      </w:r>
      <w:r w:rsidRPr="00120E8E">
        <w:rPr>
          <w:szCs w:val="24"/>
        </w:rPr>
        <w:t xml:space="preserve">prospektu i </w:t>
      </w:r>
      <w:proofErr w:type="spellStart"/>
      <w:r w:rsidRPr="00120E8E">
        <w:rPr>
          <w:szCs w:val="24"/>
        </w:rPr>
        <w:t>MiFIR</w:t>
      </w:r>
      <w:proofErr w:type="spellEnd"/>
      <w:r w:rsidRPr="00120E8E">
        <w:rPr>
          <w:szCs w:val="24"/>
        </w:rPr>
        <w:t>. Vzhledem k tomu, že tyto evropské právní předpisy jsou více či méně často podrobovány r</w:t>
      </w:r>
      <w:r w:rsidR="005B03EE" w:rsidRPr="00120E8E">
        <w:rPr>
          <w:szCs w:val="24"/>
        </w:rPr>
        <w:t>e</w:t>
      </w:r>
      <w:r w:rsidRPr="00120E8E">
        <w:rPr>
          <w:szCs w:val="24"/>
        </w:rPr>
        <w:t>vizím, je nutné změny v evropské úpravě reflektovat i v </w:t>
      </w:r>
      <w:r w:rsidR="00094A07" w:rsidRPr="00120E8E">
        <w:rPr>
          <w:szCs w:val="24"/>
        </w:rPr>
        <w:t>ZPKT</w:t>
      </w:r>
      <w:r w:rsidRPr="00120E8E">
        <w:rPr>
          <w:szCs w:val="24"/>
        </w:rPr>
        <w:t xml:space="preserve">. </w:t>
      </w:r>
      <w:r w:rsidR="00D1205E" w:rsidRPr="00120E8E">
        <w:rPr>
          <w:szCs w:val="24"/>
        </w:rPr>
        <w:t>S</w:t>
      </w:r>
      <w:r w:rsidR="00274F41" w:rsidRPr="00120E8E">
        <w:rPr>
          <w:szCs w:val="24"/>
        </w:rPr>
        <w:t xml:space="preserve">měrnice </w:t>
      </w:r>
      <w:proofErr w:type="spellStart"/>
      <w:r w:rsidR="00274F41" w:rsidRPr="00120E8E">
        <w:rPr>
          <w:szCs w:val="24"/>
        </w:rPr>
        <w:t>Listing</w:t>
      </w:r>
      <w:proofErr w:type="spellEnd"/>
      <w:r w:rsidR="00274F41" w:rsidRPr="00120E8E">
        <w:rPr>
          <w:szCs w:val="24"/>
        </w:rPr>
        <w:t xml:space="preserve"> </w:t>
      </w:r>
      <w:proofErr w:type="spellStart"/>
      <w:r w:rsidR="00274F41" w:rsidRPr="00120E8E">
        <w:rPr>
          <w:szCs w:val="24"/>
        </w:rPr>
        <w:t>Act</w:t>
      </w:r>
      <w:proofErr w:type="spellEnd"/>
      <w:r w:rsidR="00AF6F59" w:rsidRPr="00120E8E">
        <w:rPr>
          <w:szCs w:val="24"/>
        </w:rPr>
        <w:t xml:space="preserve"> balíčku</w:t>
      </w:r>
      <w:r w:rsidR="00CA047D" w:rsidRPr="00120E8E">
        <w:rPr>
          <w:szCs w:val="24"/>
        </w:rPr>
        <w:t xml:space="preserve"> a </w:t>
      </w:r>
      <w:r w:rsidR="00274F41" w:rsidRPr="00120E8E">
        <w:rPr>
          <w:szCs w:val="24"/>
        </w:rPr>
        <w:t xml:space="preserve">nařízení </w:t>
      </w:r>
      <w:proofErr w:type="spellStart"/>
      <w:r w:rsidR="00274F41" w:rsidRPr="00120E8E">
        <w:rPr>
          <w:szCs w:val="24"/>
        </w:rPr>
        <w:t>Listing</w:t>
      </w:r>
      <w:proofErr w:type="spellEnd"/>
      <w:r w:rsidR="00274F41" w:rsidRPr="00120E8E">
        <w:rPr>
          <w:szCs w:val="24"/>
        </w:rPr>
        <w:t xml:space="preserve"> </w:t>
      </w:r>
      <w:proofErr w:type="spellStart"/>
      <w:r w:rsidR="00274F41" w:rsidRPr="00120E8E">
        <w:rPr>
          <w:szCs w:val="24"/>
        </w:rPr>
        <w:t>Act</w:t>
      </w:r>
      <w:proofErr w:type="spellEnd"/>
      <w:r w:rsidR="00274F41" w:rsidRPr="00120E8E">
        <w:rPr>
          <w:szCs w:val="24"/>
        </w:rPr>
        <w:t xml:space="preserve"> </w:t>
      </w:r>
      <w:r w:rsidR="00094A07" w:rsidRPr="00120E8E">
        <w:rPr>
          <w:szCs w:val="24"/>
        </w:rPr>
        <w:t xml:space="preserve">balíčku </w:t>
      </w:r>
      <w:r w:rsidR="00C020D9" w:rsidRPr="00120E8E">
        <w:rPr>
          <w:szCs w:val="24"/>
        </w:rPr>
        <w:t xml:space="preserve">jsou </w:t>
      </w:r>
      <w:r w:rsidR="00C020D9" w:rsidRPr="00120E8E">
        <w:rPr>
          <w:szCs w:val="24"/>
        </w:rPr>
        <w:lastRenderedPageBreak/>
        <w:t xml:space="preserve">převážně technicistními novelami cílícími na odstranění nadměrné regulatorní zátěže. </w:t>
      </w:r>
      <w:r w:rsidR="00094A07" w:rsidRPr="00120E8E">
        <w:rPr>
          <w:szCs w:val="24"/>
        </w:rPr>
        <w:t xml:space="preserve">Návrh zákona </w:t>
      </w:r>
      <w:r w:rsidR="00C020D9" w:rsidRPr="00120E8E">
        <w:rPr>
          <w:szCs w:val="24"/>
        </w:rPr>
        <w:t xml:space="preserve">tak reaguje na požadavek odstranění nadměrné evropské regulatorní zátěže. </w:t>
      </w:r>
      <w:r w:rsidR="00FB584F" w:rsidRPr="00120E8E">
        <w:rPr>
          <w:szCs w:val="24"/>
        </w:rPr>
        <w:t>Z</w:t>
      </w:r>
      <w:r w:rsidR="00D1205E" w:rsidRPr="00120E8E">
        <w:rPr>
          <w:szCs w:val="24"/>
        </w:rPr>
        <w:t>ásadní</w:t>
      </w:r>
      <w:r w:rsidR="00FB584F" w:rsidRPr="00120E8E">
        <w:rPr>
          <w:szCs w:val="24"/>
        </w:rPr>
        <w:t xml:space="preserve"> úpravu</w:t>
      </w:r>
      <w:r w:rsidR="00D1205E" w:rsidRPr="00120E8E">
        <w:rPr>
          <w:szCs w:val="24"/>
        </w:rPr>
        <w:t xml:space="preserve"> ve vztahu k směrnici </w:t>
      </w:r>
      <w:proofErr w:type="spellStart"/>
      <w:r w:rsidR="00D1205E" w:rsidRPr="00120E8E">
        <w:rPr>
          <w:szCs w:val="24"/>
        </w:rPr>
        <w:t>Listing</w:t>
      </w:r>
      <w:proofErr w:type="spellEnd"/>
      <w:r w:rsidR="00D1205E" w:rsidRPr="00120E8E">
        <w:rPr>
          <w:szCs w:val="24"/>
        </w:rPr>
        <w:t xml:space="preserve"> </w:t>
      </w:r>
      <w:proofErr w:type="spellStart"/>
      <w:r w:rsidR="00D1205E" w:rsidRPr="00120E8E">
        <w:rPr>
          <w:szCs w:val="24"/>
        </w:rPr>
        <w:t>Act</w:t>
      </w:r>
      <w:proofErr w:type="spellEnd"/>
      <w:r w:rsidR="00D1205E" w:rsidRPr="00120E8E">
        <w:rPr>
          <w:szCs w:val="24"/>
        </w:rPr>
        <w:t xml:space="preserve"> balíčku </w:t>
      </w:r>
      <w:r w:rsidR="00FB584F" w:rsidRPr="00120E8E">
        <w:rPr>
          <w:szCs w:val="24"/>
        </w:rPr>
        <w:t xml:space="preserve">představuje </w:t>
      </w:r>
      <w:r w:rsidR="00D1205E" w:rsidRPr="00120E8E">
        <w:rPr>
          <w:szCs w:val="24"/>
        </w:rPr>
        <w:t>vymezení výzkumu a požadavk</w:t>
      </w:r>
      <w:r w:rsidR="00FB584F" w:rsidRPr="00120E8E">
        <w:rPr>
          <w:szCs w:val="24"/>
        </w:rPr>
        <w:t>u</w:t>
      </w:r>
      <w:r w:rsidR="00D1205E" w:rsidRPr="00120E8E">
        <w:rPr>
          <w:szCs w:val="24"/>
        </w:rPr>
        <w:t xml:space="preserve"> na investiční výzkum a výzkum hrazený emitentem, včetně poplatků, které </w:t>
      </w:r>
      <w:r w:rsidR="00C73B1F">
        <w:rPr>
          <w:szCs w:val="24"/>
        </w:rPr>
        <w:t>OCP</w:t>
      </w:r>
      <w:r w:rsidR="00D1205E" w:rsidRPr="00120E8E">
        <w:rPr>
          <w:szCs w:val="24"/>
        </w:rPr>
        <w:t xml:space="preserve"> za takový</w:t>
      </w:r>
      <w:r w:rsidR="00FB584F" w:rsidRPr="00120E8E">
        <w:rPr>
          <w:szCs w:val="24"/>
        </w:rPr>
        <w:t>to</w:t>
      </w:r>
      <w:r w:rsidR="00D1205E" w:rsidRPr="00120E8E">
        <w:rPr>
          <w:szCs w:val="24"/>
        </w:rPr>
        <w:t xml:space="preserve"> výzkum platí.</w:t>
      </w:r>
      <w:r w:rsidR="009C0EB2" w:rsidRPr="00120E8E">
        <w:rPr>
          <w:szCs w:val="24"/>
        </w:rPr>
        <w:t xml:space="preserve"> Doposud se právní úprava v ZPKT omezovala pouze na investiční výzkum ve </w:t>
      </w:r>
      <w:r w:rsidR="00C73B1F">
        <w:rPr>
          <w:szCs w:val="24"/>
        </w:rPr>
        <w:t> </w:t>
      </w:r>
      <w:r w:rsidR="009C0EB2" w:rsidRPr="00120E8E">
        <w:rPr>
          <w:szCs w:val="24"/>
        </w:rPr>
        <w:t xml:space="preserve">vztahu k SME, což se nově mění. Oproti stávajícímu stavu bude také nově možné </w:t>
      </w:r>
      <w:r w:rsidR="006C27F7" w:rsidRPr="00120E8E">
        <w:rPr>
          <w:szCs w:val="24"/>
        </w:rPr>
        <w:t xml:space="preserve">organizovat jako trh pro růst malých a středních podniků i jen segment mnohostranného obchodního systému, nikoliv pouze celek. </w:t>
      </w:r>
    </w:p>
    <w:p w14:paraId="6571BA2E" w14:textId="798508C5" w:rsidR="004A315C" w:rsidRPr="00120E8E" w:rsidRDefault="004A315C" w:rsidP="005A04B3">
      <w:pPr>
        <w:rPr>
          <w:szCs w:val="24"/>
        </w:rPr>
      </w:pPr>
      <w:r w:rsidRPr="00120E8E">
        <w:rPr>
          <w:szCs w:val="24"/>
        </w:rPr>
        <w:t xml:space="preserve">Vzhledem k tomu, že </w:t>
      </w:r>
      <w:r w:rsidR="00D11434" w:rsidRPr="00120E8E">
        <w:rPr>
          <w:szCs w:val="24"/>
        </w:rPr>
        <w:t>ČR</w:t>
      </w:r>
      <w:r w:rsidRPr="00120E8E">
        <w:rPr>
          <w:szCs w:val="24"/>
        </w:rPr>
        <w:t xml:space="preserve"> v minulosti nevyužila možnost diskrece v nařízení o</w:t>
      </w:r>
      <w:r w:rsidR="00B13C2F" w:rsidRPr="00120E8E">
        <w:rPr>
          <w:szCs w:val="24"/>
        </w:rPr>
        <w:t> </w:t>
      </w:r>
      <w:r w:rsidRPr="00120E8E">
        <w:rPr>
          <w:szCs w:val="24"/>
        </w:rPr>
        <w:t>prospektu, byla hranice pro prospekt stanovena na 1 mil. EUR</w:t>
      </w:r>
      <w:r w:rsidR="00483004">
        <w:rPr>
          <w:szCs w:val="24"/>
        </w:rPr>
        <w:t xml:space="preserve"> v nařízení o prospektu</w:t>
      </w:r>
      <w:r w:rsidRPr="00120E8E">
        <w:rPr>
          <w:szCs w:val="24"/>
        </w:rPr>
        <w:t>. S novou úpravou nařízení o</w:t>
      </w:r>
      <w:r w:rsidR="00B13C2F" w:rsidRPr="00120E8E">
        <w:rPr>
          <w:szCs w:val="24"/>
        </w:rPr>
        <w:t> </w:t>
      </w:r>
      <w:r w:rsidRPr="00120E8E">
        <w:rPr>
          <w:szCs w:val="24"/>
        </w:rPr>
        <w:t>prospektu by</w:t>
      </w:r>
      <w:r w:rsidR="00D11434" w:rsidRPr="00120E8E">
        <w:rPr>
          <w:szCs w:val="24"/>
        </w:rPr>
        <w:t> </w:t>
      </w:r>
      <w:r w:rsidRPr="00120E8E">
        <w:rPr>
          <w:szCs w:val="24"/>
        </w:rPr>
        <w:t>při</w:t>
      </w:r>
      <w:r w:rsidR="00D11434" w:rsidRPr="00120E8E">
        <w:rPr>
          <w:szCs w:val="24"/>
        </w:rPr>
        <w:t> </w:t>
      </w:r>
      <w:r w:rsidRPr="00120E8E">
        <w:rPr>
          <w:szCs w:val="24"/>
        </w:rPr>
        <w:t>nevyužití diskrece byla nová hranice stanovena na 12 mil. EUR (při využití diskrece pak</w:t>
      </w:r>
      <w:r w:rsidR="00D11434" w:rsidRPr="00120E8E">
        <w:rPr>
          <w:szCs w:val="24"/>
        </w:rPr>
        <w:t> </w:t>
      </w:r>
      <w:r w:rsidRPr="00120E8E">
        <w:rPr>
          <w:szCs w:val="24"/>
        </w:rPr>
        <w:t>na</w:t>
      </w:r>
      <w:r w:rsidR="00D11434" w:rsidRPr="00120E8E">
        <w:rPr>
          <w:szCs w:val="24"/>
        </w:rPr>
        <w:t> </w:t>
      </w:r>
      <w:r w:rsidRPr="00120E8E">
        <w:rPr>
          <w:szCs w:val="24"/>
        </w:rPr>
        <w:t>5 mil. EUR)</w:t>
      </w:r>
      <w:r w:rsidR="00483004">
        <w:rPr>
          <w:szCs w:val="24"/>
        </w:rPr>
        <w:t>, což si dále vyžádá úpravu ZPKT</w:t>
      </w:r>
      <w:r w:rsidRPr="00120E8E">
        <w:rPr>
          <w:szCs w:val="24"/>
        </w:rPr>
        <w:t xml:space="preserve"> </w:t>
      </w:r>
    </w:p>
    <w:p w14:paraId="39F401CB" w14:textId="17F1E5F2" w:rsidR="00174B08" w:rsidRPr="00120E8E" w:rsidRDefault="00D1205E" w:rsidP="005A04B3">
      <w:pPr>
        <w:rPr>
          <w:szCs w:val="24"/>
        </w:rPr>
      </w:pPr>
      <w:r w:rsidRPr="00120E8E">
        <w:rPr>
          <w:szCs w:val="24"/>
        </w:rPr>
        <w:t xml:space="preserve">Ve vztahu k směrnici </w:t>
      </w:r>
      <w:r w:rsidR="002015AA" w:rsidRPr="00120E8E">
        <w:rPr>
          <w:szCs w:val="24"/>
        </w:rPr>
        <w:t>MVS</w:t>
      </w:r>
      <w:r w:rsidRPr="00120E8E">
        <w:rPr>
          <w:szCs w:val="24"/>
        </w:rPr>
        <w:t>D</w:t>
      </w:r>
      <w:r w:rsidR="002015AA" w:rsidRPr="00120E8E">
        <w:rPr>
          <w:szCs w:val="24"/>
        </w:rPr>
        <w:t xml:space="preserve"> s</w:t>
      </w:r>
      <w:r w:rsidR="009232B0" w:rsidRPr="00120E8E">
        <w:rPr>
          <w:szCs w:val="24"/>
        </w:rPr>
        <w:t>távající právní</w:t>
      </w:r>
      <w:r w:rsidR="005A04B3" w:rsidRPr="00120E8E">
        <w:rPr>
          <w:szCs w:val="24"/>
        </w:rPr>
        <w:t xml:space="preserve"> úprava </w:t>
      </w:r>
      <w:r w:rsidR="009C0EB2" w:rsidRPr="00120E8E">
        <w:rPr>
          <w:szCs w:val="24"/>
        </w:rPr>
        <w:t xml:space="preserve">již </w:t>
      </w:r>
      <w:r w:rsidR="009232B0" w:rsidRPr="00120E8E">
        <w:rPr>
          <w:szCs w:val="24"/>
        </w:rPr>
        <w:t xml:space="preserve">umožňuje vydání akcií s rozdílnou vahou hlasů a nebrání provozovatelům mnohostranných obchodních systémů v přijetí investičních nástrojů emitentů, kteří vydali akcie s rozdílnou vahou hlasů, k obchodování. </w:t>
      </w:r>
      <w:r w:rsidR="00167840" w:rsidRPr="00120E8E">
        <w:rPr>
          <w:szCs w:val="24"/>
        </w:rPr>
        <w:t xml:space="preserve">Neobsahuje však úpravu transparentnosti ohledně těchto akcií v případě, kdy jsou akcie obchodovány v mnohostranných obchodních systémech, kterou požaduje </w:t>
      </w:r>
      <w:r w:rsidR="002015AA" w:rsidRPr="00120E8E">
        <w:rPr>
          <w:szCs w:val="24"/>
        </w:rPr>
        <w:t xml:space="preserve">směrnice </w:t>
      </w:r>
      <w:r w:rsidR="00167840" w:rsidRPr="00120E8E">
        <w:rPr>
          <w:szCs w:val="24"/>
        </w:rPr>
        <w:t>MVSD. Současně se provozovatel mnohostranného obchodního systému může v souladu se</w:t>
      </w:r>
      <w:r w:rsidR="002015AA" w:rsidRPr="00120E8E">
        <w:rPr>
          <w:szCs w:val="24"/>
        </w:rPr>
        <w:t> </w:t>
      </w:r>
      <w:r w:rsidR="00167840" w:rsidRPr="00120E8E">
        <w:rPr>
          <w:szCs w:val="24"/>
        </w:rPr>
        <w:t>stávající právní úpravou rozhodnout investiční nástroje k obchodování nepřijmout z důvodu, že jejich emitent vydal akcie s rozdílnou vahou hlasů.</w:t>
      </w:r>
    </w:p>
    <w:p w14:paraId="0EE970CF" w14:textId="71022C21" w:rsidR="00167840" w:rsidRPr="00120E8E" w:rsidRDefault="00167840" w:rsidP="005A04B3">
      <w:pPr>
        <w:rPr>
          <w:szCs w:val="24"/>
        </w:rPr>
      </w:pPr>
      <w:r w:rsidRPr="00120E8E">
        <w:rPr>
          <w:szCs w:val="24"/>
        </w:rPr>
        <w:t>K ochraně akcionářů společnosti, která vydala akcie s rozdílnou vahou hlasů</w:t>
      </w:r>
      <w:r w:rsidR="0052680A" w:rsidRPr="00120E8E">
        <w:rPr>
          <w:szCs w:val="24"/>
        </w:rPr>
        <w:t>,</w:t>
      </w:r>
      <w:r w:rsidRPr="00120E8E">
        <w:rPr>
          <w:szCs w:val="24"/>
        </w:rPr>
        <w:t xml:space="preserve"> slouží zejména §</w:t>
      </w:r>
      <w:r w:rsidR="008C2EDE" w:rsidRPr="00120E8E">
        <w:rPr>
          <w:szCs w:val="24"/>
        </w:rPr>
        <w:t> </w:t>
      </w:r>
      <w:r w:rsidRPr="00120E8E">
        <w:rPr>
          <w:szCs w:val="24"/>
        </w:rPr>
        <w:t>417 ZOK, podle kterého je o některých významných rozhodnutích valné hromady nutné tzv.</w:t>
      </w:r>
      <w:r w:rsidR="008C2EDE" w:rsidRPr="00120E8E">
        <w:rPr>
          <w:szCs w:val="24"/>
        </w:rPr>
        <w:t> </w:t>
      </w:r>
      <w:r w:rsidRPr="00120E8E">
        <w:rPr>
          <w:szCs w:val="24"/>
        </w:rPr>
        <w:t>hlasování podle druhu. Ve výčtu těchto rozhodnutí však chybí rozhodnutí o zrušení společnosti s likvidací a rozhodnutí o rozdělení likvidačního zůstatku.</w:t>
      </w:r>
      <w:r w:rsidR="00E62BD2" w:rsidRPr="00120E8E">
        <w:rPr>
          <w:szCs w:val="24"/>
        </w:rPr>
        <w:t xml:space="preserve"> Naopak je vyžadován vyšší počet hlasů (dvoutřetinová většina přítomných akcionářů) v případě rozhodnutí o</w:t>
      </w:r>
      <w:r w:rsidR="008C2EDE" w:rsidRPr="00120E8E">
        <w:rPr>
          <w:szCs w:val="24"/>
        </w:rPr>
        <w:t> </w:t>
      </w:r>
      <w:r w:rsidR="00E62BD2" w:rsidRPr="00120E8E">
        <w:rPr>
          <w:szCs w:val="24"/>
        </w:rPr>
        <w:t xml:space="preserve">možnosti započtení peněžité pohledávky vůči společnosti proti pohledávce na splacení emisního kursu podle § 416 ZOK, ačkoli dopady na práva a povinnosti akcionářů nejsou srovnatelné </w:t>
      </w:r>
      <w:r w:rsidR="00890EBD" w:rsidRPr="00120E8E">
        <w:rPr>
          <w:szCs w:val="24"/>
        </w:rPr>
        <w:t>s</w:t>
      </w:r>
      <w:r w:rsidR="00E62BD2" w:rsidRPr="00120E8E">
        <w:rPr>
          <w:szCs w:val="24"/>
        </w:rPr>
        <w:t xml:space="preserve"> jiný</w:t>
      </w:r>
      <w:r w:rsidR="00890EBD" w:rsidRPr="00120E8E">
        <w:rPr>
          <w:szCs w:val="24"/>
        </w:rPr>
        <w:t>mi</w:t>
      </w:r>
      <w:r w:rsidR="00E62BD2" w:rsidRPr="00120E8E">
        <w:rPr>
          <w:szCs w:val="24"/>
        </w:rPr>
        <w:t xml:space="preserve"> rozhodnutí</w:t>
      </w:r>
      <w:r w:rsidR="00890EBD" w:rsidRPr="00120E8E">
        <w:rPr>
          <w:szCs w:val="24"/>
        </w:rPr>
        <w:t>mi</w:t>
      </w:r>
      <w:r w:rsidR="00E62BD2" w:rsidRPr="00120E8E">
        <w:rPr>
          <w:szCs w:val="24"/>
        </w:rPr>
        <w:t xml:space="preserve">, pro jejichž přijetí je vyžadován vyšší počet hlasů. </w:t>
      </w:r>
    </w:p>
    <w:p w14:paraId="29220AFF" w14:textId="7C51A34F" w:rsidR="002015AA" w:rsidRPr="00120E8E" w:rsidRDefault="002015AA" w:rsidP="00094A07">
      <w:pPr>
        <w:rPr>
          <w:szCs w:val="24"/>
          <w:lang w:bidi="en-US"/>
        </w:rPr>
      </w:pPr>
      <w:r w:rsidRPr="00120E8E">
        <w:rPr>
          <w:szCs w:val="24"/>
          <w:lang w:bidi="en-US"/>
        </w:rPr>
        <w:t>Směrnice EMIR 3 vyžaduje, aby členské státy zpřísnily požadavky ve vztahu k řídícím a</w:t>
      </w:r>
      <w:r w:rsidR="008513EA" w:rsidRPr="00120E8E">
        <w:rPr>
          <w:szCs w:val="24"/>
          <w:lang w:bidi="en-US"/>
        </w:rPr>
        <w:t> </w:t>
      </w:r>
      <w:r w:rsidRPr="00120E8E">
        <w:rPr>
          <w:szCs w:val="24"/>
          <w:lang w:bidi="en-US"/>
        </w:rPr>
        <w:t>kontrolním systémům bank, spo</w:t>
      </w:r>
      <w:r w:rsidR="00B13C2F" w:rsidRPr="00120E8E">
        <w:rPr>
          <w:szCs w:val="24"/>
          <w:lang w:bidi="en-US"/>
        </w:rPr>
        <w:t>ř</w:t>
      </w:r>
      <w:r w:rsidRPr="00120E8E">
        <w:rPr>
          <w:szCs w:val="24"/>
          <w:lang w:bidi="en-US"/>
        </w:rPr>
        <w:t xml:space="preserve">itelních a úvěrních družstev a </w:t>
      </w:r>
      <w:r w:rsidR="00300363">
        <w:rPr>
          <w:szCs w:val="24"/>
          <w:lang w:bidi="en-US"/>
        </w:rPr>
        <w:t>OCP</w:t>
      </w:r>
      <w:r w:rsidRPr="00120E8E">
        <w:rPr>
          <w:szCs w:val="24"/>
          <w:lang w:bidi="en-US"/>
        </w:rPr>
        <w:t xml:space="preserve"> a snižoval</w:t>
      </w:r>
      <w:r w:rsidR="005340BA">
        <w:rPr>
          <w:szCs w:val="24"/>
          <w:lang w:bidi="en-US"/>
        </w:rPr>
        <w:t>y</w:t>
      </w:r>
      <w:r w:rsidRPr="00120E8E">
        <w:rPr>
          <w:szCs w:val="24"/>
          <w:lang w:bidi="en-US"/>
        </w:rPr>
        <w:t xml:space="preserve"> svou závislost na clearing u ústředních protistran ze třetích zemí. Protože směrnice EMIR 3 </w:t>
      </w:r>
      <w:r w:rsidR="00483004">
        <w:rPr>
          <w:szCs w:val="24"/>
          <w:lang w:bidi="en-US"/>
        </w:rPr>
        <w:t xml:space="preserve">vyžaduje zásah do řídicího a kontrolního systému OCP, banky či družstevní záložny bude potřeba v návaznosti na směrnici zasáhnout do </w:t>
      </w:r>
      <w:r w:rsidRPr="00120E8E">
        <w:rPr>
          <w:szCs w:val="24"/>
          <w:lang w:bidi="en-US"/>
        </w:rPr>
        <w:t xml:space="preserve">ZPKT, </w:t>
      </w:r>
      <w:proofErr w:type="spellStart"/>
      <w:r w:rsidRPr="00564446">
        <w:rPr>
          <w:iCs/>
          <w:szCs w:val="24"/>
          <w:lang w:bidi="en-US"/>
        </w:rPr>
        <w:t>ZoB</w:t>
      </w:r>
      <w:proofErr w:type="spellEnd"/>
      <w:r w:rsidRPr="00483004">
        <w:rPr>
          <w:szCs w:val="24"/>
          <w:lang w:bidi="en-US"/>
        </w:rPr>
        <w:t xml:space="preserve"> a </w:t>
      </w:r>
      <w:r w:rsidRPr="00564446">
        <w:rPr>
          <w:iCs/>
          <w:szCs w:val="24"/>
          <w:lang w:bidi="en-US"/>
        </w:rPr>
        <w:t>ZSÚD</w:t>
      </w:r>
      <w:r w:rsidR="00483004">
        <w:rPr>
          <w:szCs w:val="24"/>
          <w:lang w:bidi="en-US"/>
        </w:rPr>
        <w:t>, ve kterých jsou řídicí a kontrolní systém OCP, banky a družstevní záložny upraveny</w:t>
      </w:r>
      <w:r w:rsidR="001927D3" w:rsidRPr="00120E8E">
        <w:rPr>
          <w:szCs w:val="24"/>
          <w:lang w:bidi="en-US"/>
        </w:rPr>
        <w:t>.</w:t>
      </w:r>
    </w:p>
    <w:p w14:paraId="0423EAEC" w14:textId="25E223AC" w:rsidR="00094A07" w:rsidRPr="00120E8E" w:rsidRDefault="00094A07" w:rsidP="00094A07">
      <w:pPr>
        <w:rPr>
          <w:bCs/>
          <w:color w:val="000000" w:themeColor="text1"/>
          <w:szCs w:val="24"/>
        </w:rPr>
      </w:pPr>
      <w:r w:rsidRPr="00120E8E">
        <w:rPr>
          <w:szCs w:val="24"/>
          <w:lang w:bidi="en-US"/>
        </w:rPr>
        <w:t xml:space="preserve">Ze strany </w:t>
      </w:r>
      <w:r w:rsidR="00503C81">
        <w:rPr>
          <w:szCs w:val="24"/>
          <w:lang w:bidi="en-US"/>
        </w:rPr>
        <w:t>EK</w:t>
      </w:r>
      <w:r w:rsidRPr="00120E8E">
        <w:rPr>
          <w:szCs w:val="24"/>
          <w:lang w:bidi="en-US"/>
        </w:rPr>
        <w:t xml:space="preserve"> byly uplatněny vůči </w:t>
      </w:r>
      <w:r w:rsidR="004854A7">
        <w:rPr>
          <w:szCs w:val="24"/>
          <w:lang w:bidi="en-US"/>
        </w:rPr>
        <w:t>ČR</w:t>
      </w:r>
      <w:r w:rsidRPr="00120E8E">
        <w:rPr>
          <w:szCs w:val="24"/>
          <w:lang w:bidi="en-US"/>
        </w:rPr>
        <w:t xml:space="preserve"> v rámci pilotního řízení výtky ohledně znění ZPKT, které podle </w:t>
      </w:r>
      <w:r w:rsidR="00503C81">
        <w:rPr>
          <w:szCs w:val="24"/>
          <w:lang w:bidi="en-US"/>
        </w:rPr>
        <w:t>EK</w:t>
      </w:r>
      <w:r w:rsidR="00503C81" w:rsidRPr="00120E8E">
        <w:rPr>
          <w:szCs w:val="24"/>
          <w:lang w:bidi="en-US"/>
        </w:rPr>
        <w:t xml:space="preserve"> </w:t>
      </w:r>
      <w:r w:rsidR="002015AA" w:rsidRPr="00120E8E">
        <w:rPr>
          <w:szCs w:val="24"/>
          <w:lang w:bidi="en-US"/>
        </w:rPr>
        <w:t xml:space="preserve">nepřesně </w:t>
      </w:r>
      <w:r w:rsidRPr="00120E8E">
        <w:rPr>
          <w:szCs w:val="24"/>
          <w:lang w:bidi="en-US"/>
        </w:rPr>
        <w:t>implementuje některá ustanovení evropského práva</w:t>
      </w:r>
      <w:r w:rsidR="00B13C2F" w:rsidRPr="00120E8E">
        <w:rPr>
          <w:szCs w:val="24"/>
          <w:lang w:bidi="en-US"/>
        </w:rPr>
        <w:t>,</w:t>
      </w:r>
      <w:r w:rsidR="002015AA" w:rsidRPr="00120E8E">
        <w:rPr>
          <w:szCs w:val="24"/>
          <w:lang w:bidi="en-US"/>
        </w:rPr>
        <w:t xml:space="preserve"> zvláště pak ve vztahu k transpozici směrnice IFD</w:t>
      </w:r>
      <w:r w:rsidRPr="00120E8E">
        <w:rPr>
          <w:szCs w:val="24"/>
          <w:lang w:bidi="en-US"/>
        </w:rPr>
        <w:t>. Jedná se</w:t>
      </w:r>
      <w:r w:rsidR="00477FD2">
        <w:rPr>
          <w:szCs w:val="24"/>
          <w:lang w:bidi="en-US"/>
        </w:rPr>
        <w:t> </w:t>
      </w:r>
      <w:r w:rsidRPr="00120E8E">
        <w:rPr>
          <w:szCs w:val="24"/>
          <w:lang w:bidi="en-US"/>
        </w:rPr>
        <w:t>převážně o</w:t>
      </w:r>
      <w:r w:rsidR="002015AA" w:rsidRPr="00120E8E">
        <w:rPr>
          <w:szCs w:val="24"/>
          <w:lang w:bidi="en-US"/>
        </w:rPr>
        <w:t> </w:t>
      </w:r>
      <w:r w:rsidRPr="00120E8E">
        <w:rPr>
          <w:szCs w:val="24"/>
          <w:lang w:bidi="en-US"/>
        </w:rPr>
        <w:t>zastaralé, a tedy v současné době chybné odkazy na</w:t>
      </w:r>
      <w:r w:rsidR="002015AA" w:rsidRPr="00120E8E">
        <w:rPr>
          <w:szCs w:val="24"/>
          <w:lang w:bidi="en-US"/>
        </w:rPr>
        <w:t> </w:t>
      </w:r>
      <w:r w:rsidRPr="00120E8E">
        <w:rPr>
          <w:szCs w:val="24"/>
          <w:lang w:bidi="en-US"/>
        </w:rPr>
        <w:t xml:space="preserve">ustanovení v rámci ZPKT. </w:t>
      </w:r>
      <w:r w:rsidRPr="00120E8E">
        <w:rPr>
          <w:bCs/>
          <w:color w:val="000000" w:themeColor="text1"/>
          <w:szCs w:val="24"/>
        </w:rPr>
        <w:t>Změny jsou tedy převážně technického rázu.</w:t>
      </w:r>
    </w:p>
    <w:p w14:paraId="00D9559A" w14:textId="4CFB019A" w:rsidR="006F766D" w:rsidRDefault="006F766D" w:rsidP="006F766D">
      <w:pPr>
        <w:rPr>
          <w:bCs/>
          <w:color w:val="000000" w:themeColor="text1"/>
          <w:szCs w:val="24"/>
        </w:rPr>
      </w:pPr>
      <w:r>
        <w:rPr>
          <w:bCs/>
          <w:color w:val="000000" w:themeColor="text1"/>
          <w:szCs w:val="24"/>
        </w:rPr>
        <w:t xml:space="preserve">Dále byly ze strany </w:t>
      </w:r>
      <w:r w:rsidR="00503C81">
        <w:rPr>
          <w:bCs/>
          <w:color w:val="000000" w:themeColor="text1"/>
          <w:szCs w:val="24"/>
        </w:rPr>
        <w:t>EK</w:t>
      </w:r>
      <w:r>
        <w:rPr>
          <w:bCs/>
          <w:color w:val="000000" w:themeColor="text1"/>
          <w:szCs w:val="24"/>
        </w:rPr>
        <w:t xml:space="preserve"> uplatněny v rámci pilotního řízení výtky k transpozici čl. 1 odst. 28 písm. c) prvního odstavce věty druhé (čl. 97 odst. 4a) CRD</w:t>
      </w:r>
      <w:r w:rsidR="00FE410E">
        <w:rPr>
          <w:bCs/>
          <w:color w:val="000000" w:themeColor="text1"/>
          <w:szCs w:val="24"/>
        </w:rPr>
        <w:t xml:space="preserve"> </w:t>
      </w:r>
      <w:r>
        <w:rPr>
          <w:bCs/>
          <w:color w:val="000000" w:themeColor="text1"/>
          <w:szCs w:val="24"/>
        </w:rPr>
        <w:t xml:space="preserve">V do </w:t>
      </w:r>
      <w:proofErr w:type="spellStart"/>
      <w:r>
        <w:rPr>
          <w:bCs/>
          <w:color w:val="000000" w:themeColor="text1"/>
          <w:szCs w:val="24"/>
        </w:rPr>
        <w:t>ZoB</w:t>
      </w:r>
      <w:proofErr w:type="spellEnd"/>
      <w:r>
        <w:rPr>
          <w:bCs/>
          <w:color w:val="000000" w:themeColor="text1"/>
          <w:szCs w:val="24"/>
        </w:rPr>
        <w:t xml:space="preserve"> a ZSÚD. Podle závěrů </w:t>
      </w:r>
      <w:r w:rsidR="00503C81">
        <w:rPr>
          <w:bCs/>
          <w:color w:val="000000" w:themeColor="text1"/>
          <w:szCs w:val="24"/>
        </w:rPr>
        <w:t>EK</w:t>
      </w:r>
      <w:r>
        <w:rPr>
          <w:bCs/>
          <w:color w:val="000000" w:themeColor="text1"/>
          <w:szCs w:val="24"/>
        </w:rPr>
        <w:t xml:space="preserve"> neodkazují v</w:t>
      </w:r>
      <w:r w:rsidRPr="008E122F">
        <w:rPr>
          <w:bCs/>
          <w:color w:val="000000" w:themeColor="text1"/>
          <w:szCs w:val="24"/>
        </w:rPr>
        <w:t xml:space="preserve">nitrostátní prováděcí opatření na konkrétní rizika, kterým může být každá </w:t>
      </w:r>
      <w:r w:rsidRPr="008E122F">
        <w:rPr>
          <w:bCs/>
          <w:color w:val="000000" w:themeColor="text1"/>
          <w:szCs w:val="24"/>
        </w:rPr>
        <w:lastRenderedPageBreak/>
        <w:t>instituce vystavena</w:t>
      </w:r>
      <w:r w:rsidR="00182048">
        <w:rPr>
          <w:bCs/>
          <w:color w:val="000000" w:themeColor="text1"/>
          <w:szCs w:val="24"/>
        </w:rPr>
        <w:t>,</w:t>
      </w:r>
      <w:r>
        <w:rPr>
          <w:bCs/>
          <w:color w:val="000000" w:themeColor="text1"/>
          <w:szCs w:val="24"/>
        </w:rPr>
        <w:t xml:space="preserve"> a dále neodkazují ani</w:t>
      </w:r>
      <w:r w:rsidRPr="008E122F">
        <w:rPr>
          <w:bCs/>
          <w:color w:val="000000" w:themeColor="text1"/>
          <w:szCs w:val="24"/>
        </w:rPr>
        <w:t xml:space="preserve"> na specifický charakter opatření uložených v souladu s článkem 104 </w:t>
      </w:r>
      <w:r>
        <w:rPr>
          <w:bCs/>
          <w:color w:val="000000" w:themeColor="text1"/>
          <w:szCs w:val="24"/>
        </w:rPr>
        <w:t>CRD</w:t>
      </w:r>
      <w:r w:rsidRPr="008E122F">
        <w:rPr>
          <w:bCs/>
          <w:color w:val="000000" w:themeColor="text1"/>
          <w:szCs w:val="24"/>
        </w:rPr>
        <w:t>.</w:t>
      </w:r>
      <w:r>
        <w:rPr>
          <w:bCs/>
          <w:color w:val="000000" w:themeColor="text1"/>
          <w:szCs w:val="24"/>
        </w:rPr>
        <w:t xml:space="preserve"> </w:t>
      </w:r>
      <w:r>
        <w:rPr>
          <w:szCs w:val="24"/>
        </w:rPr>
        <w:t>ČNB</w:t>
      </w:r>
      <w:r w:rsidRPr="002B35F7">
        <w:rPr>
          <w:szCs w:val="24"/>
        </w:rPr>
        <w:t xml:space="preserve"> může u bank </w:t>
      </w:r>
      <w:r>
        <w:rPr>
          <w:szCs w:val="24"/>
        </w:rPr>
        <w:t xml:space="preserve">a družstevních záložen </w:t>
      </w:r>
      <w:r w:rsidRPr="002B35F7">
        <w:rPr>
          <w:szCs w:val="24"/>
        </w:rPr>
        <w:t>s</w:t>
      </w:r>
      <w:r w:rsidR="00182048">
        <w:rPr>
          <w:szCs w:val="24"/>
        </w:rPr>
        <w:t> </w:t>
      </w:r>
      <w:r w:rsidRPr="002B35F7">
        <w:rPr>
          <w:szCs w:val="24"/>
        </w:rPr>
        <w:t>podobným rizikovým profilem přizpůsobit metodiku provádění procesu přezkumu a</w:t>
      </w:r>
      <w:r w:rsidR="00A07F34">
        <w:rPr>
          <w:szCs w:val="24"/>
        </w:rPr>
        <w:t> </w:t>
      </w:r>
      <w:r w:rsidRPr="002B35F7">
        <w:rPr>
          <w:szCs w:val="24"/>
        </w:rPr>
        <w:t>vyhodnocování s ohledem na</w:t>
      </w:r>
      <w:r w:rsidR="00564446">
        <w:rPr>
          <w:szCs w:val="24"/>
        </w:rPr>
        <w:t> </w:t>
      </w:r>
      <w:r w:rsidRPr="002B35F7">
        <w:rPr>
          <w:szCs w:val="24"/>
        </w:rPr>
        <w:t>rizikově orientovaná kritéria a kvantitativní ukazatele</w:t>
      </w:r>
      <w:r>
        <w:rPr>
          <w:bCs/>
          <w:color w:val="000000" w:themeColor="text1"/>
          <w:szCs w:val="24"/>
        </w:rPr>
        <w:t>. K zajištění souladu se CRD V</w:t>
      </w:r>
      <w:r w:rsidR="00564446">
        <w:rPr>
          <w:bCs/>
          <w:color w:val="000000" w:themeColor="text1"/>
          <w:szCs w:val="24"/>
        </w:rPr>
        <w:t> </w:t>
      </w:r>
      <w:r>
        <w:rPr>
          <w:bCs/>
          <w:color w:val="000000" w:themeColor="text1"/>
          <w:szCs w:val="24"/>
        </w:rPr>
        <w:t>se</w:t>
      </w:r>
      <w:r w:rsidR="00564446">
        <w:rPr>
          <w:bCs/>
          <w:color w:val="000000" w:themeColor="text1"/>
          <w:szCs w:val="24"/>
        </w:rPr>
        <w:t> </w:t>
      </w:r>
      <w:r>
        <w:rPr>
          <w:bCs/>
          <w:color w:val="000000" w:themeColor="text1"/>
          <w:szCs w:val="24"/>
        </w:rPr>
        <w:t xml:space="preserve">navrhuje upřesnit v § 25d odst. 1 větě druhé </w:t>
      </w:r>
      <w:proofErr w:type="spellStart"/>
      <w:r>
        <w:rPr>
          <w:bCs/>
          <w:color w:val="000000" w:themeColor="text1"/>
          <w:szCs w:val="24"/>
        </w:rPr>
        <w:t>ZoB</w:t>
      </w:r>
      <w:proofErr w:type="spellEnd"/>
      <w:r>
        <w:rPr>
          <w:bCs/>
          <w:color w:val="000000" w:themeColor="text1"/>
          <w:szCs w:val="24"/>
        </w:rPr>
        <w:t xml:space="preserve"> a § 21b odst.</w:t>
      </w:r>
      <w:r w:rsidR="00477FD2">
        <w:rPr>
          <w:bCs/>
          <w:color w:val="000000" w:themeColor="text1"/>
          <w:szCs w:val="24"/>
        </w:rPr>
        <w:t> </w:t>
      </w:r>
      <w:r>
        <w:rPr>
          <w:bCs/>
          <w:color w:val="000000" w:themeColor="text1"/>
          <w:szCs w:val="24"/>
        </w:rPr>
        <w:t xml:space="preserve">1 větě druhé ZSÚD, že </w:t>
      </w:r>
      <w:r w:rsidR="001C32A7">
        <w:rPr>
          <w:bCs/>
          <w:color w:val="000000" w:themeColor="text1"/>
          <w:szCs w:val="24"/>
        </w:rPr>
        <w:t> </w:t>
      </w:r>
      <w:r>
        <w:rPr>
          <w:bCs/>
          <w:color w:val="000000" w:themeColor="text1"/>
          <w:szCs w:val="24"/>
        </w:rPr>
        <w:t xml:space="preserve">metodika provádění přezkumu a vyhodnocování umožní zohlednit právě tato specifická rizika, aniž by tím byla dotčena pravomoc </w:t>
      </w:r>
      <w:r w:rsidR="004B3660">
        <w:rPr>
          <w:bCs/>
          <w:color w:val="000000" w:themeColor="text1"/>
          <w:szCs w:val="24"/>
        </w:rPr>
        <w:t>ČNB</w:t>
      </w:r>
      <w:r>
        <w:rPr>
          <w:bCs/>
          <w:color w:val="000000" w:themeColor="text1"/>
          <w:szCs w:val="24"/>
        </w:rPr>
        <w:t xml:space="preserve"> uložit konkrétní opatření v návaznosti na SREP a</w:t>
      </w:r>
      <w:r w:rsidR="00564446">
        <w:rPr>
          <w:bCs/>
          <w:color w:val="000000" w:themeColor="text1"/>
          <w:szCs w:val="24"/>
        </w:rPr>
        <w:t> </w:t>
      </w:r>
      <w:r>
        <w:rPr>
          <w:bCs/>
          <w:color w:val="000000" w:themeColor="text1"/>
          <w:szCs w:val="24"/>
        </w:rPr>
        <w:t xml:space="preserve">opatření k nápravě podle </w:t>
      </w:r>
      <w:proofErr w:type="spellStart"/>
      <w:r>
        <w:rPr>
          <w:bCs/>
          <w:color w:val="000000" w:themeColor="text1"/>
          <w:szCs w:val="24"/>
        </w:rPr>
        <w:t>ZoB</w:t>
      </w:r>
      <w:proofErr w:type="spellEnd"/>
      <w:r>
        <w:rPr>
          <w:bCs/>
          <w:color w:val="000000" w:themeColor="text1"/>
          <w:szCs w:val="24"/>
        </w:rPr>
        <w:t xml:space="preserve"> a ZSÚD, která jsou transpozičními k čl. 104 CRD.</w:t>
      </w:r>
    </w:p>
    <w:p w14:paraId="2CB5B696" w14:textId="230663FD" w:rsidR="006F766D" w:rsidRDefault="006F766D" w:rsidP="006F766D">
      <w:pPr>
        <w:rPr>
          <w:szCs w:val="24"/>
          <w:lang w:bidi="en-US"/>
        </w:rPr>
      </w:pPr>
      <w:r>
        <w:rPr>
          <w:szCs w:val="24"/>
          <w:lang w:bidi="en-US"/>
        </w:rPr>
        <w:t xml:space="preserve">Do </w:t>
      </w:r>
      <w:proofErr w:type="spellStart"/>
      <w:r w:rsidR="00E15F6F">
        <w:rPr>
          <w:szCs w:val="24"/>
          <w:lang w:bidi="en-US"/>
        </w:rPr>
        <w:t>ZoB</w:t>
      </w:r>
      <w:proofErr w:type="spellEnd"/>
      <w:r>
        <w:rPr>
          <w:szCs w:val="24"/>
          <w:lang w:bidi="en-US"/>
        </w:rPr>
        <w:t xml:space="preserve"> se dále navrhuje doplnit opatření k nápravě udělující pravomoc </w:t>
      </w:r>
      <w:r w:rsidR="004B3660">
        <w:t>ČNB</w:t>
      </w:r>
      <w:r w:rsidRPr="00E20D49">
        <w:t xml:space="preserve"> nařídit bance změnu auditora, pokud nesplní povinnost informovat </w:t>
      </w:r>
      <w:r w:rsidR="004B3660">
        <w:t>ČNB</w:t>
      </w:r>
      <w:r w:rsidRPr="00E20D49">
        <w:t xml:space="preserve"> o skutečnostech zjištěných podle zákona o auditorech.</w:t>
      </w:r>
      <w:r>
        <w:t xml:space="preserve"> Shodné opatření k nápravě je upraveno v § 22 odst. 8 </w:t>
      </w:r>
      <w:proofErr w:type="spellStart"/>
      <w:r w:rsidR="00E15F6F">
        <w:t>ZoB</w:t>
      </w:r>
      <w:proofErr w:type="spellEnd"/>
      <w:r>
        <w:t>, nicméně bude s účinností k 11. lednu 2026 zrušeno zákonem č. 280/2025 Sb. S ohledem na</w:t>
      </w:r>
      <w:r w:rsidR="00477FD2">
        <w:t> </w:t>
      </w:r>
      <w:r>
        <w:t>to, že se jedná o</w:t>
      </w:r>
      <w:r w:rsidR="00564446">
        <w:t> </w:t>
      </w:r>
      <w:r>
        <w:t>transpoziční ustanovení k čl. 1 bodu 15 (čl. 63 odst. 1) CRD</w:t>
      </w:r>
      <w:r w:rsidR="000448ED">
        <w:t xml:space="preserve"> </w:t>
      </w:r>
      <w:r>
        <w:t xml:space="preserve">V, je nutné zajistit plnou transpozici tohoto ustanovení doplněním tohoto opatření k nápravě do </w:t>
      </w:r>
      <w:proofErr w:type="spellStart"/>
      <w:r w:rsidR="00E15F6F">
        <w:t>ZoB</w:t>
      </w:r>
      <w:proofErr w:type="spellEnd"/>
      <w:r>
        <w:t xml:space="preserve"> co nejdříve.</w:t>
      </w:r>
    </w:p>
    <w:p w14:paraId="522A5077" w14:textId="7220345F" w:rsidR="006F766D" w:rsidRPr="0037150B" w:rsidRDefault="006F766D" w:rsidP="006F766D">
      <w:pPr>
        <w:rPr>
          <w:bCs/>
          <w:color w:val="000000" w:themeColor="text1"/>
          <w:szCs w:val="24"/>
        </w:rPr>
      </w:pPr>
      <w:r>
        <w:rPr>
          <w:bCs/>
          <w:color w:val="000000" w:themeColor="text1"/>
          <w:szCs w:val="24"/>
        </w:rPr>
        <w:t>V návaznosti na úpravu celkového ročního čistého obratu v CRD VI byla provedena dílčí revize transpozičních ustanovení v </w:t>
      </w:r>
      <w:proofErr w:type="spellStart"/>
      <w:r w:rsidR="00E15F6F">
        <w:rPr>
          <w:bCs/>
          <w:color w:val="000000" w:themeColor="text1"/>
          <w:szCs w:val="24"/>
        </w:rPr>
        <w:t>ZoB</w:t>
      </w:r>
      <w:proofErr w:type="spellEnd"/>
      <w:r>
        <w:rPr>
          <w:bCs/>
          <w:color w:val="000000" w:themeColor="text1"/>
          <w:szCs w:val="24"/>
        </w:rPr>
        <w:t xml:space="preserve"> (§ 36a a násl.) a </w:t>
      </w:r>
      <w:r w:rsidR="00E15F6F">
        <w:rPr>
          <w:bCs/>
          <w:color w:val="000000" w:themeColor="text1"/>
          <w:szCs w:val="24"/>
        </w:rPr>
        <w:t>ZSÚD</w:t>
      </w:r>
      <w:r>
        <w:rPr>
          <w:bCs/>
          <w:color w:val="000000" w:themeColor="text1"/>
          <w:szCs w:val="24"/>
        </w:rPr>
        <w:t xml:space="preserve"> (§ 27b a násl.). </w:t>
      </w:r>
      <w:r>
        <w:t>Cílem navrhované právní úpravy je zajistit soulad s úpravou v</w:t>
      </w:r>
      <w:r w:rsidR="000448ED">
        <w:t> </w:t>
      </w:r>
      <w:r>
        <w:t>CRD</w:t>
      </w:r>
      <w:r w:rsidR="000448ED">
        <w:t> </w:t>
      </w:r>
      <w:r>
        <w:t>VI, upřesnit výpočet celkového ročního čistého obratu a zjednodušit právní úpravu v </w:t>
      </w:r>
      <w:proofErr w:type="spellStart"/>
      <w:r w:rsidR="00E15F6F">
        <w:t>ZoB</w:t>
      </w:r>
      <w:proofErr w:type="spellEnd"/>
      <w:r w:rsidR="00E15F6F">
        <w:t xml:space="preserve"> a ZSÚD</w:t>
      </w:r>
      <w:r>
        <w:t xml:space="preserve"> odstraněním duplicit. </w:t>
      </w:r>
    </w:p>
    <w:p w14:paraId="36B20E81" w14:textId="7CA95702" w:rsidR="00F241E2" w:rsidRPr="00120E8E" w:rsidRDefault="00F241E2" w:rsidP="00563210">
      <w:pPr>
        <w:rPr>
          <w:szCs w:val="24"/>
        </w:rPr>
      </w:pPr>
      <w:r w:rsidRPr="00120E8E">
        <w:rPr>
          <w:szCs w:val="24"/>
        </w:rPr>
        <w:t xml:space="preserve">ČNB identifikovala </w:t>
      </w:r>
      <w:r w:rsidR="002015AA" w:rsidRPr="00120E8E">
        <w:rPr>
          <w:szCs w:val="24"/>
        </w:rPr>
        <w:t xml:space="preserve">41 </w:t>
      </w:r>
      <w:r w:rsidRPr="00120E8E">
        <w:rPr>
          <w:szCs w:val="24"/>
        </w:rPr>
        <w:t xml:space="preserve">bodů pro zmírnění národní regulatorní zátěže, </w:t>
      </w:r>
      <w:r w:rsidR="00564446">
        <w:rPr>
          <w:szCs w:val="24"/>
        </w:rPr>
        <w:t xml:space="preserve">které se objevují v současné právní úpravě finančního trhu. V tomto návrhu zákona jsme se zaměřili na </w:t>
      </w:r>
      <w:r w:rsidR="002015AA" w:rsidRPr="00120E8E">
        <w:rPr>
          <w:szCs w:val="24"/>
        </w:rPr>
        <w:t>oblast regulace kapitálového trhu</w:t>
      </w:r>
      <w:r w:rsidRPr="00120E8E">
        <w:rPr>
          <w:szCs w:val="24"/>
        </w:rPr>
        <w:t>. Změny navrhované na základě identifikace ČNB jdou nad rámec transpozice, a jedná se o odstraňování tzv. „</w:t>
      </w:r>
      <w:proofErr w:type="spellStart"/>
      <w:r w:rsidRPr="00120E8E">
        <w:rPr>
          <w:i/>
          <w:iCs/>
          <w:szCs w:val="24"/>
        </w:rPr>
        <w:t>gold</w:t>
      </w:r>
      <w:r w:rsidR="00F67080" w:rsidRPr="00120E8E">
        <w:rPr>
          <w:i/>
          <w:iCs/>
          <w:szCs w:val="24"/>
        </w:rPr>
        <w:t>-</w:t>
      </w:r>
      <w:r w:rsidRPr="00120E8E">
        <w:rPr>
          <w:i/>
          <w:iCs/>
          <w:szCs w:val="24"/>
        </w:rPr>
        <w:t>platingu</w:t>
      </w:r>
      <w:proofErr w:type="spellEnd"/>
      <w:r w:rsidRPr="00120E8E">
        <w:rPr>
          <w:szCs w:val="24"/>
        </w:rPr>
        <w:t>“.</w:t>
      </w:r>
    </w:p>
    <w:p w14:paraId="000FFB34" w14:textId="7C907868" w:rsidR="00094A07" w:rsidRDefault="00CB50C0" w:rsidP="00F52A22">
      <w:pPr>
        <w:rPr>
          <w:bCs/>
          <w:iCs/>
          <w:color w:val="000000" w:themeColor="text1"/>
          <w:szCs w:val="24"/>
        </w:rPr>
      </w:pPr>
      <w:r w:rsidRPr="00120E8E">
        <w:rPr>
          <w:bCs/>
          <w:iCs/>
          <w:color w:val="000000" w:themeColor="text1"/>
          <w:szCs w:val="24"/>
        </w:rPr>
        <w:t>Z dohledové praxe</w:t>
      </w:r>
      <w:r w:rsidR="00B13C2F" w:rsidRPr="00120E8E">
        <w:rPr>
          <w:bCs/>
          <w:iCs/>
          <w:color w:val="000000" w:themeColor="text1"/>
          <w:szCs w:val="24"/>
        </w:rPr>
        <w:t>,</w:t>
      </w:r>
      <w:r w:rsidRPr="00120E8E">
        <w:rPr>
          <w:bCs/>
          <w:iCs/>
          <w:color w:val="000000" w:themeColor="text1"/>
          <w:szCs w:val="24"/>
        </w:rPr>
        <w:t xml:space="preserve"> a i z veřejných medií plynou zjištění, že</w:t>
      </w:r>
      <w:r w:rsidR="00564446">
        <w:rPr>
          <w:bCs/>
          <w:iCs/>
          <w:color w:val="000000" w:themeColor="text1"/>
          <w:szCs w:val="24"/>
        </w:rPr>
        <w:t xml:space="preserve"> dochází k veřejnému nabízení dluhopisů, kdy role České národní banky je zveličována.</w:t>
      </w:r>
      <w:r w:rsidRPr="00120E8E">
        <w:rPr>
          <w:bCs/>
          <w:iCs/>
          <w:color w:val="000000" w:themeColor="text1"/>
          <w:szCs w:val="24"/>
        </w:rPr>
        <w:t xml:space="preserve"> </w:t>
      </w:r>
      <w:r w:rsidR="00564446" w:rsidRPr="00120E8E">
        <w:rPr>
          <w:bCs/>
          <w:iCs/>
          <w:color w:val="000000" w:themeColor="text1"/>
          <w:szCs w:val="24"/>
        </w:rPr>
        <w:t xml:space="preserve">Dluhopisy obecně jsou jak samotnými emitenty, tak i jejich distributory prezentovány jako bezpečný nástroj kapitálového trhu, který podléhá dohledu ČNB, což může vést k mylnému dojmu, že ČNB garantuje návratnost investice nebo finanční zdraví emitenta. </w:t>
      </w:r>
      <w:r w:rsidR="00564446">
        <w:rPr>
          <w:bCs/>
          <w:iCs/>
          <w:color w:val="000000" w:themeColor="text1"/>
          <w:szCs w:val="24"/>
        </w:rPr>
        <w:t>Předkladatel tedy shledal jako</w:t>
      </w:r>
      <w:r w:rsidRPr="00120E8E">
        <w:rPr>
          <w:bCs/>
          <w:iCs/>
          <w:color w:val="000000" w:themeColor="text1"/>
          <w:szCs w:val="24"/>
        </w:rPr>
        <w:t xml:space="preserve"> účelné zavést novou informační povinnost v souvislosti s nabízením (korporátních) dluhopisů veřejnosti. Nová informační povinnost by</w:t>
      </w:r>
      <w:r w:rsidR="00BE6FAD" w:rsidRPr="00120E8E">
        <w:rPr>
          <w:bCs/>
          <w:iCs/>
          <w:color w:val="000000" w:themeColor="text1"/>
          <w:szCs w:val="24"/>
        </w:rPr>
        <w:t> </w:t>
      </w:r>
      <w:r w:rsidRPr="00120E8E">
        <w:rPr>
          <w:bCs/>
          <w:iCs/>
          <w:color w:val="000000" w:themeColor="text1"/>
          <w:szCs w:val="24"/>
        </w:rPr>
        <w:t>měla představovat jednoduché a přímé varování investorů s co největším dosahem, které dosud v platné právní úpravě chybí.</w:t>
      </w:r>
    </w:p>
    <w:p w14:paraId="23D970EB" w14:textId="245B04E2" w:rsidR="00B8054C" w:rsidRDefault="00B8054C" w:rsidP="00B8054C">
      <w:pPr>
        <w:rPr>
          <w:bCs/>
          <w:iCs/>
          <w:color w:val="000000" w:themeColor="text1"/>
          <w:szCs w:val="24"/>
        </w:rPr>
      </w:pPr>
      <w:r>
        <w:rPr>
          <w:bCs/>
          <w:iCs/>
          <w:color w:val="000000" w:themeColor="text1"/>
          <w:szCs w:val="24"/>
        </w:rPr>
        <w:t xml:space="preserve">Nařízení o ESG </w:t>
      </w:r>
      <w:r w:rsidR="0045743E">
        <w:rPr>
          <w:bCs/>
          <w:iCs/>
          <w:color w:val="000000" w:themeColor="text1"/>
          <w:szCs w:val="24"/>
        </w:rPr>
        <w:t xml:space="preserve">ratingu </w:t>
      </w:r>
      <w:r>
        <w:rPr>
          <w:bCs/>
          <w:iCs/>
          <w:color w:val="000000" w:themeColor="text1"/>
          <w:szCs w:val="24"/>
        </w:rPr>
        <w:t xml:space="preserve">představuje první speciální úpravu ratingů ESG v českém právním řádu, v rámci EU i mezinárodně. Na bázi nepovinných standardů funguje regulace ratingů ESG v Japonsku, Indii nebo Singapuru. Spojené Království v současné době povinnou regulaci ratingů ESG připravuje. </w:t>
      </w:r>
    </w:p>
    <w:p w14:paraId="67CDA7F5" w14:textId="77777777" w:rsidR="00B8054C" w:rsidRDefault="00B8054C" w:rsidP="00B8054C">
      <w:pPr>
        <w:rPr>
          <w:bCs/>
          <w:iCs/>
          <w:color w:val="000000" w:themeColor="text1"/>
          <w:szCs w:val="24"/>
        </w:rPr>
      </w:pPr>
      <w:r>
        <w:rPr>
          <w:bCs/>
          <w:iCs/>
          <w:color w:val="000000" w:themeColor="text1"/>
          <w:szCs w:val="24"/>
        </w:rPr>
        <w:t xml:space="preserve">Některá pravidla českého právního řádu se na činnosti v oblasti ESG ratingů vztahovala nepřímo. Například skrze relevantní skutkové podstaty nekalé soutěže nebo ustanovení závazkového práva v rámci občanského zákoníku. Porovnatelnost a transparentnost metodik ratingů ESG ale upravena nebyla. Stejně tak poskytovatelé ESG ratingů nepodléhali specifické regulaci ani dohledu. </w:t>
      </w:r>
    </w:p>
    <w:p w14:paraId="04F8D62D" w14:textId="0ABC63A0" w:rsidR="00177160" w:rsidRPr="001D1E7B" w:rsidRDefault="00177160" w:rsidP="00177160">
      <w:pPr>
        <w:spacing w:before="80"/>
        <w:rPr>
          <w:bCs/>
          <w:color w:val="000000"/>
          <w:szCs w:val="24"/>
        </w:rPr>
      </w:pPr>
      <w:r>
        <w:rPr>
          <w:bCs/>
          <w:color w:val="000000"/>
          <w:szCs w:val="24"/>
        </w:rPr>
        <w:lastRenderedPageBreak/>
        <w:t xml:space="preserve">Stávající </w:t>
      </w:r>
      <w:r w:rsidRPr="00120E8E">
        <w:rPr>
          <w:bCs/>
          <w:color w:val="000000"/>
          <w:szCs w:val="24"/>
        </w:rPr>
        <w:t xml:space="preserve">právní úprava </w:t>
      </w:r>
      <w:r w:rsidRPr="00120E8E">
        <w:rPr>
          <w:color w:val="000000"/>
          <w:szCs w:val="24"/>
        </w:rPr>
        <w:t>nezakládá diskriminaci</w:t>
      </w:r>
      <w:r w:rsidRPr="00120E8E">
        <w:rPr>
          <w:bCs/>
          <w:color w:val="000000"/>
          <w:szCs w:val="24"/>
        </w:rPr>
        <w:t xml:space="preserve"> na základě pohlaví, věku, rasy, národnosti, víry nebo jiného kritéria. </w:t>
      </w:r>
      <w:r>
        <w:rPr>
          <w:bCs/>
          <w:color w:val="000000"/>
          <w:szCs w:val="24"/>
        </w:rPr>
        <w:t xml:space="preserve">Stávající </w:t>
      </w:r>
      <w:r w:rsidRPr="00120E8E">
        <w:rPr>
          <w:bCs/>
          <w:color w:val="000000"/>
          <w:szCs w:val="24"/>
        </w:rPr>
        <w:t>právní úprava nemá negativní dopad do vztahu rovnosti mužů a žen.</w:t>
      </w:r>
    </w:p>
    <w:p w14:paraId="6CA82FC0" w14:textId="23530BB5" w:rsidR="00DE7F62" w:rsidRPr="00120E8E" w:rsidRDefault="00DE7F62" w:rsidP="002E35C1">
      <w:pPr>
        <w:pStyle w:val="Nadpis2"/>
        <w:rPr>
          <w:rFonts w:cs="Times New Roman"/>
          <w:szCs w:val="24"/>
          <w:lang w:bidi="en-US"/>
        </w:rPr>
      </w:pPr>
      <w:r w:rsidRPr="00120E8E">
        <w:rPr>
          <w:rFonts w:cs="Times New Roman"/>
          <w:szCs w:val="24"/>
          <w:lang w:bidi="en-US"/>
        </w:rPr>
        <w:t xml:space="preserve">Odůvodnění hlavních principů navrhované právní úpravy </w:t>
      </w:r>
      <w:r w:rsidR="00B862AC" w:rsidRPr="00120E8E">
        <w:rPr>
          <w:rFonts w:cs="Times New Roman"/>
          <w:szCs w:val="24"/>
          <w:lang w:bidi="en-US"/>
        </w:rPr>
        <w:t>včetně dopadů navrhovaného řešení ve vztahu k zákazu diskriminace a ve vztahu k rovnosti mužů a žen</w:t>
      </w:r>
    </w:p>
    <w:p w14:paraId="06CA3BC4" w14:textId="4B5A38FD" w:rsidR="00F52A22" w:rsidRPr="00120E8E" w:rsidRDefault="00F52A22" w:rsidP="00F52A22">
      <w:pPr>
        <w:spacing w:before="80"/>
        <w:rPr>
          <w:bCs/>
          <w:color w:val="000000"/>
          <w:szCs w:val="24"/>
        </w:rPr>
      </w:pPr>
      <w:r w:rsidRPr="00120E8E">
        <w:rPr>
          <w:bCs/>
          <w:color w:val="000000"/>
          <w:szCs w:val="24"/>
        </w:rPr>
        <w:t xml:space="preserve">Navrhovaná právní úprava reaguje na přijetí </w:t>
      </w:r>
      <w:proofErr w:type="spellStart"/>
      <w:r w:rsidRPr="00120E8E">
        <w:rPr>
          <w:bCs/>
          <w:color w:val="000000"/>
          <w:szCs w:val="24"/>
        </w:rPr>
        <w:t>Listing</w:t>
      </w:r>
      <w:proofErr w:type="spellEnd"/>
      <w:r w:rsidRPr="00120E8E">
        <w:rPr>
          <w:bCs/>
          <w:color w:val="000000"/>
          <w:szCs w:val="24"/>
        </w:rPr>
        <w:t xml:space="preserve"> </w:t>
      </w:r>
      <w:proofErr w:type="spellStart"/>
      <w:r w:rsidRPr="00120E8E">
        <w:rPr>
          <w:bCs/>
          <w:color w:val="000000"/>
          <w:szCs w:val="24"/>
        </w:rPr>
        <w:t>Act</w:t>
      </w:r>
      <w:proofErr w:type="spellEnd"/>
      <w:r w:rsidR="004050CB" w:rsidRPr="00120E8E">
        <w:rPr>
          <w:bCs/>
          <w:color w:val="000000"/>
          <w:szCs w:val="24"/>
        </w:rPr>
        <w:t xml:space="preserve"> balíčku</w:t>
      </w:r>
      <w:r w:rsidRPr="00120E8E">
        <w:rPr>
          <w:bCs/>
          <w:color w:val="000000"/>
          <w:szCs w:val="24"/>
        </w:rPr>
        <w:t xml:space="preserve">, který přináší změny v několika oblastech. Konkrétně jde o zjednodušení povinností spojených s vydáním prospektu a zvýšení hranice </w:t>
      </w:r>
      <w:r w:rsidR="00563210" w:rsidRPr="00120E8E">
        <w:rPr>
          <w:bCs/>
          <w:color w:val="000000"/>
          <w:szCs w:val="24"/>
        </w:rPr>
        <w:t xml:space="preserve">pro </w:t>
      </w:r>
      <w:r w:rsidRPr="00120E8E">
        <w:rPr>
          <w:bCs/>
          <w:color w:val="000000"/>
          <w:szCs w:val="24"/>
        </w:rPr>
        <w:t>povinnost jeho vypracování, snížení požadavku na minimální výši volně obchodovatelného podílu při přijetí akcií k</w:t>
      </w:r>
      <w:r w:rsidR="00563210" w:rsidRPr="00120E8E">
        <w:rPr>
          <w:bCs/>
          <w:color w:val="000000"/>
          <w:szCs w:val="24"/>
        </w:rPr>
        <w:t> </w:t>
      </w:r>
      <w:r w:rsidRPr="00120E8E">
        <w:rPr>
          <w:bCs/>
          <w:color w:val="000000"/>
          <w:szCs w:val="24"/>
        </w:rPr>
        <w:t>obchodování</w:t>
      </w:r>
      <w:r w:rsidR="00563210" w:rsidRPr="00120E8E">
        <w:rPr>
          <w:bCs/>
          <w:color w:val="000000"/>
          <w:szCs w:val="24"/>
        </w:rPr>
        <w:t xml:space="preserve"> na regulovaném trhu</w:t>
      </w:r>
      <w:r w:rsidRPr="00120E8E">
        <w:rPr>
          <w:bCs/>
          <w:color w:val="000000"/>
          <w:szCs w:val="24"/>
        </w:rPr>
        <w:t xml:space="preserve">, </w:t>
      </w:r>
      <w:r w:rsidR="00B13C2F" w:rsidRPr="00120E8E">
        <w:rPr>
          <w:bCs/>
          <w:color w:val="000000"/>
          <w:szCs w:val="24"/>
        </w:rPr>
        <w:t>možnost registrování segmentu mnohostranného obchodního systému jako trhu pro růst malých a</w:t>
      </w:r>
      <w:r w:rsidR="00975247" w:rsidRPr="00120E8E">
        <w:rPr>
          <w:bCs/>
          <w:color w:val="000000"/>
          <w:szCs w:val="24"/>
        </w:rPr>
        <w:t> </w:t>
      </w:r>
      <w:r w:rsidR="00B13C2F" w:rsidRPr="00120E8E">
        <w:rPr>
          <w:bCs/>
          <w:color w:val="000000"/>
          <w:szCs w:val="24"/>
        </w:rPr>
        <w:t xml:space="preserve">středních podniků, </w:t>
      </w:r>
      <w:r w:rsidRPr="00120E8E">
        <w:rPr>
          <w:bCs/>
          <w:color w:val="000000"/>
          <w:szCs w:val="24"/>
        </w:rPr>
        <w:t>změnu pravidel pro realizaci investičního výzkumu a</w:t>
      </w:r>
      <w:r w:rsidR="00BE6FAD" w:rsidRPr="00120E8E">
        <w:rPr>
          <w:bCs/>
          <w:color w:val="000000"/>
          <w:szCs w:val="24"/>
        </w:rPr>
        <w:t> </w:t>
      </w:r>
      <w:r w:rsidRPr="00120E8E">
        <w:rPr>
          <w:bCs/>
          <w:color w:val="000000"/>
          <w:szCs w:val="24"/>
        </w:rPr>
        <w:t xml:space="preserve">přizpůsobení národní úpravy zrušení směrnice </w:t>
      </w:r>
      <w:r w:rsidR="004050CB" w:rsidRPr="00120E8E">
        <w:rPr>
          <w:bCs/>
          <w:color w:val="000000"/>
          <w:szCs w:val="24"/>
        </w:rPr>
        <w:t xml:space="preserve">o </w:t>
      </w:r>
      <w:proofErr w:type="spellStart"/>
      <w:r w:rsidR="004050CB" w:rsidRPr="00120E8E">
        <w:rPr>
          <w:bCs/>
          <w:color w:val="000000"/>
          <w:szCs w:val="24"/>
        </w:rPr>
        <w:t>listingu</w:t>
      </w:r>
      <w:proofErr w:type="spellEnd"/>
      <w:r w:rsidRPr="00120E8E">
        <w:rPr>
          <w:bCs/>
          <w:color w:val="000000"/>
          <w:szCs w:val="24"/>
        </w:rPr>
        <w:t xml:space="preserve">. </w:t>
      </w:r>
    </w:p>
    <w:p w14:paraId="0527F951" w14:textId="77777777" w:rsidR="001927D3" w:rsidRPr="00120E8E" w:rsidRDefault="00133EBC" w:rsidP="00B13C2F">
      <w:pPr>
        <w:spacing w:before="80"/>
        <w:rPr>
          <w:b/>
          <w:bCs/>
          <w:color w:val="000000"/>
          <w:szCs w:val="24"/>
        </w:rPr>
      </w:pPr>
      <w:r w:rsidRPr="00120E8E">
        <w:rPr>
          <w:b/>
          <w:bCs/>
          <w:color w:val="000000"/>
          <w:szCs w:val="24"/>
        </w:rPr>
        <w:t>Prospekt a informační povinnosti emitentů</w:t>
      </w:r>
    </w:p>
    <w:p w14:paraId="5AC1F280" w14:textId="5763E883" w:rsidR="00C6199B" w:rsidRPr="00120E8E" w:rsidRDefault="00133EBC" w:rsidP="007F164F">
      <w:pPr>
        <w:spacing w:before="80"/>
        <w:rPr>
          <w:bCs/>
          <w:color w:val="000000"/>
          <w:szCs w:val="24"/>
        </w:rPr>
      </w:pPr>
      <w:r w:rsidRPr="00120E8E">
        <w:rPr>
          <w:bCs/>
          <w:color w:val="000000"/>
          <w:szCs w:val="24"/>
        </w:rPr>
        <w:t xml:space="preserve">Navrhovaná úprava </w:t>
      </w:r>
      <w:r w:rsidR="004050CB" w:rsidRPr="00120E8E">
        <w:rPr>
          <w:bCs/>
          <w:color w:val="000000"/>
          <w:szCs w:val="24"/>
        </w:rPr>
        <w:t>adaptuje</w:t>
      </w:r>
      <w:r w:rsidRPr="00120E8E">
        <w:rPr>
          <w:bCs/>
          <w:color w:val="000000"/>
          <w:szCs w:val="24"/>
        </w:rPr>
        <w:t xml:space="preserve"> </w:t>
      </w:r>
      <w:r w:rsidR="007F164F">
        <w:rPr>
          <w:bCs/>
          <w:color w:val="000000"/>
          <w:szCs w:val="24"/>
        </w:rPr>
        <w:t xml:space="preserve">ZPKT na </w:t>
      </w:r>
      <w:r w:rsidRPr="00120E8E">
        <w:rPr>
          <w:bCs/>
          <w:color w:val="000000"/>
          <w:szCs w:val="24"/>
        </w:rPr>
        <w:t>změny vyplývající z</w:t>
      </w:r>
      <w:r w:rsidR="004050CB" w:rsidRPr="00120E8E">
        <w:rPr>
          <w:bCs/>
          <w:color w:val="000000"/>
          <w:szCs w:val="24"/>
        </w:rPr>
        <w:t xml:space="preserve"> nařízení </w:t>
      </w:r>
      <w:proofErr w:type="spellStart"/>
      <w:r w:rsidR="004050CB" w:rsidRPr="00120E8E">
        <w:rPr>
          <w:bCs/>
          <w:color w:val="000000"/>
          <w:szCs w:val="24"/>
        </w:rPr>
        <w:t>Listing</w:t>
      </w:r>
      <w:proofErr w:type="spellEnd"/>
      <w:r w:rsidR="004050CB" w:rsidRPr="00120E8E">
        <w:rPr>
          <w:bCs/>
          <w:color w:val="000000"/>
          <w:szCs w:val="24"/>
        </w:rPr>
        <w:t xml:space="preserve"> </w:t>
      </w:r>
      <w:proofErr w:type="spellStart"/>
      <w:r w:rsidR="004050CB" w:rsidRPr="00120E8E">
        <w:rPr>
          <w:bCs/>
          <w:color w:val="000000"/>
          <w:szCs w:val="24"/>
        </w:rPr>
        <w:t>Act</w:t>
      </w:r>
      <w:proofErr w:type="spellEnd"/>
      <w:r w:rsidR="004050CB" w:rsidRPr="00120E8E">
        <w:rPr>
          <w:bCs/>
          <w:color w:val="000000"/>
          <w:szCs w:val="24"/>
        </w:rPr>
        <w:t xml:space="preserve"> balíčku</w:t>
      </w:r>
      <w:r w:rsidRPr="00120E8E">
        <w:rPr>
          <w:bCs/>
          <w:color w:val="000000"/>
          <w:szCs w:val="24"/>
        </w:rPr>
        <w:t xml:space="preserve"> v</w:t>
      </w:r>
      <w:r w:rsidR="007F164F">
        <w:rPr>
          <w:bCs/>
          <w:color w:val="000000"/>
          <w:szCs w:val="24"/>
        </w:rPr>
        <w:t> </w:t>
      </w:r>
      <w:r w:rsidRPr="00120E8E">
        <w:rPr>
          <w:bCs/>
          <w:color w:val="000000"/>
          <w:szCs w:val="24"/>
        </w:rPr>
        <w:t>oblasti prospektu. Dochází zejména ke zvýšení hranice, od které je povinnost vypracovat prospekt</w:t>
      </w:r>
      <w:r w:rsidR="00B13C2F" w:rsidRPr="00120E8E">
        <w:rPr>
          <w:bCs/>
          <w:color w:val="000000"/>
          <w:szCs w:val="24"/>
        </w:rPr>
        <w:t>,</w:t>
      </w:r>
      <w:r w:rsidRPr="00120E8E">
        <w:rPr>
          <w:bCs/>
          <w:color w:val="000000"/>
          <w:szCs w:val="24"/>
        </w:rPr>
        <w:t xml:space="preserve"> </w:t>
      </w:r>
      <w:r w:rsidR="00DC2A11" w:rsidRPr="00120E8E">
        <w:rPr>
          <w:bCs/>
          <w:color w:val="000000"/>
          <w:szCs w:val="24"/>
        </w:rPr>
        <w:t>ze</w:t>
      </w:r>
      <w:r w:rsidR="00C6199B" w:rsidRPr="00120E8E">
        <w:rPr>
          <w:bCs/>
          <w:color w:val="000000"/>
          <w:szCs w:val="24"/>
        </w:rPr>
        <w:t> </w:t>
      </w:r>
      <w:r w:rsidR="00DC2A11" w:rsidRPr="00120E8E">
        <w:rPr>
          <w:bCs/>
          <w:color w:val="000000"/>
          <w:szCs w:val="24"/>
        </w:rPr>
        <w:t xml:space="preserve">stávajícího 1 mil. EUR </w:t>
      </w:r>
      <w:r w:rsidRPr="00120E8E">
        <w:rPr>
          <w:bCs/>
          <w:color w:val="000000"/>
          <w:szCs w:val="24"/>
        </w:rPr>
        <w:t>na 5 mil. EUR</w:t>
      </w:r>
      <w:r w:rsidR="00F8232D">
        <w:rPr>
          <w:bCs/>
          <w:color w:val="000000"/>
          <w:szCs w:val="24"/>
        </w:rPr>
        <w:t>,</w:t>
      </w:r>
      <w:r w:rsidR="00DC2A11" w:rsidRPr="00120E8E">
        <w:rPr>
          <w:bCs/>
          <w:color w:val="000000"/>
          <w:szCs w:val="24"/>
        </w:rPr>
        <w:t xml:space="preserve"> </w:t>
      </w:r>
      <w:r w:rsidR="00F8232D">
        <w:rPr>
          <w:bCs/>
          <w:color w:val="000000"/>
          <w:szCs w:val="24"/>
        </w:rPr>
        <w:t xml:space="preserve">neboť </w:t>
      </w:r>
      <w:r w:rsidR="004854A7">
        <w:rPr>
          <w:bCs/>
          <w:color w:val="000000"/>
          <w:szCs w:val="24"/>
        </w:rPr>
        <w:t>ČR</w:t>
      </w:r>
      <w:r w:rsidR="00DC2A11" w:rsidRPr="00120E8E">
        <w:rPr>
          <w:bCs/>
          <w:color w:val="000000"/>
          <w:szCs w:val="24"/>
        </w:rPr>
        <w:t xml:space="preserve"> </w:t>
      </w:r>
      <w:r w:rsidR="00C6199B" w:rsidRPr="00120E8E">
        <w:rPr>
          <w:bCs/>
          <w:color w:val="000000"/>
          <w:szCs w:val="24"/>
        </w:rPr>
        <w:t xml:space="preserve">využívá </w:t>
      </w:r>
      <w:r w:rsidR="00DC2A11" w:rsidRPr="00120E8E">
        <w:rPr>
          <w:bCs/>
          <w:color w:val="000000"/>
          <w:szCs w:val="24"/>
        </w:rPr>
        <w:t xml:space="preserve">diskrece umožňující stanovit hranici na 5 mil. EUR namísto 12 mil. EUR. </w:t>
      </w:r>
      <w:r w:rsidR="00BE6FAD" w:rsidRPr="00120E8E">
        <w:rPr>
          <w:bCs/>
          <w:color w:val="000000"/>
          <w:szCs w:val="24"/>
        </w:rPr>
        <w:t>Z veřejné konzultace vyplynulo, že jde o </w:t>
      </w:r>
      <w:r w:rsidR="00C6199B" w:rsidRPr="00120E8E">
        <w:rPr>
          <w:bCs/>
          <w:color w:val="000000"/>
          <w:szCs w:val="24"/>
        </w:rPr>
        <w:t xml:space="preserve">preferované řešení </w:t>
      </w:r>
      <w:r w:rsidR="00BE6FAD" w:rsidRPr="00120E8E">
        <w:rPr>
          <w:bCs/>
          <w:color w:val="000000"/>
          <w:szCs w:val="24"/>
        </w:rPr>
        <w:t>nejen pro</w:t>
      </w:r>
      <w:r w:rsidR="00C6199B" w:rsidRPr="00120E8E">
        <w:rPr>
          <w:bCs/>
          <w:color w:val="000000"/>
          <w:szCs w:val="24"/>
        </w:rPr>
        <w:t xml:space="preserve"> trh</w:t>
      </w:r>
      <w:r w:rsidR="00BE6FAD" w:rsidRPr="00120E8E">
        <w:rPr>
          <w:bCs/>
          <w:color w:val="000000"/>
          <w:szCs w:val="24"/>
        </w:rPr>
        <w:t>,</w:t>
      </w:r>
      <w:r w:rsidR="00C6199B" w:rsidRPr="00120E8E">
        <w:rPr>
          <w:bCs/>
          <w:color w:val="000000"/>
          <w:szCs w:val="24"/>
        </w:rPr>
        <w:t xml:space="preserve"> a</w:t>
      </w:r>
      <w:r w:rsidR="00BE6FAD" w:rsidRPr="00120E8E">
        <w:rPr>
          <w:bCs/>
          <w:color w:val="000000"/>
          <w:szCs w:val="24"/>
        </w:rPr>
        <w:t>le i</w:t>
      </w:r>
      <w:r w:rsidR="00C6199B" w:rsidRPr="00120E8E">
        <w:rPr>
          <w:bCs/>
          <w:color w:val="000000"/>
          <w:szCs w:val="24"/>
        </w:rPr>
        <w:t xml:space="preserve"> orgán dohledu </w:t>
      </w:r>
      <w:r w:rsidR="00BE6FAD" w:rsidRPr="00120E8E">
        <w:rPr>
          <w:bCs/>
          <w:color w:val="000000"/>
          <w:szCs w:val="24"/>
        </w:rPr>
        <w:t>(</w:t>
      </w:r>
      <w:r w:rsidR="00C6199B" w:rsidRPr="00120E8E">
        <w:rPr>
          <w:bCs/>
          <w:color w:val="000000"/>
          <w:szCs w:val="24"/>
        </w:rPr>
        <w:t xml:space="preserve">pro detaily viz </w:t>
      </w:r>
      <w:r w:rsidR="00BE6FAD" w:rsidRPr="00120E8E">
        <w:rPr>
          <w:bCs/>
          <w:color w:val="000000"/>
          <w:szCs w:val="24"/>
        </w:rPr>
        <w:t>Shrnutí z</w:t>
      </w:r>
      <w:r w:rsidR="00C6199B" w:rsidRPr="00120E8E">
        <w:rPr>
          <w:bCs/>
          <w:color w:val="000000"/>
          <w:szCs w:val="24"/>
        </w:rPr>
        <w:t>ávěrečn</w:t>
      </w:r>
      <w:r w:rsidR="00BE6FAD" w:rsidRPr="00120E8E">
        <w:rPr>
          <w:bCs/>
          <w:color w:val="000000"/>
          <w:szCs w:val="24"/>
        </w:rPr>
        <w:t>é</w:t>
      </w:r>
      <w:r w:rsidR="00C6199B" w:rsidRPr="00120E8E">
        <w:rPr>
          <w:bCs/>
          <w:color w:val="000000"/>
          <w:szCs w:val="24"/>
        </w:rPr>
        <w:t xml:space="preserve"> zpráv</w:t>
      </w:r>
      <w:r w:rsidR="00BE6FAD" w:rsidRPr="00120E8E">
        <w:rPr>
          <w:bCs/>
          <w:color w:val="000000"/>
          <w:szCs w:val="24"/>
        </w:rPr>
        <w:t xml:space="preserve">y </w:t>
      </w:r>
      <w:r w:rsidR="00C6199B" w:rsidRPr="00120E8E">
        <w:rPr>
          <w:bCs/>
          <w:color w:val="000000"/>
          <w:szCs w:val="24"/>
        </w:rPr>
        <w:t>RIA</w:t>
      </w:r>
      <w:r w:rsidR="00BE6FAD" w:rsidRPr="00120E8E">
        <w:rPr>
          <w:bCs/>
          <w:color w:val="000000"/>
          <w:szCs w:val="24"/>
        </w:rPr>
        <w:t>)</w:t>
      </w:r>
      <w:r w:rsidR="00C6199B" w:rsidRPr="00120E8E">
        <w:rPr>
          <w:bCs/>
          <w:color w:val="000000"/>
          <w:szCs w:val="24"/>
        </w:rPr>
        <w:t xml:space="preserve">. </w:t>
      </w:r>
      <w:r w:rsidRPr="00120E8E">
        <w:rPr>
          <w:bCs/>
          <w:color w:val="000000"/>
          <w:szCs w:val="24"/>
        </w:rPr>
        <w:t>Emitenti s menšími emisemi již nebudou povinni zpracovávat plný prospekt, což</w:t>
      </w:r>
      <w:r w:rsidR="00975247" w:rsidRPr="00120E8E">
        <w:rPr>
          <w:bCs/>
          <w:color w:val="000000"/>
          <w:szCs w:val="24"/>
        </w:rPr>
        <w:t> </w:t>
      </w:r>
      <w:r w:rsidRPr="00120E8E">
        <w:rPr>
          <w:bCs/>
          <w:color w:val="000000"/>
          <w:szCs w:val="24"/>
        </w:rPr>
        <w:t xml:space="preserve">významně sníží náklady spojené se vstupem na kapitálový trh. </w:t>
      </w:r>
    </w:p>
    <w:p w14:paraId="58819B71" w14:textId="3B50628E" w:rsidR="00133EBC" w:rsidRPr="00120E8E" w:rsidRDefault="00133EBC" w:rsidP="00BE6FAD">
      <w:pPr>
        <w:spacing w:before="80"/>
        <w:rPr>
          <w:bCs/>
          <w:color w:val="000000"/>
          <w:szCs w:val="24"/>
        </w:rPr>
      </w:pPr>
      <w:r w:rsidRPr="00120E8E">
        <w:rPr>
          <w:bCs/>
          <w:color w:val="000000"/>
          <w:szCs w:val="24"/>
        </w:rPr>
        <w:t>Zároveň se zavádí povinnost vypracovat tzv. emisní dokument při veřejné nabídce cenných papírů, nebo jejich přijetí k obchodování na regulovaném trhu v</w:t>
      </w:r>
      <w:r w:rsidR="00BE6FAD" w:rsidRPr="00120E8E">
        <w:rPr>
          <w:bCs/>
          <w:color w:val="000000"/>
          <w:szCs w:val="24"/>
        </w:rPr>
        <w:t> </w:t>
      </w:r>
      <w:r w:rsidRPr="00120E8E">
        <w:rPr>
          <w:bCs/>
          <w:color w:val="000000"/>
          <w:szCs w:val="24"/>
        </w:rPr>
        <w:t>případě</w:t>
      </w:r>
      <w:r w:rsidR="00BE6FAD" w:rsidRPr="00120E8E">
        <w:rPr>
          <w:bCs/>
          <w:color w:val="000000"/>
          <w:szCs w:val="24"/>
        </w:rPr>
        <w:t>,</w:t>
      </w:r>
      <w:r w:rsidRPr="00120E8E">
        <w:rPr>
          <w:bCs/>
          <w:color w:val="000000"/>
          <w:szCs w:val="24"/>
        </w:rPr>
        <w:t xml:space="preserve"> že jejich hodnota přesahuje 1 mil. EUR, ale nedosahuje 5 mil. EUR. </w:t>
      </w:r>
      <w:r w:rsidR="00C6199B" w:rsidRPr="00120E8E">
        <w:rPr>
          <w:bCs/>
          <w:color w:val="000000"/>
          <w:szCs w:val="24"/>
        </w:rPr>
        <w:t xml:space="preserve">Rozsah tohoto emisního dokumentu bude stejný, jako je </w:t>
      </w:r>
      <w:r w:rsidR="008C4BE8" w:rsidRPr="00120E8E">
        <w:rPr>
          <w:bCs/>
          <w:color w:val="000000"/>
          <w:szCs w:val="24"/>
        </w:rPr>
        <w:t xml:space="preserve">obsah </w:t>
      </w:r>
      <w:r w:rsidR="00C6199B" w:rsidRPr="00120E8E">
        <w:rPr>
          <w:bCs/>
          <w:color w:val="000000"/>
          <w:szCs w:val="24"/>
        </w:rPr>
        <w:t xml:space="preserve">shrnutí prospektu podle čl. </w:t>
      </w:r>
      <w:r w:rsidR="00BE6FAD" w:rsidRPr="00120E8E">
        <w:rPr>
          <w:bCs/>
          <w:color w:val="000000"/>
          <w:szCs w:val="24"/>
        </w:rPr>
        <w:t>7</w:t>
      </w:r>
      <w:r w:rsidR="00F8232D">
        <w:rPr>
          <w:bCs/>
          <w:color w:val="000000"/>
          <w:szCs w:val="24"/>
        </w:rPr>
        <w:t xml:space="preserve"> nařízení o prospektu</w:t>
      </w:r>
      <w:r w:rsidR="00BE6FAD" w:rsidRPr="00120E8E">
        <w:rPr>
          <w:bCs/>
          <w:color w:val="000000"/>
          <w:szCs w:val="24"/>
        </w:rPr>
        <w:t>.</w:t>
      </w:r>
      <w:r w:rsidR="00F8232D">
        <w:rPr>
          <w:bCs/>
          <w:color w:val="000000"/>
          <w:szCs w:val="24"/>
        </w:rPr>
        <w:t xml:space="preserve"> Pro emise nedosahující 1 mil. EUR se při jejich veřejné nabídce nebo přijet</w:t>
      </w:r>
      <w:r w:rsidR="00595907">
        <w:rPr>
          <w:bCs/>
          <w:color w:val="000000"/>
          <w:szCs w:val="24"/>
        </w:rPr>
        <w:t>í</w:t>
      </w:r>
      <w:r w:rsidR="00F8232D">
        <w:rPr>
          <w:bCs/>
          <w:color w:val="000000"/>
          <w:szCs w:val="24"/>
        </w:rPr>
        <w:t xml:space="preserve"> k obchodování na regulovaném trhu </w:t>
      </w:r>
      <w:r w:rsidR="00595907">
        <w:rPr>
          <w:bCs/>
          <w:color w:val="000000"/>
          <w:szCs w:val="24"/>
        </w:rPr>
        <w:t xml:space="preserve">v této oblasti </w:t>
      </w:r>
      <w:r w:rsidR="00F8232D" w:rsidRPr="00595907">
        <w:rPr>
          <w:bCs/>
          <w:i/>
          <w:iCs/>
          <w:color w:val="000000"/>
          <w:szCs w:val="24"/>
        </w:rPr>
        <w:t>de facto</w:t>
      </w:r>
      <w:r w:rsidR="00595907">
        <w:rPr>
          <w:bCs/>
          <w:i/>
          <w:iCs/>
          <w:color w:val="000000"/>
          <w:szCs w:val="24"/>
        </w:rPr>
        <w:t xml:space="preserve"> </w:t>
      </w:r>
      <w:r w:rsidR="00595907" w:rsidRPr="00595907">
        <w:rPr>
          <w:bCs/>
          <w:color w:val="000000"/>
          <w:szCs w:val="24"/>
        </w:rPr>
        <w:t>ani</w:t>
      </w:r>
      <w:r w:rsidR="00595907">
        <w:rPr>
          <w:bCs/>
          <w:i/>
          <w:iCs/>
          <w:color w:val="000000"/>
          <w:szCs w:val="24"/>
        </w:rPr>
        <w:t xml:space="preserve"> de iure</w:t>
      </w:r>
      <w:r w:rsidR="00F8232D" w:rsidRPr="00595907">
        <w:rPr>
          <w:bCs/>
          <w:i/>
          <w:iCs/>
          <w:color w:val="000000"/>
          <w:szCs w:val="24"/>
        </w:rPr>
        <w:t xml:space="preserve"> </w:t>
      </w:r>
      <w:r w:rsidR="00F8232D">
        <w:rPr>
          <w:bCs/>
          <w:color w:val="000000"/>
          <w:szCs w:val="24"/>
        </w:rPr>
        <w:t>nic nemění.</w:t>
      </w:r>
    </w:p>
    <w:p w14:paraId="47C89017" w14:textId="2476C7D3" w:rsidR="00C6199B" w:rsidRPr="00120E8E" w:rsidRDefault="008C4BE8" w:rsidP="00120E8E">
      <w:pPr>
        <w:keepNext/>
        <w:spacing w:before="80"/>
        <w:rPr>
          <w:bCs/>
          <w:color w:val="000000"/>
          <w:szCs w:val="24"/>
        </w:rPr>
      </w:pPr>
      <w:r w:rsidRPr="00120E8E">
        <w:rPr>
          <w:b/>
          <w:bCs/>
          <w:color w:val="000000"/>
          <w:szCs w:val="24"/>
        </w:rPr>
        <w:t>Objem volně obchodovatelných akcií a alternativní způsoby zajištění dostatečné likvidity</w:t>
      </w:r>
    </w:p>
    <w:p w14:paraId="7F3526CC" w14:textId="0ADDEA37" w:rsidR="00133EBC" w:rsidRPr="00120E8E" w:rsidRDefault="00C6199B" w:rsidP="00120E8E">
      <w:pPr>
        <w:keepNext/>
        <w:spacing w:before="80"/>
        <w:rPr>
          <w:bCs/>
          <w:color w:val="000000"/>
          <w:szCs w:val="24"/>
        </w:rPr>
      </w:pPr>
      <w:r w:rsidRPr="00120E8E">
        <w:rPr>
          <w:bCs/>
          <w:color w:val="000000"/>
          <w:szCs w:val="24"/>
        </w:rPr>
        <w:t>S</w:t>
      </w:r>
      <w:r w:rsidR="00B30360" w:rsidRPr="00120E8E">
        <w:rPr>
          <w:bCs/>
          <w:color w:val="000000"/>
          <w:szCs w:val="24"/>
        </w:rPr>
        <w:t xml:space="preserve">měrnice </w:t>
      </w:r>
      <w:proofErr w:type="spellStart"/>
      <w:r w:rsidR="00B30360" w:rsidRPr="00120E8E">
        <w:rPr>
          <w:bCs/>
          <w:color w:val="000000"/>
          <w:szCs w:val="24"/>
        </w:rPr>
        <w:t>Listing</w:t>
      </w:r>
      <w:proofErr w:type="spellEnd"/>
      <w:r w:rsidR="00B30360" w:rsidRPr="00120E8E">
        <w:rPr>
          <w:bCs/>
          <w:color w:val="000000"/>
          <w:szCs w:val="24"/>
        </w:rPr>
        <w:t xml:space="preserve"> </w:t>
      </w:r>
      <w:proofErr w:type="spellStart"/>
      <w:r w:rsidR="00B30360" w:rsidRPr="00120E8E">
        <w:rPr>
          <w:bCs/>
          <w:color w:val="000000"/>
          <w:szCs w:val="24"/>
        </w:rPr>
        <w:t>Act</w:t>
      </w:r>
      <w:proofErr w:type="spellEnd"/>
      <w:r w:rsidR="00B30360" w:rsidRPr="00120E8E">
        <w:rPr>
          <w:bCs/>
          <w:color w:val="000000"/>
          <w:szCs w:val="24"/>
        </w:rPr>
        <w:t xml:space="preserve"> balíčku</w:t>
      </w:r>
      <w:r w:rsidR="00133EBC" w:rsidRPr="00120E8E">
        <w:rPr>
          <w:bCs/>
          <w:color w:val="000000"/>
          <w:szCs w:val="24"/>
        </w:rPr>
        <w:t xml:space="preserve"> snižuje požadavek na minimální volně obchodovatelný objem akcií z dosavadních 25 % na 10 %. Návrh zákona proto mění podmínky pro přijetí akcií k</w:t>
      </w:r>
      <w:r w:rsidRPr="00120E8E">
        <w:rPr>
          <w:bCs/>
          <w:color w:val="000000"/>
          <w:szCs w:val="24"/>
        </w:rPr>
        <w:t> </w:t>
      </w:r>
      <w:r w:rsidR="00133EBC" w:rsidRPr="00120E8E">
        <w:rPr>
          <w:bCs/>
          <w:color w:val="000000"/>
          <w:szCs w:val="24"/>
        </w:rPr>
        <w:t>obchodování na regulovaném trhu tak, aby tento snížený požadavek bylo možné uplatnit i</w:t>
      </w:r>
      <w:r w:rsidRPr="00120E8E">
        <w:rPr>
          <w:bCs/>
          <w:color w:val="000000"/>
          <w:szCs w:val="24"/>
        </w:rPr>
        <w:t> </w:t>
      </w:r>
      <w:r w:rsidR="00133EBC" w:rsidRPr="00120E8E">
        <w:rPr>
          <w:bCs/>
          <w:color w:val="000000"/>
          <w:szCs w:val="24"/>
        </w:rPr>
        <w:t>v</w:t>
      </w:r>
      <w:r w:rsidRPr="00120E8E">
        <w:rPr>
          <w:bCs/>
          <w:color w:val="000000"/>
          <w:szCs w:val="24"/>
        </w:rPr>
        <w:t> </w:t>
      </w:r>
      <w:r w:rsidR="00133EBC" w:rsidRPr="00120E8E">
        <w:rPr>
          <w:bCs/>
          <w:color w:val="000000"/>
          <w:szCs w:val="24"/>
        </w:rPr>
        <w:t>českém právním prostředí. Změna umožní vstup na burzu širšímu okruhu podniků, které si</w:t>
      </w:r>
      <w:r w:rsidR="002F1809" w:rsidRPr="00120E8E">
        <w:rPr>
          <w:bCs/>
          <w:color w:val="000000"/>
          <w:szCs w:val="24"/>
        </w:rPr>
        <w:t> </w:t>
      </w:r>
      <w:r w:rsidR="00133EBC" w:rsidRPr="00120E8E">
        <w:rPr>
          <w:bCs/>
          <w:color w:val="000000"/>
          <w:szCs w:val="24"/>
        </w:rPr>
        <w:t>budou moci ponechat větší míru kontroly nad společností.</w:t>
      </w:r>
      <w:r w:rsidR="002F1809" w:rsidRPr="00120E8E">
        <w:rPr>
          <w:bCs/>
          <w:color w:val="000000"/>
          <w:szCs w:val="24"/>
        </w:rPr>
        <w:t xml:space="preserve"> Zároveň bude možné k zajištění dostatečné likvidity namísto požadovaných 10 % volně obchodovatelných akcií naplnit požadavek alternativním způsobem stanoveným organizátorem regulovaného trhu. </w:t>
      </w:r>
    </w:p>
    <w:p w14:paraId="38859EC5" w14:textId="3D68DA5E" w:rsidR="00561D99" w:rsidRPr="00120E8E" w:rsidRDefault="00561D99" w:rsidP="00561D99">
      <w:pPr>
        <w:spacing w:before="80"/>
        <w:rPr>
          <w:b/>
          <w:bCs/>
          <w:color w:val="000000"/>
          <w:szCs w:val="24"/>
        </w:rPr>
      </w:pPr>
      <w:r w:rsidRPr="00120E8E">
        <w:rPr>
          <w:b/>
          <w:bCs/>
          <w:color w:val="000000"/>
          <w:szCs w:val="24"/>
        </w:rPr>
        <w:t xml:space="preserve">Oznámení o odložení uveřejnění vnitřních informací </w:t>
      </w:r>
    </w:p>
    <w:p w14:paraId="58CEFEC4" w14:textId="6ED43C60" w:rsidR="00371134" w:rsidRPr="00120E8E" w:rsidRDefault="00561D99" w:rsidP="00371134">
      <w:pPr>
        <w:spacing w:after="0"/>
        <w:rPr>
          <w:bCs/>
          <w:color w:val="000000"/>
          <w:szCs w:val="24"/>
        </w:rPr>
      </w:pPr>
      <w:r w:rsidRPr="00120E8E">
        <w:rPr>
          <w:bCs/>
          <w:color w:val="000000"/>
          <w:szCs w:val="24"/>
        </w:rPr>
        <w:t xml:space="preserve">Pokud se emitent nebo účastník trhu s povolenkami na emise rozhodl odložit uveřejnění vnitřní informace, má povinnost </w:t>
      </w:r>
      <w:r w:rsidR="00371134" w:rsidRPr="00120E8E">
        <w:rPr>
          <w:bCs/>
          <w:color w:val="000000"/>
          <w:szCs w:val="24"/>
        </w:rPr>
        <w:t>poskytnout ČNB na její žádost písemné</w:t>
      </w:r>
      <w:r w:rsidRPr="00120E8E">
        <w:rPr>
          <w:bCs/>
          <w:color w:val="000000"/>
          <w:szCs w:val="24"/>
        </w:rPr>
        <w:t xml:space="preserve"> vysvětlení</w:t>
      </w:r>
      <w:r w:rsidR="00371134" w:rsidRPr="00120E8E">
        <w:rPr>
          <w:bCs/>
          <w:color w:val="000000"/>
          <w:szCs w:val="24"/>
        </w:rPr>
        <w:t xml:space="preserve">, jakým způsobem byly splněny podmínky pro odložení uveřejnění dané informace. Nařízení MAR ukládá emitentům povinnost vést seznam všech zasvěcených osob, které mají přístup k vnitřním </w:t>
      </w:r>
      <w:r w:rsidR="00371134" w:rsidRPr="00120E8E">
        <w:rPr>
          <w:bCs/>
          <w:color w:val="000000"/>
          <w:szCs w:val="24"/>
        </w:rPr>
        <w:lastRenderedPageBreak/>
        <w:t>informacím. Pro trh malých a středních podniků ovšem nově platí zjednodušený režim, kdy emitenti musí vést pouze zjednodušený seznam zasvěcených osob</w:t>
      </w:r>
      <w:r w:rsidR="00FF357F" w:rsidRPr="00120E8E">
        <w:rPr>
          <w:bCs/>
          <w:color w:val="000000"/>
          <w:szCs w:val="24"/>
        </w:rPr>
        <w:t xml:space="preserve">, tj. seznam osob, které se </w:t>
      </w:r>
      <w:r w:rsidR="00CF488F">
        <w:rPr>
          <w:bCs/>
          <w:color w:val="000000"/>
          <w:szCs w:val="24"/>
        </w:rPr>
        <w:t> </w:t>
      </w:r>
      <w:r w:rsidR="00FF357F" w:rsidRPr="00120E8E">
        <w:rPr>
          <w:bCs/>
          <w:color w:val="000000"/>
          <w:szCs w:val="24"/>
        </w:rPr>
        <w:t>s vnitřními informacemi seznamují na pravidelné bázi</w:t>
      </w:r>
      <w:r w:rsidR="00371134" w:rsidRPr="00120E8E">
        <w:rPr>
          <w:bCs/>
          <w:color w:val="000000"/>
          <w:szCs w:val="24"/>
        </w:rPr>
        <w:t>.</w:t>
      </w:r>
    </w:p>
    <w:p w14:paraId="7CF3B31E" w14:textId="77777777" w:rsidR="008513EA" w:rsidRPr="00120E8E" w:rsidRDefault="00133EBC" w:rsidP="00B112EB">
      <w:pPr>
        <w:spacing w:before="80"/>
        <w:rPr>
          <w:bCs/>
          <w:color w:val="000000"/>
          <w:szCs w:val="24"/>
        </w:rPr>
      </w:pPr>
      <w:r w:rsidRPr="00120E8E">
        <w:rPr>
          <w:b/>
          <w:bCs/>
          <w:color w:val="000000"/>
          <w:szCs w:val="24"/>
        </w:rPr>
        <w:t>Investiční výzkum</w:t>
      </w:r>
    </w:p>
    <w:p w14:paraId="6AB7BF7E" w14:textId="580BD4C1" w:rsidR="00133EBC" w:rsidRPr="00120E8E" w:rsidRDefault="00133EBC" w:rsidP="00B112EB">
      <w:pPr>
        <w:spacing w:before="80"/>
        <w:rPr>
          <w:bCs/>
          <w:color w:val="000000"/>
          <w:szCs w:val="24"/>
        </w:rPr>
      </w:pPr>
      <w:proofErr w:type="spellStart"/>
      <w:r w:rsidRPr="00120E8E">
        <w:rPr>
          <w:bCs/>
          <w:color w:val="000000"/>
          <w:szCs w:val="24"/>
        </w:rPr>
        <w:t>Listing</w:t>
      </w:r>
      <w:proofErr w:type="spellEnd"/>
      <w:r w:rsidRPr="00120E8E">
        <w:rPr>
          <w:bCs/>
          <w:color w:val="000000"/>
          <w:szCs w:val="24"/>
        </w:rPr>
        <w:t xml:space="preserve"> </w:t>
      </w:r>
      <w:proofErr w:type="spellStart"/>
      <w:r w:rsidRPr="00120E8E">
        <w:rPr>
          <w:bCs/>
          <w:color w:val="000000"/>
          <w:szCs w:val="24"/>
        </w:rPr>
        <w:t>Act</w:t>
      </w:r>
      <w:proofErr w:type="spellEnd"/>
      <w:r w:rsidRPr="00120E8E">
        <w:rPr>
          <w:bCs/>
          <w:color w:val="000000"/>
          <w:szCs w:val="24"/>
        </w:rPr>
        <w:t xml:space="preserve"> se zaměřuje také na zvýšení dostupnosti a kvality investičního výzkumu, zejména pro malé a střední podniky. Dosavadní právní rámec vycházel z přísných pravidel </w:t>
      </w:r>
      <w:proofErr w:type="spellStart"/>
      <w:r w:rsidRPr="00120E8E">
        <w:rPr>
          <w:bCs/>
          <w:color w:val="000000"/>
          <w:szCs w:val="24"/>
        </w:rPr>
        <w:t>MiFID</w:t>
      </w:r>
      <w:proofErr w:type="spellEnd"/>
      <w:r w:rsidRPr="00120E8E">
        <w:rPr>
          <w:bCs/>
          <w:color w:val="000000"/>
          <w:szCs w:val="24"/>
        </w:rPr>
        <w:t xml:space="preserve"> II, podle nichž musel být </w:t>
      </w:r>
      <w:r w:rsidR="00300363">
        <w:rPr>
          <w:bCs/>
          <w:color w:val="000000"/>
          <w:szCs w:val="24"/>
        </w:rPr>
        <w:t xml:space="preserve">investiční </w:t>
      </w:r>
      <w:r w:rsidRPr="00120E8E">
        <w:rPr>
          <w:bCs/>
          <w:color w:val="000000"/>
          <w:szCs w:val="24"/>
        </w:rPr>
        <w:t>výzkum hrazen odděleně od poplatků za obchodování. Tento režim měl sice posílit transparentnost a zamezit střetu zájmů, v praxi však vedl k poklesu objemu analytického pokrytí, především u menších emitentů. To sn</w:t>
      </w:r>
      <w:r w:rsidR="00B30360" w:rsidRPr="00120E8E">
        <w:rPr>
          <w:bCs/>
          <w:color w:val="000000"/>
          <w:szCs w:val="24"/>
        </w:rPr>
        <w:t>i</w:t>
      </w:r>
      <w:r w:rsidRPr="00120E8E">
        <w:rPr>
          <w:bCs/>
          <w:color w:val="000000"/>
          <w:szCs w:val="24"/>
        </w:rPr>
        <w:t>žovalo informovanost investorů a</w:t>
      </w:r>
      <w:r w:rsidR="00B112EB" w:rsidRPr="00120E8E">
        <w:rPr>
          <w:bCs/>
          <w:color w:val="000000"/>
          <w:szCs w:val="24"/>
        </w:rPr>
        <w:t> </w:t>
      </w:r>
      <w:r w:rsidRPr="00120E8E">
        <w:rPr>
          <w:bCs/>
          <w:color w:val="000000"/>
          <w:szCs w:val="24"/>
        </w:rPr>
        <w:t xml:space="preserve">zhoršovalo likviditu akcií menších společností. Na základě změn zavedených </w:t>
      </w:r>
      <w:r w:rsidR="00B30360" w:rsidRPr="00120E8E">
        <w:rPr>
          <w:bCs/>
          <w:color w:val="000000"/>
          <w:szCs w:val="24"/>
        </w:rPr>
        <w:t xml:space="preserve">směrnicí </w:t>
      </w:r>
      <w:proofErr w:type="spellStart"/>
      <w:r w:rsidR="00B30360" w:rsidRPr="00120E8E">
        <w:rPr>
          <w:bCs/>
          <w:color w:val="000000"/>
          <w:szCs w:val="24"/>
        </w:rPr>
        <w:t>Listing</w:t>
      </w:r>
      <w:proofErr w:type="spellEnd"/>
      <w:r w:rsidR="00B30360" w:rsidRPr="00120E8E">
        <w:rPr>
          <w:bCs/>
          <w:color w:val="000000"/>
          <w:szCs w:val="24"/>
        </w:rPr>
        <w:t xml:space="preserve"> </w:t>
      </w:r>
      <w:proofErr w:type="spellStart"/>
      <w:r w:rsidR="00B30360" w:rsidRPr="00120E8E">
        <w:rPr>
          <w:bCs/>
          <w:color w:val="000000"/>
          <w:szCs w:val="24"/>
        </w:rPr>
        <w:t>Act</w:t>
      </w:r>
      <w:proofErr w:type="spellEnd"/>
      <w:r w:rsidR="00B30360" w:rsidRPr="00120E8E">
        <w:rPr>
          <w:bCs/>
          <w:color w:val="000000"/>
          <w:szCs w:val="24"/>
        </w:rPr>
        <w:t xml:space="preserve"> balíčku</w:t>
      </w:r>
      <w:r w:rsidRPr="00120E8E">
        <w:rPr>
          <w:bCs/>
          <w:color w:val="000000"/>
          <w:szCs w:val="24"/>
        </w:rPr>
        <w:t xml:space="preserve"> se proto vytváří možnost uvolnit pravidla pro financování investičního výzkumu a</w:t>
      </w:r>
      <w:r w:rsidR="00B112EB" w:rsidRPr="00120E8E">
        <w:rPr>
          <w:bCs/>
          <w:color w:val="000000"/>
          <w:szCs w:val="24"/>
        </w:rPr>
        <w:t> </w:t>
      </w:r>
      <w:r w:rsidRPr="00120E8E">
        <w:rPr>
          <w:bCs/>
          <w:color w:val="000000"/>
          <w:szCs w:val="24"/>
        </w:rPr>
        <w:t>podpořit jeho šíření. Toto by mělo vést k větší informovanosti investorů.</w:t>
      </w:r>
    </w:p>
    <w:p w14:paraId="3C0CD8E3" w14:textId="77777777" w:rsidR="008513EA" w:rsidRPr="00120E8E" w:rsidRDefault="00133EBC" w:rsidP="00B112EB">
      <w:pPr>
        <w:spacing w:before="80"/>
        <w:rPr>
          <w:b/>
          <w:bCs/>
          <w:color w:val="000000"/>
          <w:szCs w:val="24"/>
        </w:rPr>
      </w:pPr>
      <w:r w:rsidRPr="00120E8E">
        <w:rPr>
          <w:b/>
          <w:bCs/>
          <w:color w:val="000000"/>
          <w:szCs w:val="24"/>
        </w:rPr>
        <w:t xml:space="preserve">Úpravy v oblasti </w:t>
      </w:r>
      <w:proofErr w:type="spellStart"/>
      <w:r w:rsidRPr="00120E8E">
        <w:rPr>
          <w:b/>
          <w:bCs/>
          <w:color w:val="000000"/>
          <w:szCs w:val="24"/>
        </w:rPr>
        <w:t>MiFID</w:t>
      </w:r>
      <w:proofErr w:type="spellEnd"/>
      <w:r w:rsidRPr="00120E8E">
        <w:rPr>
          <w:b/>
          <w:bCs/>
          <w:color w:val="000000"/>
          <w:szCs w:val="24"/>
        </w:rPr>
        <w:t xml:space="preserve"> II a </w:t>
      </w:r>
      <w:proofErr w:type="spellStart"/>
      <w:r w:rsidRPr="00120E8E">
        <w:rPr>
          <w:b/>
          <w:bCs/>
          <w:color w:val="000000"/>
          <w:szCs w:val="24"/>
        </w:rPr>
        <w:t>MiFIR</w:t>
      </w:r>
      <w:proofErr w:type="spellEnd"/>
    </w:p>
    <w:p w14:paraId="263A346B" w14:textId="4043DBE6" w:rsidR="00133EBC" w:rsidRPr="00120E8E" w:rsidRDefault="008513EA" w:rsidP="00B112EB">
      <w:pPr>
        <w:spacing w:before="80"/>
        <w:rPr>
          <w:bCs/>
          <w:color w:val="000000"/>
          <w:szCs w:val="24"/>
        </w:rPr>
      </w:pPr>
      <w:r w:rsidRPr="00120E8E">
        <w:rPr>
          <w:bCs/>
          <w:color w:val="000000"/>
          <w:szCs w:val="24"/>
        </w:rPr>
        <w:t>S</w:t>
      </w:r>
      <w:r w:rsidR="00C05035" w:rsidRPr="00120E8E">
        <w:rPr>
          <w:bCs/>
          <w:color w:val="000000"/>
          <w:szCs w:val="24"/>
        </w:rPr>
        <w:t xml:space="preserve">měrnice </w:t>
      </w:r>
      <w:proofErr w:type="spellStart"/>
      <w:r w:rsidR="00C05035" w:rsidRPr="00120E8E">
        <w:rPr>
          <w:bCs/>
          <w:color w:val="000000"/>
          <w:szCs w:val="24"/>
        </w:rPr>
        <w:t>Listing</w:t>
      </w:r>
      <w:proofErr w:type="spellEnd"/>
      <w:r w:rsidR="00C05035" w:rsidRPr="00120E8E">
        <w:rPr>
          <w:bCs/>
          <w:color w:val="000000"/>
          <w:szCs w:val="24"/>
        </w:rPr>
        <w:t xml:space="preserve"> </w:t>
      </w:r>
      <w:proofErr w:type="spellStart"/>
      <w:r w:rsidR="00C05035" w:rsidRPr="00120E8E">
        <w:rPr>
          <w:bCs/>
          <w:color w:val="000000"/>
          <w:szCs w:val="24"/>
        </w:rPr>
        <w:t>Act</w:t>
      </w:r>
      <w:proofErr w:type="spellEnd"/>
      <w:r w:rsidR="00C05035" w:rsidRPr="00120E8E">
        <w:rPr>
          <w:bCs/>
          <w:color w:val="000000"/>
          <w:szCs w:val="24"/>
        </w:rPr>
        <w:t xml:space="preserve"> balíčku</w:t>
      </w:r>
      <w:r w:rsidR="00133EBC" w:rsidRPr="00120E8E">
        <w:rPr>
          <w:bCs/>
          <w:color w:val="000000"/>
          <w:szCs w:val="24"/>
        </w:rPr>
        <w:t xml:space="preserve"> současně ruší zastaralou směrnici </w:t>
      </w:r>
      <w:r w:rsidR="00C05035" w:rsidRPr="00120E8E">
        <w:rPr>
          <w:bCs/>
          <w:color w:val="000000"/>
          <w:szCs w:val="24"/>
        </w:rPr>
        <w:t xml:space="preserve">o </w:t>
      </w:r>
      <w:proofErr w:type="spellStart"/>
      <w:r w:rsidR="00C05035" w:rsidRPr="00120E8E">
        <w:rPr>
          <w:bCs/>
          <w:color w:val="000000"/>
          <w:szCs w:val="24"/>
        </w:rPr>
        <w:t>listingu</w:t>
      </w:r>
      <w:proofErr w:type="spellEnd"/>
      <w:r w:rsidR="00133EBC" w:rsidRPr="00120E8E">
        <w:rPr>
          <w:bCs/>
          <w:color w:val="000000"/>
          <w:szCs w:val="24"/>
        </w:rPr>
        <w:t xml:space="preserve"> a začleňuje její vybrané části do modernizovaného rámce </w:t>
      </w:r>
      <w:proofErr w:type="spellStart"/>
      <w:r w:rsidR="00133EBC" w:rsidRPr="00120E8E">
        <w:rPr>
          <w:bCs/>
          <w:color w:val="000000"/>
          <w:szCs w:val="24"/>
        </w:rPr>
        <w:t>MiFID</w:t>
      </w:r>
      <w:proofErr w:type="spellEnd"/>
      <w:r w:rsidR="00133EBC" w:rsidRPr="00120E8E">
        <w:rPr>
          <w:bCs/>
          <w:color w:val="000000"/>
          <w:szCs w:val="24"/>
        </w:rPr>
        <w:t xml:space="preserve"> II. Návrh zákona provádí odpovídající změny v ZPKT, zejména v oblasti informačních povinností a požadavků na organizátory regulovaných trhů. Současně se přizpůsobují pravomoci ČNB tak, aby mohla efektivně vykonávat dohled.</w:t>
      </w:r>
    </w:p>
    <w:p w14:paraId="21F9B913" w14:textId="77777777" w:rsidR="00133EBC" w:rsidRPr="00120E8E" w:rsidRDefault="00133EBC" w:rsidP="00F67080">
      <w:pPr>
        <w:spacing w:before="80"/>
        <w:rPr>
          <w:b/>
          <w:bCs/>
          <w:color w:val="000000"/>
          <w:szCs w:val="24"/>
        </w:rPr>
      </w:pPr>
      <w:r w:rsidRPr="00120E8E">
        <w:rPr>
          <w:b/>
          <w:bCs/>
          <w:color w:val="000000"/>
          <w:szCs w:val="24"/>
        </w:rPr>
        <w:t>Akcie s vícenásobným hlasovacím právem</w:t>
      </w:r>
    </w:p>
    <w:p w14:paraId="0C870287" w14:textId="0F9975D6" w:rsidR="00133EBC" w:rsidRPr="00120E8E" w:rsidRDefault="00133EBC" w:rsidP="00F67080">
      <w:pPr>
        <w:spacing w:before="80"/>
        <w:rPr>
          <w:bCs/>
          <w:color w:val="000000"/>
          <w:szCs w:val="24"/>
        </w:rPr>
      </w:pPr>
      <w:r w:rsidRPr="00120E8E">
        <w:rPr>
          <w:bCs/>
          <w:color w:val="000000"/>
          <w:szCs w:val="24"/>
        </w:rPr>
        <w:t>Doplnění ustanovení o emitentech, kteří vydali akcie s rozdílnou vahou hlasů, je požadováno čl. 5 MVSD za účelem ochrany investorů a efektivity trhu prostřednictvím zveřejňování přesných a úplných informací. Související změny včetně změn v zákoně o obchodních korporacích rovněž vychází z potřeby promítnutí MVSD do českého právního řádu a tím zvýšení úrovně ochrany akcionářů společností, které vydaly akcie s rozdílnou vahou hlasů.</w:t>
      </w:r>
    </w:p>
    <w:p w14:paraId="0D4A5150" w14:textId="4B9D7F57" w:rsidR="00892E94" w:rsidRPr="00120E8E" w:rsidRDefault="008513EA" w:rsidP="00F67080">
      <w:pPr>
        <w:spacing w:before="80"/>
        <w:rPr>
          <w:b/>
          <w:bCs/>
          <w:color w:val="000000"/>
          <w:szCs w:val="24"/>
        </w:rPr>
      </w:pPr>
      <w:r w:rsidRPr="00120E8E">
        <w:rPr>
          <w:b/>
          <w:bCs/>
          <w:color w:val="000000"/>
          <w:szCs w:val="24"/>
        </w:rPr>
        <w:t>Nové požadavky ve vztahu k</w:t>
      </w:r>
      <w:r w:rsidR="003F7B4D" w:rsidRPr="00120E8E">
        <w:rPr>
          <w:b/>
          <w:bCs/>
          <w:color w:val="000000"/>
          <w:szCs w:val="24"/>
        </w:rPr>
        <w:t>e</w:t>
      </w:r>
      <w:r w:rsidRPr="00120E8E">
        <w:rPr>
          <w:b/>
          <w:bCs/>
          <w:color w:val="000000"/>
          <w:szCs w:val="24"/>
        </w:rPr>
        <w:t xml:space="preserve"> clearingu </w:t>
      </w:r>
    </w:p>
    <w:p w14:paraId="11958A97" w14:textId="76FE6905" w:rsidR="008513EA" w:rsidRPr="00120E8E" w:rsidRDefault="0048070A" w:rsidP="00F67080">
      <w:pPr>
        <w:spacing w:before="80"/>
        <w:rPr>
          <w:bCs/>
          <w:color w:val="000000"/>
          <w:szCs w:val="24"/>
        </w:rPr>
      </w:pPr>
      <w:r w:rsidRPr="00120E8E">
        <w:rPr>
          <w:bCs/>
          <w:color w:val="000000"/>
          <w:szCs w:val="24"/>
        </w:rPr>
        <w:t xml:space="preserve">V návaznosti </w:t>
      </w:r>
      <w:r w:rsidR="003F7B4D" w:rsidRPr="00120E8E">
        <w:rPr>
          <w:bCs/>
          <w:color w:val="000000"/>
          <w:szCs w:val="24"/>
        </w:rPr>
        <w:t>na nová pravidla pro clearing a snahu přesunou</w:t>
      </w:r>
      <w:r w:rsidR="005340BA">
        <w:rPr>
          <w:bCs/>
          <w:color w:val="000000"/>
          <w:szCs w:val="24"/>
        </w:rPr>
        <w:t>t</w:t>
      </w:r>
      <w:r w:rsidR="003F7B4D" w:rsidRPr="00120E8E">
        <w:rPr>
          <w:bCs/>
          <w:color w:val="000000"/>
          <w:szCs w:val="24"/>
        </w:rPr>
        <w:t xml:space="preserve"> alespoň část clearingu do EU, se</w:t>
      </w:r>
      <w:r w:rsidR="00F67080" w:rsidRPr="00120E8E">
        <w:rPr>
          <w:bCs/>
          <w:color w:val="000000"/>
          <w:szCs w:val="24"/>
        </w:rPr>
        <w:t> </w:t>
      </w:r>
      <w:r w:rsidR="003F7B4D" w:rsidRPr="00120E8E">
        <w:rPr>
          <w:bCs/>
          <w:color w:val="000000"/>
          <w:szCs w:val="24"/>
        </w:rPr>
        <w:t xml:space="preserve">rozšiřují požadavky na banky, spořitelní a úvěrní družstva a </w:t>
      </w:r>
      <w:r w:rsidR="00300363">
        <w:rPr>
          <w:bCs/>
          <w:color w:val="000000"/>
          <w:szCs w:val="24"/>
        </w:rPr>
        <w:t>OCP</w:t>
      </w:r>
      <w:r w:rsidR="003F7B4D" w:rsidRPr="00120E8E">
        <w:rPr>
          <w:bCs/>
          <w:color w:val="000000"/>
          <w:szCs w:val="24"/>
        </w:rPr>
        <w:t xml:space="preserve"> na řízení systému ve vztahu k velkým expozicím k ústředním protistranám, které jsou kvalifikované jako systémově významné (</w:t>
      </w:r>
      <w:proofErr w:type="spellStart"/>
      <w:r w:rsidR="003F7B4D" w:rsidRPr="00120E8E">
        <w:rPr>
          <w:bCs/>
          <w:color w:val="000000"/>
          <w:szCs w:val="24"/>
        </w:rPr>
        <w:t>tier</w:t>
      </w:r>
      <w:proofErr w:type="spellEnd"/>
      <w:r w:rsidR="003F7B4D" w:rsidRPr="00120E8E">
        <w:rPr>
          <w:bCs/>
          <w:color w:val="000000"/>
          <w:szCs w:val="24"/>
        </w:rPr>
        <w:t xml:space="preserve"> 2) ze třetích zemí a požadavky na aktivní účet.</w:t>
      </w:r>
    </w:p>
    <w:p w14:paraId="29B05B5B" w14:textId="3DDE3D34" w:rsidR="003F7B4D" w:rsidRPr="00120E8E" w:rsidRDefault="003F7B4D" w:rsidP="00F67080">
      <w:pPr>
        <w:spacing w:before="80"/>
        <w:rPr>
          <w:b/>
          <w:bCs/>
          <w:color w:val="000000"/>
          <w:szCs w:val="24"/>
        </w:rPr>
      </w:pPr>
      <w:r w:rsidRPr="00120E8E">
        <w:rPr>
          <w:b/>
          <w:bCs/>
          <w:color w:val="000000"/>
          <w:szCs w:val="24"/>
        </w:rPr>
        <w:t xml:space="preserve">Snižování </w:t>
      </w:r>
      <w:proofErr w:type="spellStart"/>
      <w:r w:rsidRPr="00120E8E">
        <w:rPr>
          <w:b/>
          <w:bCs/>
          <w:color w:val="000000"/>
          <w:szCs w:val="24"/>
        </w:rPr>
        <w:t>gold</w:t>
      </w:r>
      <w:r w:rsidR="0045557F" w:rsidRPr="00120E8E">
        <w:rPr>
          <w:b/>
          <w:bCs/>
          <w:color w:val="000000"/>
          <w:szCs w:val="24"/>
        </w:rPr>
        <w:t>-</w:t>
      </w:r>
      <w:r w:rsidRPr="00120E8E">
        <w:rPr>
          <w:b/>
          <w:bCs/>
          <w:color w:val="000000"/>
          <w:szCs w:val="24"/>
        </w:rPr>
        <w:t>p</w:t>
      </w:r>
      <w:r w:rsidR="0045557F" w:rsidRPr="00120E8E">
        <w:rPr>
          <w:b/>
          <w:bCs/>
          <w:color w:val="000000"/>
          <w:szCs w:val="24"/>
        </w:rPr>
        <w:t>l</w:t>
      </w:r>
      <w:r w:rsidRPr="00120E8E">
        <w:rPr>
          <w:b/>
          <w:bCs/>
          <w:color w:val="000000"/>
          <w:szCs w:val="24"/>
        </w:rPr>
        <w:t>atingu</w:t>
      </w:r>
      <w:proofErr w:type="spellEnd"/>
    </w:p>
    <w:p w14:paraId="55E34A1C" w14:textId="0B85B2DE" w:rsidR="00CB50C0" w:rsidRPr="00120E8E" w:rsidRDefault="00133EBC" w:rsidP="00F67080">
      <w:pPr>
        <w:spacing w:before="80"/>
        <w:rPr>
          <w:bCs/>
          <w:color w:val="000000"/>
          <w:szCs w:val="24"/>
        </w:rPr>
      </w:pPr>
      <w:r w:rsidRPr="00120E8E">
        <w:rPr>
          <w:bCs/>
          <w:color w:val="000000"/>
          <w:szCs w:val="24"/>
        </w:rPr>
        <w:t xml:space="preserve">Změny </w:t>
      </w:r>
      <w:r w:rsidR="00DD4659" w:rsidRPr="00120E8E">
        <w:rPr>
          <w:bCs/>
          <w:color w:val="000000"/>
          <w:szCs w:val="24"/>
        </w:rPr>
        <w:t xml:space="preserve">v ZPKT </w:t>
      </w:r>
      <w:r w:rsidRPr="00120E8E">
        <w:rPr>
          <w:bCs/>
          <w:color w:val="000000"/>
          <w:szCs w:val="24"/>
        </w:rPr>
        <w:t>j</w:t>
      </w:r>
      <w:r w:rsidR="00F67080" w:rsidRPr="00120E8E">
        <w:rPr>
          <w:bCs/>
          <w:color w:val="000000"/>
          <w:szCs w:val="24"/>
        </w:rPr>
        <w:t>d</w:t>
      </w:r>
      <w:r w:rsidRPr="00120E8E">
        <w:rPr>
          <w:bCs/>
          <w:color w:val="000000"/>
          <w:szCs w:val="24"/>
        </w:rPr>
        <w:t xml:space="preserve">oucí nad rámec implementace </w:t>
      </w:r>
      <w:proofErr w:type="spellStart"/>
      <w:r w:rsidRPr="00120E8E">
        <w:rPr>
          <w:bCs/>
          <w:color w:val="000000"/>
          <w:szCs w:val="24"/>
        </w:rPr>
        <w:t>Listing</w:t>
      </w:r>
      <w:proofErr w:type="spellEnd"/>
      <w:r w:rsidRPr="00120E8E">
        <w:rPr>
          <w:bCs/>
          <w:color w:val="000000"/>
          <w:szCs w:val="24"/>
        </w:rPr>
        <w:t xml:space="preserve"> </w:t>
      </w:r>
      <w:proofErr w:type="spellStart"/>
      <w:r w:rsidRPr="00120E8E">
        <w:rPr>
          <w:bCs/>
          <w:color w:val="000000"/>
          <w:szCs w:val="24"/>
        </w:rPr>
        <w:t>Act</w:t>
      </w:r>
      <w:proofErr w:type="spellEnd"/>
      <w:r w:rsidRPr="00120E8E">
        <w:rPr>
          <w:bCs/>
          <w:color w:val="000000"/>
          <w:szCs w:val="24"/>
        </w:rPr>
        <w:t xml:space="preserve"> balíčku a nad rámec </w:t>
      </w:r>
      <w:r w:rsidR="00F5717F" w:rsidRPr="00120E8E">
        <w:rPr>
          <w:bCs/>
          <w:color w:val="000000"/>
          <w:szCs w:val="24"/>
        </w:rPr>
        <w:t>transpozice směrnice EMIR 3</w:t>
      </w:r>
      <w:r w:rsidRPr="00120E8E">
        <w:rPr>
          <w:bCs/>
          <w:color w:val="000000"/>
          <w:szCs w:val="24"/>
        </w:rPr>
        <w:t xml:space="preserve"> m</w:t>
      </w:r>
      <w:r w:rsidR="00F67080" w:rsidRPr="00120E8E">
        <w:rPr>
          <w:bCs/>
          <w:color w:val="000000"/>
          <w:szCs w:val="24"/>
        </w:rPr>
        <w:t>ají</w:t>
      </w:r>
      <w:r w:rsidRPr="00120E8E">
        <w:rPr>
          <w:bCs/>
          <w:color w:val="000000"/>
          <w:szCs w:val="24"/>
        </w:rPr>
        <w:t xml:space="preserve"> za hlavní </w:t>
      </w:r>
      <w:r w:rsidR="00CB50C0" w:rsidRPr="00120E8E">
        <w:rPr>
          <w:bCs/>
          <w:color w:val="000000"/>
          <w:szCs w:val="24"/>
        </w:rPr>
        <w:t>c</w:t>
      </w:r>
      <w:r w:rsidRPr="00120E8E">
        <w:rPr>
          <w:bCs/>
          <w:color w:val="000000"/>
          <w:szCs w:val="24"/>
        </w:rPr>
        <w:t>íl snížení administrativní zátěže povinných subjektů</w:t>
      </w:r>
      <w:r w:rsidR="00CB50C0" w:rsidRPr="00120E8E">
        <w:rPr>
          <w:bCs/>
          <w:color w:val="000000"/>
          <w:szCs w:val="24"/>
        </w:rPr>
        <w:t xml:space="preserve"> při</w:t>
      </w:r>
      <w:r w:rsidR="003F7B4D" w:rsidRPr="00120E8E">
        <w:rPr>
          <w:bCs/>
          <w:color w:val="000000"/>
          <w:szCs w:val="24"/>
        </w:rPr>
        <w:t> </w:t>
      </w:r>
      <w:r w:rsidR="00CB50C0" w:rsidRPr="00120E8E">
        <w:rPr>
          <w:bCs/>
          <w:color w:val="000000"/>
          <w:szCs w:val="24"/>
        </w:rPr>
        <w:t>zachování dostatečné ochrany investorů</w:t>
      </w:r>
      <w:r w:rsidRPr="00120E8E">
        <w:rPr>
          <w:bCs/>
          <w:color w:val="000000"/>
          <w:szCs w:val="24"/>
        </w:rPr>
        <w:t xml:space="preserve">. </w:t>
      </w:r>
      <w:r w:rsidR="003F7B4D" w:rsidRPr="00120E8E">
        <w:rPr>
          <w:bCs/>
          <w:color w:val="000000"/>
          <w:szCs w:val="24"/>
        </w:rPr>
        <w:t xml:space="preserve">Nově </w:t>
      </w:r>
      <w:r w:rsidR="00DB20F6" w:rsidRPr="00120E8E">
        <w:rPr>
          <w:bCs/>
          <w:color w:val="000000"/>
          <w:szCs w:val="24"/>
        </w:rPr>
        <w:t>například</w:t>
      </w:r>
      <w:r w:rsidR="003F7B4D" w:rsidRPr="00120E8E">
        <w:rPr>
          <w:bCs/>
          <w:color w:val="000000"/>
          <w:szCs w:val="24"/>
        </w:rPr>
        <w:t xml:space="preserve"> </w:t>
      </w:r>
      <w:r w:rsidR="00300363">
        <w:rPr>
          <w:bCs/>
          <w:color w:val="000000"/>
          <w:szCs w:val="24"/>
        </w:rPr>
        <w:t>OCP</w:t>
      </w:r>
      <w:r w:rsidR="003F7B4D" w:rsidRPr="00120E8E">
        <w:rPr>
          <w:bCs/>
          <w:color w:val="000000"/>
          <w:szCs w:val="24"/>
        </w:rPr>
        <w:t xml:space="preserve"> a</w:t>
      </w:r>
      <w:r w:rsidR="00F67080" w:rsidRPr="00120E8E">
        <w:rPr>
          <w:bCs/>
          <w:color w:val="000000"/>
          <w:szCs w:val="24"/>
        </w:rPr>
        <w:t> </w:t>
      </w:r>
      <w:r w:rsidR="003F7B4D" w:rsidRPr="00120E8E">
        <w:rPr>
          <w:bCs/>
          <w:color w:val="000000"/>
          <w:szCs w:val="24"/>
        </w:rPr>
        <w:t>or</w:t>
      </w:r>
      <w:r w:rsidR="00F67080" w:rsidRPr="00120E8E">
        <w:rPr>
          <w:bCs/>
          <w:color w:val="000000"/>
          <w:szCs w:val="24"/>
        </w:rPr>
        <w:t>g</w:t>
      </w:r>
      <w:r w:rsidR="003F7B4D" w:rsidRPr="00120E8E">
        <w:rPr>
          <w:bCs/>
          <w:color w:val="000000"/>
          <w:szCs w:val="24"/>
        </w:rPr>
        <w:t xml:space="preserve">anizátor regulovaného trhu </w:t>
      </w:r>
      <w:r w:rsidR="00F67080" w:rsidRPr="00120E8E">
        <w:rPr>
          <w:bCs/>
          <w:color w:val="000000"/>
          <w:szCs w:val="24"/>
        </w:rPr>
        <w:t xml:space="preserve">budou </w:t>
      </w:r>
      <w:r w:rsidR="00DB20F6" w:rsidRPr="00120E8E">
        <w:rPr>
          <w:bCs/>
          <w:color w:val="000000"/>
          <w:szCs w:val="24"/>
        </w:rPr>
        <w:t xml:space="preserve">pouze </w:t>
      </w:r>
      <w:r w:rsidR="003F7B4D" w:rsidRPr="00120E8E">
        <w:rPr>
          <w:bCs/>
          <w:color w:val="000000"/>
          <w:szCs w:val="24"/>
        </w:rPr>
        <w:t xml:space="preserve">oznamovat další podnikatelskou činnost, neboť se </w:t>
      </w:r>
      <w:r w:rsidR="00F67080" w:rsidRPr="00120E8E">
        <w:rPr>
          <w:bCs/>
          <w:color w:val="000000"/>
          <w:szCs w:val="24"/>
        </w:rPr>
        <w:t>bude jednat</w:t>
      </w:r>
      <w:r w:rsidR="003F7B4D" w:rsidRPr="00120E8E">
        <w:rPr>
          <w:bCs/>
          <w:color w:val="000000"/>
          <w:szCs w:val="24"/>
        </w:rPr>
        <w:t xml:space="preserve"> o změnu informací v rámci povolení</w:t>
      </w:r>
      <w:r w:rsidR="00DB20F6" w:rsidRPr="00120E8E">
        <w:rPr>
          <w:bCs/>
          <w:color w:val="000000"/>
          <w:szCs w:val="24"/>
        </w:rPr>
        <w:t xml:space="preserve">. </w:t>
      </w:r>
      <w:r w:rsidR="003F7B4D" w:rsidRPr="00120E8E">
        <w:rPr>
          <w:bCs/>
          <w:color w:val="000000"/>
          <w:szCs w:val="24"/>
        </w:rPr>
        <w:t>Mělo by tak dojít k</w:t>
      </w:r>
      <w:r w:rsidR="00DB20F6" w:rsidRPr="00120E8E">
        <w:rPr>
          <w:bCs/>
          <w:color w:val="000000"/>
          <w:szCs w:val="24"/>
        </w:rPr>
        <w:t>e</w:t>
      </w:r>
      <w:r w:rsidR="003F7B4D" w:rsidRPr="00120E8E">
        <w:rPr>
          <w:bCs/>
          <w:color w:val="000000"/>
          <w:szCs w:val="24"/>
        </w:rPr>
        <w:t> snížení administrativní zátěže</w:t>
      </w:r>
      <w:r w:rsidR="00DB20F6" w:rsidRPr="00120E8E">
        <w:rPr>
          <w:bCs/>
          <w:color w:val="000000"/>
          <w:szCs w:val="24"/>
        </w:rPr>
        <w:t xml:space="preserve"> </w:t>
      </w:r>
      <w:r w:rsidR="003F7B4D" w:rsidRPr="00120E8E">
        <w:rPr>
          <w:bCs/>
          <w:color w:val="000000"/>
          <w:szCs w:val="24"/>
        </w:rPr>
        <w:t>a uvolnění trhu.</w:t>
      </w:r>
    </w:p>
    <w:p w14:paraId="6E365A5C" w14:textId="77777777" w:rsidR="00054A35" w:rsidRPr="00120E8E" w:rsidRDefault="00054A35" w:rsidP="00535FF4">
      <w:pPr>
        <w:spacing w:before="80"/>
        <w:rPr>
          <w:b/>
          <w:bCs/>
          <w:color w:val="000000"/>
          <w:szCs w:val="24"/>
        </w:rPr>
      </w:pPr>
      <w:r w:rsidRPr="00120E8E">
        <w:rPr>
          <w:b/>
          <w:bCs/>
          <w:color w:val="000000"/>
          <w:szCs w:val="24"/>
        </w:rPr>
        <w:t>Upozornění pro investory při nabízení dluhopisu</w:t>
      </w:r>
    </w:p>
    <w:p w14:paraId="6E48564A" w14:textId="2A12F527" w:rsidR="00CB50C0" w:rsidRPr="00120E8E" w:rsidRDefault="00DD4659" w:rsidP="00535FF4">
      <w:pPr>
        <w:spacing w:before="80"/>
        <w:rPr>
          <w:bCs/>
          <w:color w:val="000000"/>
          <w:szCs w:val="24"/>
        </w:rPr>
      </w:pPr>
      <w:r w:rsidRPr="00120E8E">
        <w:rPr>
          <w:bCs/>
          <w:color w:val="000000"/>
          <w:szCs w:val="24"/>
        </w:rPr>
        <w:t xml:space="preserve">Navrhovaná právní úprava reaguje na přetrvávající problémy spojené s nabízením podnikových dluhopisů retailovým investorům. Nabízení dluhopisů je v této právní úpravě chápáno jako </w:t>
      </w:r>
      <w:r w:rsidR="00CF488F">
        <w:rPr>
          <w:bCs/>
          <w:color w:val="000000"/>
          <w:szCs w:val="24"/>
        </w:rPr>
        <w:t> </w:t>
      </w:r>
      <w:r w:rsidRPr="00120E8E">
        <w:rPr>
          <w:bCs/>
          <w:color w:val="000000"/>
          <w:szCs w:val="24"/>
        </w:rPr>
        <w:t xml:space="preserve">zastřešující označení pro činnosti spočívající mj. také v distribuci nebo propagaci </w:t>
      </w:r>
      <w:r w:rsidRPr="00120E8E">
        <w:rPr>
          <w:bCs/>
          <w:color w:val="000000"/>
          <w:szCs w:val="24"/>
        </w:rPr>
        <w:lastRenderedPageBreak/>
        <w:t>(korporátních) dluhopisů.</w:t>
      </w:r>
      <w:r w:rsidR="00FE61A2" w:rsidRPr="00120E8E">
        <w:rPr>
          <w:bCs/>
          <w:color w:val="000000"/>
          <w:szCs w:val="24"/>
        </w:rPr>
        <w:t xml:space="preserve"> </w:t>
      </w:r>
      <w:r w:rsidRPr="00120E8E">
        <w:rPr>
          <w:bCs/>
          <w:color w:val="000000"/>
          <w:szCs w:val="24"/>
        </w:rPr>
        <w:t>Cílem navrhované úpravy je zvýšit ochranu retailových investorů, zejména v kontextu častého zneužívání jména ČNB v marketingu dluhopisů. Ustanovení zavádí povinnost emitenta uvádět při nabízení dluhopisů standardizované upozornění na rizika spojená s investováním do těchto nástrojů a na omezenou roli ČNB, která nevykonává dohled nad</w:t>
      </w:r>
      <w:r w:rsidR="005618ED" w:rsidRPr="00120E8E">
        <w:rPr>
          <w:bCs/>
          <w:color w:val="000000"/>
          <w:szCs w:val="24"/>
        </w:rPr>
        <w:t> </w:t>
      </w:r>
      <w:r w:rsidRPr="00120E8E">
        <w:rPr>
          <w:bCs/>
          <w:color w:val="000000"/>
          <w:szCs w:val="24"/>
        </w:rPr>
        <w:t>finančním zdravím emitenta ani negarantuje návratnost investice.</w:t>
      </w:r>
      <w:r w:rsidR="00054A35" w:rsidRPr="00120E8E">
        <w:rPr>
          <w:bCs/>
          <w:color w:val="000000"/>
          <w:szCs w:val="24"/>
        </w:rPr>
        <w:t xml:space="preserve"> </w:t>
      </w:r>
      <w:r w:rsidRPr="00120E8E">
        <w:rPr>
          <w:bCs/>
          <w:color w:val="000000"/>
          <w:szCs w:val="24"/>
        </w:rPr>
        <w:t>Navrhované znění platí jak pro „nadlimitní“, tak pro „podlimitní“ dluhopisy. Tato úprava doplňuje stávající rámec ochrany investorů. Dopad na emitenty je z hlediska administrativní náročnosti minimální, avšak měl by významně přispívat k informovanosti investorů a omezení klamavých praktik při veřejné nabídce dluhopisů.</w:t>
      </w:r>
    </w:p>
    <w:p w14:paraId="6E18F0E3" w14:textId="77777777" w:rsidR="00177160" w:rsidRDefault="00177160" w:rsidP="00177160">
      <w:pPr>
        <w:keepNext/>
        <w:rPr>
          <w:b/>
          <w:szCs w:val="24"/>
          <w:lang w:bidi="en-US"/>
        </w:rPr>
      </w:pPr>
      <w:r>
        <w:rPr>
          <w:b/>
          <w:szCs w:val="24"/>
          <w:lang w:bidi="en-US"/>
        </w:rPr>
        <w:t>Adaptace nařízení o ESG ratingu</w:t>
      </w:r>
    </w:p>
    <w:p w14:paraId="01E6D56B" w14:textId="353CFDD2" w:rsidR="007741B2" w:rsidRDefault="00177160" w:rsidP="007741B2">
      <w:pPr>
        <w:rPr>
          <w:szCs w:val="24"/>
          <w:lang w:bidi="en-US"/>
        </w:rPr>
      </w:pPr>
      <w:r w:rsidRPr="00A8314D">
        <w:rPr>
          <w:szCs w:val="24"/>
          <w:lang w:bidi="en-US"/>
        </w:rPr>
        <w:t xml:space="preserve">Cílem návrhu zákona je </w:t>
      </w:r>
      <w:r>
        <w:rPr>
          <w:szCs w:val="24"/>
          <w:lang w:bidi="en-US"/>
        </w:rPr>
        <w:t xml:space="preserve">dále </w:t>
      </w:r>
      <w:r w:rsidRPr="00A8314D">
        <w:rPr>
          <w:szCs w:val="24"/>
          <w:lang w:bidi="en-US"/>
        </w:rPr>
        <w:t xml:space="preserve">adaptovat </w:t>
      </w:r>
      <w:r w:rsidR="00F570C2">
        <w:rPr>
          <w:szCs w:val="24"/>
          <w:lang w:bidi="en-US"/>
        </w:rPr>
        <w:t>český právní řád na</w:t>
      </w:r>
      <w:r w:rsidRPr="00A8314D">
        <w:rPr>
          <w:szCs w:val="24"/>
          <w:lang w:bidi="en-US"/>
        </w:rPr>
        <w:t xml:space="preserve"> nařízení </w:t>
      </w:r>
      <w:r>
        <w:rPr>
          <w:szCs w:val="24"/>
          <w:lang w:bidi="en-US"/>
        </w:rPr>
        <w:t>o ESG ratingu</w:t>
      </w:r>
      <w:r w:rsidR="007741B2">
        <w:rPr>
          <w:szCs w:val="24"/>
          <w:lang w:bidi="en-US"/>
        </w:rPr>
        <w:t>. Navrhuje se přitom postupovat obdobně jako při adaptaci nařízení Evropského parlamentu a Rady (ES) č. 1060/2009 ze dne 16. září 2009 o ratingových agenturách (dále jen „</w:t>
      </w:r>
      <w:r w:rsidR="007741B2" w:rsidRPr="0093382E">
        <w:rPr>
          <w:b/>
          <w:bCs/>
          <w:i/>
          <w:iCs/>
          <w:szCs w:val="24"/>
          <w:lang w:bidi="en-US"/>
        </w:rPr>
        <w:t>nařízení CRA</w:t>
      </w:r>
      <w:r w:rsidR="007741B2">
        <w:rPr>
          <w:szCs w:val="24"/>
          <w:lang w:bidi="en-US"/>
        </w:rPr>
        <w:t>“). Obě nařízení vycházejí z obdobného regulačního rámce a obdobným způsobem stanovují i systém dohledu.</w:t>
      </w:r>
    </w:p>
    <w:p w14:paraId="4DDE2635" w14:textId="072A8DD3" w:rsidR="00177160" w:rsidRPr="009F7944" w:rsidRDefault="007741B2" w:rsidP="00177160">
      <w:pPr>
        <w:rPr>
          <w:szCs w:val="24"/>
          <w:lang w:bidi="en-US"/>
        </w:rPr>
      </w:pPr>
      <w:r w:rsidRPr="00327941">
        <w:rPr>
          <w:szCs w:val="24"/>
          <w:lang w:bidi="en-US"/>
        </w:rPr>
        <w:t>Nařízení CRA je adaptováno do ZPKT, ve kterém je určena působnost ČNB, a dále je adaptováno do zákona č. 15/1998 Sb., o dohledu v oblasti kapitálového trhu a o změně a</w:t>
      </w:r>
      <w:r>
        <w:rPr>
          <w:szCs w:val="24"/>
          <w:lang w:bidi="en-US"/>
        </w:rPr>
        <w:t> </w:t>
      </w:r>
      <w:r w:rsidRPr="00327941">
        <w:rPr>
          <w:szCs w:val="24"/>
          <w:lang w:bidi="en-US"/>
        </w:rPr>
        <w:t>doplnění dalších zákonů (dále též „</w:t>
      </w:r>
      <w:r w:rsidRPr="0093382E">
        <w:rPr>
          <w:b/>
          <w:bCs/>
          <w:i/>
          <w:iCs/>
          <w:szCs w:val="24"/>
          <w:lang w:bidi="en-US"/>
        </w:rPr>
        <w:t>zákon o dohledu v oblasti kapitálového trhu</w:t>
      </w:r>
      <w:r w:rsidRPr="00327941">
        <w:rPr>
          <w:szCs w:val="24"/>
          <w:lang w:bidi="en-US"/>
        </w:rPr>
        <w:t>“), kde je provedena povinnost zajistit, aby byla rozhodnutí ESMA v České republice vykonatelná a aby bylo poskytnutí výpisu telefonních hovorů a datových přenosů podmíněno vydáním soudního příkazu</w:t>
      </w:r>
      <w:r>
        <w:rPr>
          <w:szCs w:val="24"/>
          <w:lang w:bidi="en-US"/>
        </w:rPr>
        <w:t xml:space="preserve">. </w:t>
      </w:r>
    </w:p>
    <w:p w14:paraId="14245D7F" w14:textId="7ED08917" w:rsidR="00177160" w:rsidRPr="00A8314D" w:rsidRDefault="007741B2" w:rsidP="00177160">
      <w:pPr>
        <w:rPr>
          <w:szCs w:val="24"/>
          <w:lang w:bidi="en-US"/>
        </w:rPr>
      </w:pPr>
      <w:r>
        <w:rPr>
          <w:szCs w:val="24"/>
          <w:lang w:bidi="en-US"/>
        </w:rPr>
        <w:t>N</w:t>
      </w:r>
      <w:r w:rsidR="00177160" w:rsidRPr="00A8314D">
        <w:rPr>
          <w:szCs w:val="24"/>
          <w:lang w:bidi="en-US"/>
        </w:rPr>
        <w:t xml:space="preserve">ařízení o ESG ratingu </w:t>
      </w:r>
      <w:r>
        <w:rPr>
          <w:szCs w:val="24"/>
          <w:lang w:bidi="en-US"/>
        </w:rPr>
        <w:t>svěřuje dohled nad poskytovateli ratingu ESG</w:t>
      </w:r>
      <w:r w:rsidRPr="00A8314D">
        <w:rPr>
          <w:szCs w:val="24"/>
          <w:lang w:bidi="en-US"/>
        </w:rPr>
        <w:t xml:space="preserve"> </w:t>
      </w:r>
      <w:r w:rsidR="000A4CDA">
        <w:rPr>
          <w:szCs w:val="24"/>
          <w:lang w:bidi="en-US"/>
        </w:rPr>
        <w:t xml:space="preserve">orgánu </w:t>
      </w:r>
      <w:r w:rsidR="00177160" w:rsidRPr="00A8314D">
        <w:rPr>
          <w:szCs w:val="24"/>
          <w:lang w:bidi="en-US"/>
        </w:rPr>
        <w:t xml:space="preserve">ESMA. </w:t>
      </w:r>
      <w:r>
        <w:rPr>
          <w:szCs w:val="24"/>
          <w:lang w:bidi="en-US"/>
        </w:rPr>
        <w:t>K</w:t>
      </w:r>
      <w:r w:rsidR="000A4CDA">
        <w:rPr>
          <w:szCs w:val="24"/>
          <w:lang w:bidi="en-US"/>
        </w:rPr>
        <w:t> </w:t>
      </w:r>
      <w:r w:rsidR="00177160" w:rsidRPr="00A8314D">
        <w:rPr>
          <w:szCs w:val="24"/>
          <w:lang w:bidi="en-US"/>
        </w:rPr>
        <w:t xml:space="preserve">naplnění dohledových úkolů nařízení o ESG ratingu svěřuje </w:t>
      </w:r>
      <w:r>
        <w:rPr>
          <w:szCs w:val="24"/>
          <w:lang w:bidi="en-US"/>
        </w:rPr>
        <w:t xml:space="preserve">ESMA </w:t>
      </w:r>
      <w:r w:rsidR="00177160" w:rsidRPr="00A8314D">
        <w:rPr>
          <w:szCs w:val="24"/>
          <w:lang w:bidi="en-US"/>
        </w:rPr>
        <w:t xml:space="preserve">pravomoc ukládat pokuty a penále. </w:t>
      </w:r>
      <w:r>
        <w:rPr>
          <w:szCs w:val="24"/>
          <w:lang w:bidi="en-US"/>
        </w:rPr>
        <w:t xml:space="preserve">ESMA má také pravomoc </w:t>
      </w:r>
      <w:r w:rsidR="000D2B9F">
        <w:rPr>
          <w:szCs w:val="24"/>
          <w:lang w:bidi="en-US"/>
        </w:rPr>
        <w:t>stanovit poskytovatelům ratingu ESG</w:t>
      </w:r>
      <w:r w:rsidR="000D2B9F" w:rsidRPr="00A8314D">
        <w:rPr>
          <w:szCs w:val="24"/>
          <w:lang w:bidi="en-US"/>
        </w:rPr>
        <w:t xml:space="preserve"> </w:t>
      </w:r>
      <w:r w:rsidR="00177160" w:rsidRPr="00A8314D">
        <w:rPr>
          <w:szCs w:val="24"/>
          <w:lang w:bidi="en-US"/>
        </w:rPr>
        <w:t>poplatky za</w:t>
      </w:r>
      <w:r w:rsidR="000A4CDA">
        <w:rPr>
          <w:szCs w:val="24"/>
          <w:lang w:bidi="en-US"/>
        </w:rPr>
        <w:t> </w:t>
      </w:r>
      <w:r w:rsidR="00177160" w:rsidRPr="00A8314D">
        <w:rPr>
          <w:szCs w:val="24"/>
          <w:lang w:bidi="en-US"/>
        </w:rPr>
        <w:t xml:space="preserve">dohled. </w:t>
      </w:r>
    </w:p>
    <w:p w14:paraId="47D7AFDF" w14:textId="1CF2F751" w:rsidR="009F7944" w:rsidRDefault="009F7944" w:rsidP="009F7944">
      <w:pPr>
        <w:rPr>
          <w:szCs w:val="24"/>
          <w:lang w:bidi="en-US"/>
        </w:rPr>
      </w:pPr>
      <w:r w:rsidRPr="00373B89">
        <w:rPr>
          <w:szCs w:val="24"/>
          <w:lang w:bidi="en-US"/>
        </w:rPr>
        <w:t xml:space="preserve">Vedle </w:t>
      </w:r>
      <w:r>
        <w:rPr>
          <w:szCs w:val="24"/>
          <w:lang w:bidi="en-US"/>
        </w:rPr>
        <w:t>toho nařízení o ESG ratingu ponechává členským státům</w:t>
      </w:r>
      <w:r w:rsidRPr="00373B89">
        <w:rPr>
          <w:szCs w:val="24"/>
          <w:lang w:bidi="en-US"/>
        </w:rPr>
        <w:t xml:space="preserve"> urč</w:t>
      </w:r>
      <w:r>
        <w:rPr>
          <w:szCs w:val="24"/>
          <w:lang w:bidi="en-US"/>
        </w:rPr>
        <w:t>it</w:t>
      </w:r>
      <w:r w:rsidRPr="00373B89">
        <w:rPr>
          <w:szCs w:val="24"/>
          <w:lang w:bidi="en-US"/>
        </w:rPr>
        <w:t xml:space="preserve"> svůj</w:t>
      </w:r>
      <w:r>
        <w:rPr>
          <w:szCs w:val="24"/>
          <w:lang w:bidi="en-US"/>
        </w:rPr>
        <w:t xml:space="preserve"> </w:t>
      </w:r>
      <w:r w:rsidRPr="00373B89">
        <w:rPr>
          <w:szCs w:val="24"/>
          <w:lang w:bidi="en-US"/>
        </w:rPr>
        <w:t xml:space="preserve">příslušný </w:t>
      </w:r>
      <w:r w:rsidR="000A4CDA">
        <w:rPr>
          <w:szCs w:val="24"/>
          <w:lang w:bidi="en-US"/>
        </w:rPr>
        <w:t>národní</w:t>
      </w:r>
      <w:r w:rsidR="000A4CDA" w:rsidRPr="00373B89">
        <w:rPr>
          <w:szCs w:val="24"/>
          <w:lang w:bidi="en-US"/>
        </w:rPr>
        <w:t xml:space="preserve"> </w:t>
      </w:r>
      <w:r w:rsidRPr="00373B89">
        <w:rPr>
          <w:szCs w:val="24"/>
          <w:lang w:bidi="en-US"/>
        </w:rPr>
        <w:t>orgá</w:t>
      </w:r>
      <w:r>
        <w:rPr>
          <w:szCs w:val="24"/>
          <w:lang w:bidi="en-US"/>
        </w:rPr>
        <w:t>n,</w:t>
      </w:r>
      <w:r w:rsidRPr="00373B89">
        <w:rPr>
          <w:szCs w:val="24"/>
          <w:lang w:bidi="en-US"/>
        </w:rPr>
        <w:t xml:space="preserve"> </w:t>
      </w:r>
      <w:r w:rsidRPr="00D32675">
        <w:rPr>
          <w:szCs w:val="24"/>
          <w:lang w:bidi="en-US"/>
        </w:rPr>
        <w:t>který bude v mezích, které nařízení definuje, spolupracovat s ESMA v</w:t>
      </w:r>
      <w:r w:rsidR="000A4CDA">
        <w:rPr>
          <w:szCs w:val="24"/>
          <w:lang w:bidi="en-US"/>
        </w:rPr>
        <w:t> </w:t>
      </w:r>
      <w:r w:rsidRPr="00D32675">
        <w:rPr>
          <w:szCs w:val="24"/>
          <w:lang w:bidi="en-US"/>
        </w:rPr>
        <w:t>dohledu nad</w:t>
      </w:r>
      <w:r w:rsidR="000A4CDA">
        <w:rPr>
          <w:szCs w:val="24"/>
          <w:lang w:bidi="en-US"/>
        </w:rPr>
        <w:t> </w:t>
      </w:r>
      <w:r w:rsidRPr="00D32675">
        <w:rPr>
          <w:szCs w:val="24"/>
          <w:lang w:bidi="en-US"/>
        </w:rPr>
        <w:t>poskytovateli rating</w:t>
      </w:r>
      <w:r>
        <w:rPr>
          <w:szCs w:val="24"/>
          <w:lang w:bidi="en-US"/>
        </w:rPr>
        <w:t>u ESG</w:t>
      </w:r>
      <w:r w:rsidRPr="00D32675">
        <w:rPr>
          <w:szCs w:val="24"/>
          <w:lang w:bidi="en-US"/>
        </w:rPr>
        <w:t>. Na příslušný orgán může ESMA přenést úkoly dohledu,</w:t>
      </w:r>
      <w:r>
        <w:rPr>
          <w:szCs w:val="24"/>
          <w:lang w:bidi="en-US"/>
        </w:rPr>
        <w:t xml:space="preserve"> zejména pravomoc provádět šetření a kontroly a místě a pravomoc žádat informace,</w:t>
      </w:r>
      <w:r w:rsidRPr="00D32675">
        <w:rPr>
          <w:szCs w:val="24"/>
          <w:lang w:bidi="en-US"/>
        </w:rPr>
        <w:t xml:space="preserve"> a to po</w:t>
      </w:r>
      <w:r w:rsidR="000A4CDA">
        <w:rPr>
          <w:szCs w:val="24"/>
          <w:lang w:bidi="en-US"/>
        </w:rPr>
        <w:t> </w:t>
      </w:r>
      <w:r w:rsidRPr="00D32675">
        <w:rPr>
          <w:szCs w:val="24"/>
          <w:lang w:bidi="en-US"/>
        </w:rPr>
        <w:t>předchozí konzultaci</w:t>
      </w:r>
      <w:r>
        <w:rPr>
          <w:szCs w:val="24"/>
          <w:lang w:bidi="en-US"/>
        </w:rPr>
        <w:t xml:space="preserve">. Za takové přenesení poskytne ESMA příslušenému orgánu </w:t>
      </w:r>
      <w:r w:rsidRPr="00D32675">
        <w:rPr>
          <w:szCs w:val="24"/>
          <w:lang w:bidi="en-US"/>
        </w:rPr>
        <w:t>náhrad</w:t>
      </w:r>
      <w:r>
        <w:rPr>
          <w:szCs w:val="24"/>
          <w:lang w:bidi="en-US"/>
        </w:rPr>
        <w:t xml:space="preserve">u </w:t>
      </w:r>
      <w:r w:rsidRPr="00D32675">
        <w:rPr>
          <w:szCs w:val="24"/>
          <w:lang w:bidi="en-US"/>
        </w:rPr>
        <w:t>nákladů</w:t>
      </w:r>
      <w:r>
        <w:rPr>
          <w:szCs w:val="24"/>
          <w:lang w:bidi="en-US"/>
        </w:rPr>
        <w:t>.</w:t>
      </w:r>
    </w:p>
    <w:p w14:paraId="3882E69D" w14:textId="7E21D4CA" w:rsidR="009F7944" w:rsidRPr="00E81088" w:rsidRDefault="009F7944" w:rsidP="009F7944">
      <w:pPr>
        <w:rPr>
          <w:szCs w:val="24"/>
          <w:lang w:bidi="en-US"/>
        </w:rPr>
      </w:pPr>
      <w:r w:rsidRPr="00373B89">
        <w:rPr>
          <w:szCs w:val="24"/>
          <w:lang w:bidi="en-US"/>
        </w:rPr>
        <w:t>Navrhuje se, aby za tento příslušný orgán</w:t>
      </w:r>
      <w:r>
        <w:rPr>
          <w:szCs w:val="24"/>
          <w:lang w:bidi="en-US"/>
        </w:rPr>
        <w:t xml:space="preserve"> podle </w:t>
      </w:r>
      <w:r w:rsidRPr="00396EE5">
        <w:rPr>
          <w:szCs w:val="24"/>
          <w:lang w:bidi="en-US"/>
        </w:rPr>
        <w:t>nařízení o ESG ratingu</w:t>
      </w:r>
      <w:r w:rsidRPr="00851EDF">
        <w:rPr>
          <w:szCs w:val="24"/>
          <w:lang w:bidi="en-US"/>
        </w:rPr>
        <w:t xml:space="preserve"> byla určena </w:t>
      </w:r>
      <w:r w:rsidRPr="00E81088">
        <w:rPr>
          <w:szCs w:val="24"/>
          <w:lang w:bidi="en-US"/>
        </w:rPr>
        <w:t xml:space="preserve">ČNB, obdobně jako v nařízení CRA. Předmět právní úpravy, činnosti v oblasti ratingu ESG, spadá do oblasti podnikání na </w:t>
      </w:r>
      <w:r>
        <w:rPr>
          <w:szCs w:val="24"/>
          <w:lang w:bidi="en-US"/>
        </w:rPr>
        <w:t>finančním</w:t>
      </w:r>
      <w:r w:rsidRPr="00396EE5">
        <w:rPr>
          <w:szCs w:val="24"/>
          <w:lang w:bidi="en-US"/>
        </w:rPr>
        <w:t xml:space="preserve"> trhu</w:t>
      </w:r>
      <w:r>
        <w:rPr>
          <w:szCs w:val="24"/>
          <w:lang w:bidi="en-US"/>
        </w:rPr>
        <w:t xml:space="preserve">, jak ostatně na několika místech uvádí samotné nařízení o ESG ratingu. Srov. např. bod </w:t>
      </w:r>
      <w:r w:rsidR="00B37879">
        <w:rPr>
          <w:szCs w:val="24"/>
          <w:lang w:bidi="en-US"/>
        </w:rPr>
        <w:t xml:space="preserve">preambule </w:t>
      </w:r>
      <w:r>
        <w:rPr>
          <w:szCs w:val="24"/>
          <w:lang w:bidi="en-US"/>
        </w:rPr>
        <w:t xml:space="preserve">č. 8: </w:t>
      </w:r>
      <w:r w:rsidRPr="0093382E">
        <w:rPr>
          <w:i/>
          <w:szCs w:val="24"/>
          <w:lang w:bidi="en-US"/>
        </w:rPr>
        <w:t>„V rámci veřejné konzultace, která se konala v</w:t>
      </w:r>
      <w:r w:rsidR="00AA1A81">
        <w:rPr>
          <w:i/>
          <w:szCs w:val="24"/>
          <w:lang w:bidi="en-US"/>
        </w:rPr>
        <w:t> </w:t>
      </w:r>
      <w:r w:rsidRPr="0093382E">
        <w:rPr>
          <w:i/>
          <w:szCs w:val="24"/>
          <w:lang w:bidi="en-US"/>
        </w:rPr>
        <w:t xml:space="preserve">roce 2022, zúčastněné strany potvrdily obavy týkající se nedostatečné transparentnosti metodik a cílů ratingu ESG a z nejasnosti ohledně činností v oblasti ratingu ESG. Vzhledem k </w:t>
      </w:r>
      <w:r w:rsidR="00CF488F">
        <w:rPr>
          <w:i/>
          <w:szCs w:val="24"/>
          <w:lang w:bidi="en-US"/>
        </w:rPr>
        <w:t> </w:t>
      </w:r>
      <w:r w:rsidRPr="0093382E">
        <w:rPr>
          <w:i/>
          <w:szCs w:val="24"/>
          <w:lang w:bidi="en-US"/>
        </w:rPr>
        <w:t>tomu, že důvěra má zásadní význam pro fungování finančních trhů, je třeba tuto nedostatečnou transparentnost a spolehlivost ratingů ESG naléhavě řešit.“</w:t>
      </w:r>
      <w:r>
        <w:rPr>
          <w:i/>
          <w:szCs w:val="24"/>
          <w:lang w:bidi="en-US"/>
        </w:rPr>
        <w:t xml:space="preserve"> </w:t>
      </w:r>
      <w:r w:rsidRPr="009F7944">
        <w:rPr>
          <w:bCs/>
          <w:szCs w:val="24"/>
          <w:lang w:bidi="en-US"/>
        </w:rPr>
        <w:t>ČNB je v ČR orgánem vykonávajícím dohled nad finančními trhy</w:t>
      </w:r>
      <w:r w:rsidRPr="009F7944">
        <w:rPr>
          <w:bCs/>
          <w:szCs w:val="24"/>
          <w:lang w:eastAsia="zh-CN"/>
        </w:rPr>
        <w:t xml:space="preserve"> a má své zástupce v orgánu ESMA, který je primárním dohledovým orgánem podle nařízení o ESG ratingu.</w:t>
      </w:r>
      <w:r w:rsidRPr="00396EE5">
        <w:rPr>
          <w:szCs w:val="24"/>
          <w:lang w:eastAsia="zh-CN"/>
        </w:rPr>
        <w:t xml:space="preserve"> N</w:t>
      </w:r>
      <w:r w:rsidRPr="00E81088">
        <w:rPr>
          <w:szCs w:val="24"/>
          <w:lang w:bidi="en-US"/>
        </w:rPr>
        <w:t>ávrh zákona</w:t>
      </w:r>
      <w:r w:rsidRPr="00396EE5">
        <w:rPr>
          <w:szCs w:val="24"/>
          <w:lang w:bidi="en-US"/>
        </w:rPr>
        <w:t xml:space="preserve"> dále také </w:t>
      </w:r>
      <w:r w:rsidRPr="00851EDF">
        <w:rPr>
          <w:szCs w:val="24"/>
          <w:lang w:bidi="en-US"/>
        </w:rPr>
        <w:lastRenderedPageBreak/>
        <w:t xml:space="preserve">stanovuje, že ČNB </w:t>
      </w:r>
      <w:r w:rsidRPr="00E81088">
        <w:rPr>
          <w:szCs w:val="24"/>
          <w:lang w:bidi="en-US"/>
        </w:rPr>
        <w:t xml:space="preserve">na žádost potvrdí rozhodnutí ESMA, aby mohlo být v České republice podle vnitrostátních předpisů vykonáno. </w:t>
      </w:r>
    </w:p>
    <w:p w14:paraId="45C175EC" w14:textId="38DBCAFF" w:rsidR="001A0B92" w:rsidRPr="00120E8E" w:rsidRDefault="001A0B92" w:rsidP="001A0B92">
      <w:pPr>
        <w:rPr>
          <w:szCs w:val="24"/>
          <w:lang w:val="af-ZA" w:eastAsia="zh-CN"/>
        </w:rPr>
      </w:pPr>
      <w:r w:rsidRPr="003B30B7">
        <w:rPr>
          <w:szCs w:val="24"/>
          <w:lang w:eastAsia="zh-CN"/>
        </w:rPr>
        <w:t xml:space="preserve">Nařízení o ESG ratingu dále ponechává </w:t>
      </w:r>
      <w:r w:rsidR="00B37879">
        <w:rPr>
          <w:szCs w:val="24"/>
          <w:lang w:eastAsia="zh-CN"/>
        </w:rPr>
        <w:t> na členských státech</w:t>
      </w:r>
      <w:r w:rsidRPr="003B30B7">
        <w:rPr>
          <w:szCs w:val="24"/>
          <w:lang w:eastAsia="zh-CN"/>
        </w:rPr>
        <w:t xml:space="preserve"> možnost podmínit </w:t>
      </w:r>
      <w:r>
        <w:rPr>
          <w:szCs w:val="24"/>
          <w:lang w:eastAsia="zh-CN"/>
        </w:rPr>
        <w:t xml:space="preserve">soudním příkazem </w:t>
      </w:r>
      <w:r w:rsidRPr="003B30B7">
        <w:rPr>
          <w:szCs w:val="24"/>
          <w:lang w:eastAsia="zh-CN"/>
        </w:rPr>
        <w:t>pravomoc ESMA v</w:t>
      </w:r>
      <w:r>
        <w:rPr>
          <w:szCs w:val="24"/>
          <w:lang w:eastAsia="zh-CN"/>
        </w:rPr>
        <w:t> </w:t>
      </w:r>
      <w:r w:rsidRPr="003B30B7">
        <w:rPr>
          <w:szCs w:val="24"/>
          <w:lang w:eastAsia="zh-CN"/>
        </w:rPr>
        <w:t xml:space="preserve">oblasti obecného šetření, žádost o výpis telefonních hovorů a </w:t>
      </w:r>
      <w:r w:rsidR="00CF488F">
        <w:rPr>
          <w:szCs w:val="24"/>
          <w:lang w:eastAsia="zh-CN"/>
        </w:rPr>
        <w:t> </w:t>
      </w:r>
      <w:r w:rsidRPr="003B30B7">
        <w:rPr>
          <w:szCs w:val="24"/>
          <w:lang w:eastAsia="zh-CN"/>
        </w:rPr>
        <w:t xml:space="preserve">datových přenosů </w:t>
      </w:r>
      <w:r w:rsidR="00B37879">
        <w:rPr>
          <w:szCs w:val="24"/>
          <w:lang w:eastAsia="zh-CN"/>
        </w:rPr>
        <w:t>(</w:t>
      </w:r>
      <w:r w:rsidRPr="003B30B7">
        <w:rPr>
          <w:szCs w:val="24"/>
          <w:lang w:eastAsia="zh-CN"/>
        </w:rPr>
        <w:t xml:space="preserve">čl. 33 odst. 1 </w:t>
      </w:r>
      <w:r w:rsidR="009F7944">
        <w:rPr>
          <w:szCs w:val="24"/>
          <w:lang w:eastAsia="zh-CN"/>
        </w:rPr>
        <w:t xml:space="preserve">písm. </w:t>
      </w:r>
      <w:r w:rsidRPr="003B30B7">
        <w:rPr>
          <w:szCs w:val="24"/>
          <w:lang w:eastAsia="zh-CN"/>
        </w:rPr>
        <w:t>e)</w:t>
      </w:r>
      <w:r w:rsidR="00B37879">
        <w:rPr>
          <w:szCs w:val="24"/>
          <w:lang w:eastAsia="zh-CN"/>
        </w:rPr>
        <w:t xml:space="preserve"> nařízení o ESG ratingu)</w:t>
      </w:r>
      <w:r w:rsidRPr="003B30B7">
        <w:rPr>
          <w:szCs w:val="24"/>
          <w:lang w:eastAsia="zh-CN"/>
        </w:rPr>
        <w:t>, a v oblasti kontroly na místě</w:t>
      </w:r>
      <w:r w:rsidR="00B37879">
        <w:rPr>
          <w:szCs w:val="24"/>
          <w:lang w:eastAsia="zh-CN"/>
        </w:rPr>
        <w:t xml:space="preserve"> (</w:t>
      </w:r>
      <w:r w:rsidRPr="003B30B7">
        <w:rPr>
          <w:szCs w:val="24"/>
          <w:lang w:eastAsia="zh-CN"/>
        </w:rPr>
        <w:t>čl. 34</w:t>
      </w:r>
      <w:r w:rsidR="00B37879">
        <w:rPr>
          <w:szCs w:val="24"/>
          <w:lang w:eastAsia="zh-CN"/>
        </w:rPr>
        <w:t xml:space="preserve"> nařízení o ESG ratingu). </w:t>
      </w:r>
      <w:r>
        <w:rPr>
          <w:szCs w:val="24"/>
          <w:lang w:val="af-ZA" w:eastAsia="zh-CN"/>
        </w:rPr>
        <w:t>V těchto oblastech se navrhuje, obdobně jako v</w:t>
      </w:r>
      <w:r w:rsidR="00B37879">
        <w:rPr>
          <w:szCs w:val="24"/>
          <w:lang w:val="af-ZA" w:eastAsia="zh-CN"/>
        </w:rPr>
        <w:t> </w:t>
      </w:r>
      <w:r>
        <w:rPr>
          <w:szCs w:val="24"/>
          <w:lang w:val="af-ZA" w:eastAsia="zh-CN"/>
        </w:rPr>
        <w:t xml:space="preserve">případě nařízení </w:t>
      </w:r>
      <w:r w:rsidR="00C42E08">
        <w:rPr>
          <w:szCs w:val="24"/>
          <w:lang w:val="af-ZA" w:eastAsia="zh-CN"/>
        </w:rPr>
        <w:t>CRA</w:t>
      </w:r>
      <w:r>
        <w:rPr>
          <w:szCs w:val="24"/>
          <w:lang w:val="af-ZA" w:eastAsia="zh-CN"/>
        </w:rPr>
        <w:t>, podmín</w:t>
      </w:r>
      <w:r w:rsidR="00B37879">
        <w:rPr>
          <w:szCs w:val="24"/>
          <w:lang w:val="af-ZA" w:eastAsia="zh-CN"/>
        </w:rPr>
        <w:t>i</w:t>
      </w:r>
      <w:r>
        <w:rPr>
          <w:szCs w:val="24"/>
          <w:lang w:val="af-ZA" w:eastAsia="zh-CN"/>
        </w:rPr>
        <w:t xml:space="preserve">t soudním příkazem pouze žádost </w:t>
      </w:r>
      <w:r w:rsidRPr="003B30B7">
        <w:rPr>
          <w:szCs w:val="24"/>
          <w:lang w:eastAsia="zh-CN"/>
        </w:rPr>
        <w:t>o výpis telefonních hovorů a datových přenosů</w:t>
      </w:r>
      <w:r>
        <w:rPr>
          <w:szCs w:val="24"/>
          <w:lang w:eastAsia="zh-CN"/>
        </w:rPr>
        <w:t xml:space="preserve">. V ostatních uvedených případech není v právním řádu </w:t>
      </w:r>
      <w:r w:rsidR="004854A7">
        <w:rPr>
          <w:szCs w:val="24"/>
          <w:lang w:eastAsia="zh-CN"/>
        </w:rPr>
        <w:t>ČR</w:t>
      </w:r>
      <w:r>
        <w:rPr>
          <w:szCs w:val="24"/>
          <w:lang w:eastAsia="zh-CN"/>
        </w:rPr>
        <w:t xml:space="preserve"> obvyklé soudní příkaz vyžadovat.</w:t>
      </w:r>
    </w:p>
    <w:p w14:paraId="2EBD21D6" w14:textId="77777777" w:rsidR="00984E08" w:rsidRDefault="00984E08" w:rsidP="00984E08">
      <w:pPr>
        <w:spacing w:before="80"/>
        <w:rPr>
          <w:rFonts w:eastAsiaTheme="minorHAnsi"/>
          <w:b/>
          <w:bCs/>
          <w:color w:val="000000"/>
        </w:rPr>
      </w:pPr>
      <w:r>
        <w:rPr>
          <w:b/>
          <w:bCs/>
          <w:color w:val="000000"/>
        </w:rPr>
        <w:t>Úpravy v souvislosti s transpozicí CRD V a CRD VI</w:t>
      </w:r>
    </w:p>
    <w:p w14:paraId="28C7E3DD" w14:textId="3C3F953C" w:rsidR="00984E08" w:rsidRDefault="00984E08" w:rsidP="00984E08">
      <w:pPr>
        <w:spacing w:before="80"/>
        <w:rPr>
          <w:color w:val="000000"/>
        </w:rPr>
      </w:pPr>
      <w:r>
        <w:rPr>
          <w:color w:val="000000"/>
        </w:rPr>
        <w:t>Navrhovaná úprava transpozice CRD V </w:t>
      </w:r>
      <w:proofErr w:type="spellStart"/>
      <w:r>
        <w:rPr>
          <w:color w:val="000000"/>
        </w:rPr>
        <w:t>v</w:t>
      </w:r>
      <w:proofErr w:type="spellEnd"/>
      <w:r>
        <w:rPr>
          <w:color w:val="000000"/>
        </w:rPr>
        <w:t xml:space="preserve"> příslušných ustanoveních </w:t>
      </w:r>
      <w:proofErr w:type="spellStart"/>
      <w:r>
        <w:rPr>
          <w:color w:val="000000"/>
        </w:rPr>
        <w:t>ZoB</w:t>
      </w:r>
      <w:proofErr w:type="spellEnd"/>
      <w:r>
        <w:rPr>
          <w:color w:val="000000"/>
        </w:rPr>
        <w:t xml:space="preserve"> a ZSÚD má za cíl zpřesnit jakým způsobem má Česká národní banka vykonávat pravomoc spočívající v ukládání opatření k nápravě povinným osobám a zároveň rozšířit spektrum opatření k nápravě, která Česká národní banka může povinné osobě uložit a rozšířit tak instrumentárium pravomocí České národní banky v případě, kdy je porušen zákon.</w:t>
      </w:r>
    </w:p>
    <w:p w14:paraId="177D55F3" w14:textId="77777777" w:rsidR="00984E08" w:rsidRDefault="00984E08" w:rsidP="00984E08">
      <w:pPr>
        <w:spacing w:before="80"/>
        <w:rPr>
          <w:color w:val="000000"/>
        </w:rPr>
      </w:pPr>
      <w:r>
        <w:rPr>
          <w:color w:val="000000"/>
        </w:rPr>
        <w:t xml:space="preserve">Co se týče úpravy transpozice CRD VI v příslušných ustanoveních </w:t>
      </w:r>
      <w:proofErr w:type="spellStart"/>
      <w:r>
        <w:rPr>
          <w:color w:val="000000"/>
        </w:rPr>
        <w:t>ZoB</w:t>
      </w:r>
      <w:proofErr w:type="spellEnd"/>
      <w:r>
        <w:rPr>
          <w:color w:val="000000"/>
        </w:rPr>
        <w:t xml:space="preserve"> a ZSÚD v oblasti celkového ročního čistého obratu, tato cílí na zpřesnění určování výše sankce, kterou Česká národní banka může povinné osobě za porušení právní povinnosti uložit.</w:t>
      </w:r>
    </w:p>
    <w:p w14:paraId="5B9AB454" w14:textId="4C55FB1E" w:rsidR="00133EBC" w:rsidRPr="00120E8E" w:rsidRDefault="00133EBC" w:rsidP="00535FF4">
      <w:pPr>
        <w:spacing w:before="80"/>
        <w:rPr>
          <w:bCs/>
          <w:color w:val="000000"/>
          <w:szCs w:val="24"/>
        </w:rPr>
      </w:pPr>
      <w:r w:rsidRPr="00120E8E">
        <w:rPr>
          <w:bCs/>
          <w:color w:val="000000"/>
          <w:szCs w:val="24"/>
        </w:rPr>
        <w:t xml:space="preserve">Navrhovaná právní úprava </w:t>
      </w:r>
      <w:r w:rsidRPr="00120E8E">
        <w:rPr>
          <w:color w:val="000000"/>
          <w:szCs w:val="24"/>
        </w:rPr>
        <w:t>nezakládá diskriminaci</w:t>
      </w:r>
      <w:r w:rsidRPr="00120E8E">
        <w:rPr>
          <w:bCs/>
          <w:color w:val="000000"/>
          <w:szCs w:val="24"/>
        </w:rPr>
        <w:t xml:space="preserve"> na základě pohlaví, věku, rasy, národnosti, víry nebo jiného kritéria. Všechny subjekty jsou vázány stejnými pravidly. Navrhovaná právní úprava nemá negativní dopad do vztahu rovnosti mužů a žen.</w:t>
      </w:r>
    </w:p>
    <w:p w14:paraId="464AC2C8" w14:textId="09FBEEC8" w:rsidR="00B862AC" w:rsidRPr="00120E8E" w:rsidRDefault="00B862AC" w:rsidP="00B862AC">
      <w:pPr>
        <w:pStyle w:val="Nadpis2"/>
        <w:rPr>
          <w:rFonts w:cs="Times New Roman"/>
          <w:szCs w:val="24"/>
          <w:lang w:bidi="en-US"/>
        </w:rPr>
      </w:pPr>
      <w:r w:rsidRPr="00120E8E">
        <w:rPr>
          <w:rFonts w:cs="Times New Roman"/>
          <w:szCs w:val="24"/>
          <w:lang w:bidi="en-US"/>
        </w:rPr>
        <w:t>Zhodnocení souladu navrhované právní úpravy s ústavním pořádkem České republiky</w:t>
      </w:r>
    </w:p>
    <w:p w14:paraId="21043085" w14:textId="78B03ED7" w:rsidR="002005CE" w:rsidRDefault="002005CE" w:rsidP="002005CE">
      <w:pPr>
        <w:spacing w:before="80"/>
        <w:rPr>
          <w:bCs/>
          <w:color w:val="000000"/>
          <w:szCs w:val="24"/>
        </w:rPr>
      </w:pPr>
      <w:r w:rsidRPr="00120E8E">
        <w:rPr>
          <w:bCs/>
          <w:color w:val="000000"/>
          <w:szCs w:val="24"/>
        </w:rPr>
        <w:t xml:space="preserve">Návrh zákona je v souladu s ústavním pořádkem </w:t>
      </w:r>
      <w:r w:rsidR="004854A7">
        <w:rPr>
          <w:bCs/>
          <w:color w:val="000000"/>
          <w:szCs w:val="24"/>
        </w:rPr>
        <w:t>ČR</w:t>
      </w:r>
      <w:r w:rsidRPr="00120E8E">
        <w:rPr>
          <w:bCs/>
          <w:color w:val="000000"/>
          <w:szCs w:val="24"/>
        </w:rPr>
        <w:t xml:space="preserve">. Z ústavního pořádku </w:t>
      </w:r>
      <w:r w:rsidR="004854A7">
        <w:rPr>
          <w:bCs/>
          <w:color w:val="000000"/>
          <w:szCs w:val="24"/>
        </w:rPr>
        <w:t>ČR</w:t>
      </w:r>
      <w:r w:rsidRPr="00120E8E">
        <w:rPr>
          <w:bCs/>
          <w:color w:val="000000"/>
          <w:szCs w:val="24"/>
        </w:rPr>
        <w:t xml:space="preserve"> nevyplývají specifické právní normy ústavněprávní síly dopadající na oblast kapitálových trhů.</w:t>
      </w:r>
    </w:p>
    <w:p w14:paraId="1F42176D" w14:textId="510884F3" w:rsidR="009322E8" w:rsidRPr="00120E8E" w:rsidRDefault="009322E8" w:rsidP="002005CE">
      <w:pPr>
        <w:spacing w:before="80"/>
        <w:rPr>
          <w:bCs/>
          <w:color w:val="000000"/>
          <w:szCs w:val="24"/>
        </w:rPr>
      </w:pPr>
      <w:r w:rsidRPr="00FF1C51">
        <w:rPr>
          <w:bCs/>
          <w:color w:val="000000"/>
          <w:szCs w:val="24"/>
        </w:rPr>
        <w:t xml:space="preserve">Návrh zákona respektuje ústavní postavení </w:t>
      </w:r>
      <w:r w:rsidR="00D224BD">
        <w:rPr>
          <w:bCs/>
          <w:color w:val="000000"/>
          <w:szCs w:val="24"/>
        </w:rPr>
        <w:t>ČNB</w:t>
      </w:r>
      <w:r w:rsidRPr="00FF1C51">
        <w:rPr>
          <w:bCs/>
          <w:color w:val="000000"/>
          <w:szCs w:val="24"/>
        </w:rPr>
        <w:t xml:space="preserve"> a ústavní zásadu, že do činnosti </w:t>
      </w:r>
      <w:r w:rsidR="00D224BD">
        <w:rPr>
          <w:bCs/>
          <w:color w:val="000000"/>
          <w:szCs w:val="24"/>
        </w:rPr>
        <w:t>ČNB</w:t>
      </w:r>
      <w:r w:rsidRPr="00FF1C51">
        <w:rPr>
          <w:bCs/>
          <w:color w:val="000000"/>
          <w:szCs w:val="24"/>
        </w:rPr>
        <w:t xml:space="preserve"> lze zasahovat pouze na základě zákona (čl. 98 odst. 1 Ústavy). Činí tak způsobem, který neohrožuje plnění jejího hlavního ústavně zakotveného cíle, péče o cenovou stabilitu.</w:t>
      </w:r>
    </w:p>
    <w:p w14:paraId="715D9130" w14:textId="333F803C" w:rsidR="005A04B3" w:rsidRPr="00120E8E" w:rsidRDefault="005A04B3" w:rsidP="005A04B3">
      <w:pPr>
        <w:pStyle w:val="Nadpis2"/>
        <w:rPr>
          <w:rFonts w:cs="Times New Roman"/>
          <w:szCs w:val="24"/>
        </w:rPr>
      </w:pPr>
      <w:r w:rsidRPr="00120E8E">
        <w:rPr>
          <w:rFonts w:cs="Times New Roman"/>
          <w:szCs w:val="24"/>
        </w:rPr>
        <w:t xml:space="preserve">Zhodnocení </w:t>
      </w:r>
      <w:r w:rsidR="00F25757" w:rsidRPr="00120E8E">
        <w:rPr>
          <w:rFonts w:cs="Times New Roman"/>
          <w:szCs w:val="24"/>
        </w:rPr>
        <w:t>slučitelnosti</w:t>
      </w:r>
      <w:r w:rsidRPr="00120E8E">
        <w:rPr>
          <w:rFonts w:cs="Times New Roman"/>
          <w:szCs w:val="24"/>
        </w:rPr>
        <w:t xml:space="preserve"> navrhované právní úpravy s předpisy Evropské unie, judikaturou soudních orgánů EU nebo obecnými právními zásadami práva EU, popřípadě i s legislativními záměry a s návrhy předpisů EU</w:t>
      </w:r>
    </w:p>
    <w:p w14:paraId="6BC6E8E1" w14:textId="67102807" w:rsidR="00BC1B70" w:rsidRDefault="002005CE" w:rsidP="00D13AC1">
      <w:pPr>
        <w:rPr>
          <w:szCs w:val="24"/>
          <w:lang w:val="af-ZA" w:eastAsia="zh-CN"/>
        </w:rPr>
      </w:pPr>
      <w:r w:rsidRPr="00120E8E">
        <w:rPr>
          <w:bCs/>
          <w:color w:val="000000"/>
          <w:szCs w:val="24"/>
        </w:rPr>
        <w:t xml:space="preserve">Návrh zákona je v souladu s právními předpisy EU. Navrhovaná právní úprava je implementací </w:t>
      </w:r>
      <w:proofErr w:type="spellStart"/>
      <w:r w:rsidRPr="00120E8E">
        <w:rPr>
          <w:bCs/>
          <w:color w:val="000000"/>
          <w:szCs w:val="24"/>
        </w:rPr>
        <w:t>Listing</w:t>
      </w:r>
      <w:proofErr w:type="spellEnd"/>
      <w:r w:rsidRPr="00120E8E">
        <w:rPr>
          <w:bCs/>
          <w:color w:val="000000"/>
          <w:szCs w:val="24"/>
        </w:rPr>
        <w:t xml:space="preserve"> </w:t>
      </w:r>
      <w:proofErr w:type="spellStart"/>
      <w:r w:rsidRPr="00120E8E">
        <w:rPr>
          <w:bCs/>
          <w:color w:val="000000"/>
          <w:szCs w:val="24"/>
        </w:rPr>
        <w:t>Act</w:t>
      </w:r>
      <w:proofErr w:type="spellEnd"/>
      <w:r w:rsidRPr="00120E8E">
        <w:rPr>
          <w:bCs/>
          <w:color w:val="000000"/>
          <w:szCs w:val="24"/>
        </w:rPr>
        <w:t xml:space="preserve"> balíčku, konkrétně směrnice </w:t>
      </w:r>
      <w:proofErr w:type="spellStart"/>
      <w:r w:rsidR="0042154C" w:rsidRPr="00120E8E">
        <w:rPr>
          <w:bCs/>
          <w:color w:val="000000"/>
          <w:szCs w:val="24"/>
        </w:rPr>
        <w:t>Listing</w:t>
      </w:r>
      <w:proofErr w:type="spellEnd"/>
      <w:r w:rsidR="0042154C" w:rsidRPr="00120E8E">
        <w:rPr>
          <w:bCs/>
          <w:color w:val="000000"/>
          <w:szCs w:val="24"/>
        </w:rPr>
        <w:t xml:space="preserve"> </w:t>
      </w:r>
      <w:proofErr w:type="spellStart"/>
      <w:r w:rsidR="0042154C" w:rsidRPr="00120E8E">
        <w:rPr>
          <w:bCs/>
          <w:color w:val="000000"/>
          <w:szCs w:val="24"/>
        </w:rPr>
        <w:t>Act</w:t>
      </w:r>
      <w:proofErr w:type="spellEnd"/>
      <w:r w:rsidR="0042154C" w:rsidRPr="00120E8E">
        <w:rPr>
          <w:bCs/>
          <w:color w:val="000000"/>
          <w:szCs w:val="24"/>
        </w:rPr>
        <w:t xml:space="preserve"> balíčku </w:t>
      </w:r>
      <w:r w:rsidRPr="00120E8E">
        <w:rPr>
          <w:bCs/>
          <w:color w:val="000000"/>
          <w:szCs w:val="24"/>
        </w:rPr>
        <w:t>(kterou je potřeba transponovat do</w:t>
      </w:r>
      <w:r w:rsidR="005618ED" w:rsidRPr="00120E8E">
        <w:rPr>
          <w:bCs/>
          <w:color w:val="000000"/>
          <w:szCs w:val="24"/>
        </w:rPr>
        <w:t> </w:t>
      </w:r>
      <w:r w:rsidRPr="00120E8E">
        <w:rPr>
          <w:bCs/>
          <w:color w:val="000000"/>
          <w:szCs w:val="24"/>
        </w:rPr>
        <w:t>českého práva do 6. června 2026)</w:t>
      </w:r>
      <w:r w:rsidR="00B84803" w:rsidRPr="00120E8E">
        <w:rPr>
          <w:bCs/>
          <w:color w:val="000000"/>
          <w:szCs w:val="24"/>
        </w:rPr>
        <w:t>,</w:t>
      </w:r>
      <w:r w:rsidRPr="00120E8E">
        <w:rPr>
          <w:bCs/>
          <w:color w:val="000000"/>
          <w:szCs w:val="24"/>
        </w:rPr>
        <w:t xml:space="preserve"> </w:t>
      </w:r>
      <w:r w:rsidR="00B84803" w:rsidRPr="00120E8E">
        <w:rPr>
          <w:bCs/>
          <w:color w:val="000000"/>
          <w:szCs w:val="24"/>
        </w:rPr>
        <w:t>nařízení</w:t>
      </w:r>
      <w:r w:rsidRPr="00120E8E">
        <w:rPr>
          <w:bCs/>
          <w:color w:val="000000"/>
          <w:szCs w:val="24"/>
        </w:rPr>
        <w:t xml:space="preserve"> </w:t>
      </w:r>
      <w:proofErr w:type="spellStart"/>
      <w:r w:rsidR="0042154C" w:rsidRPr="00120E8E">
        <w:rPr>
          <w:bCs/>
          <w:color w:val="000000"/>
          <w:szCs w:val="24"/>
        </w:rPr>
        <w:t>Listing</w:t>
      </w:r>
      <w:proofErr w:type="spellEnd"/>
      <w:r w:rsidR="0042154C" w:rsidRPr="00120E8E">
        <w:rPr>
          <w:bCs/>
          <w:color w:val="000000"/>
          <w:szCs w:val="24"/>
        </w:rPr>
        <w:t xml:space="preserve"> </w:t>
      </w:r>
      <w:proofErr w:type="spellStart"/>
      <w:r w:rsidR="0042154C" w:rsidRPr="00120E8E">
        <w:rPr>
          <w:bCs/>
          <w:color w:val="000000"/>
          <w:szCs w:val="24"/>
        </w:rPr>
        <w:t>Act</w:t>
      </w:r>
      <w:proofErr w:type="spellEnd"/>
      <w:r w:rsidR="0042154C" w:rsidRPr="00120E8E">
        <w:rPr>
          <w:bCs/>
          <w:color w:val="000000"/>
          <w:szCs w:val="24"/>
        </w:rPr>
        <w:t xml:space="preserve"> balíčku </w:t>
      </w:r>
      <w:r w:rsidRPr="00120E8E">
        <w:rPr>
          <w:bCs/>
          <w:color w:val="000000"/>
          <w:szCs w:val="24"/>
        </w:rPr>
        <w:t xml:space="preserve">a </w:t>
      </w:r>
      <w:r w:rsidR="005618ED" w:rsidRPr="00120E8E">
        <w:rPr>
          <w:bCs/>
          <w:color w:val="000000"/>
          <w:szCs w:val="24"/>
        </w:rPr>
        <w:t xml:space="preserve">směrnicí </w:t>
      </w:r>
      <w:r w:rsidR="00D13AC1" w:rsidRPr="00120E8E">
        <w:rPr>
          <w:szCs w:val="24"/>
          <w:lang w:val="af-ZA" w:eastAsia="zh-CN"/>
        </w:rPr>
        <w:t>MVSD</w:t>
      </w:r>
      <w:r w:rsidRPr="00120E8E">
        <w:rPr>
          <w:szCs w:val="24"/>
          <w:lang w:val="af-ZA" w:eastAsia="zh-CN"/>
        </w:rPr>
        <w:t xml:space="preserve"> (</w:t>
      </w:r>
      <w:r w:rsidR="001C6F9C" w:rsidRPr="00120E8E">
        <w:rPr>
          <w:szCs w:val="24"/>
          <w:lang w:val="af-ZA" w:eastAsia="zh-CN"/>
        </w:rPr>
        <w:t>kterou je</w:t>
      </w:r>
      <w:r w:rsidR="00C54BB6" w:rsidRPr="00120E8E">
        <w:rPr>
          <w:szCs w:val="24"/>
          <w:lang w:val="af-ZA" w:eastAsia="zh-CN"/>
        </w:rPr>
        <w:t> </w:t>
      </w:r>
      <w:r w:rsidR="001C6F9C" w:rsidRPr="00120E8E">
        <w:rPr>
          <w:szCs w:val="24"/>
          <w:lang w:val="af-ZA" w:eastAsia="zh-CN"/>
        </w:rPr>
        <w:t>potřeba transponovat do českého práva do 5. prosince 2026</w:t>
      </w:r>
      <w:r w:rsidRPr="00120E8E">
        <w:rPr>
          <w:szCs w:val="24"/>
          <w:lang w:val="af-ZA" w:eastAsia="zh-CN"/>
        </w:rPr>
        <w:t>)</w:t>
      </w:r>
      <w:r w:rsidR="00D13AC1" w:rsidRPr="00120E8E">
        <w:rPr>
          <w:szCs w:val="24"/>
          <w:lang w:val="af-ZA" w:eastAsia="zh-CN"/>
        </w:rPr>
        <w:t>.</w:t>
      </w:r>
      <w:r w:rsidRPr="00120E8E">
        <w:rPr>
          <w:szCs w:val="24"/>
          <w:lang w:val="af-ZA" w:eastAsia="zh-CN"/>
        </w:rPr>
        <w:t xml:space="preserve"> Dále uvádí české právo do</w:t>
      </w:r>
      <w:r w:rsidR="00C54BB6" w:rsidRPr="00120E8E">
        <w:rPr>
          <w:szCs w:val="24"/>
          <w:lang w:val="af-ZA" w:eastAsia="zh-CN"/>
        </w:rPr>
        <w:t> </w:t>
      </w:r>
      <w:r w:rsidRPr="00120E8E">
        <w:rPr>
          <w:szCs w:val="24"/>
          <w:lang w:val="af-ZA" w:eastAsia="zh-CN"/>
        </w:rPr>
        <w:t>souladu s</w:t>
      </w:r>
      <w:r w:rsidR="00A16A78" w:rsidRPr="00120E8E">
        <w:rPr>
          <w:szCs w:val="24"/>
          <w:lang w:val="af-ZA" w:eastAsia="zh-CN"/>
        </w:rPr>
        <w:t>e</w:t>
      </w:r>
      <w:r w:rsidR="00B84803" w:rsidRPr="00120E8E">
        <w:rPr>
          <w:szCs w:val="24"/>
          <w:lang w:val="af-ZA" w:eastAsia="zh-CN"/>
        </w:rPr>
        <w:t xml:space="preserve"> směrnicí </w:t>
      </w:r>
      <w:r w:rsidRPr="00120E8E">
        <w:rPr>
          <w:szCs w:val="24"/>
          <w:lang w:val="af-ZA" w:eastAsia="zh-CN"/>
        </w:rPr>
        <w:t>EMIR</w:t>
      </w:r>
      <w:r w:rsidR="00B84803" w:rsidRPr="00120E8E">
        <w:rPr>
          <w:szCs w:val="24"/>
          <w:lang w:val="af-ZA" w:eastAsia="zh-CN"/>
        </w:rPr>
        <w:t xml:space="preserve"> 3</w:t>
      </w:r>
      <w:r w:rsidR="005618ED" w:rsidRPr="00120E8E">
        <w:rPr>
          <w:szCs w:val="24"/>
          <w:lang w:val="af-ZA" w:eastAsia="zh-CN"/>
        </w:rPr>
        <w:t>, kter</w:t>
      </w:r>
      <w:r w:rsidR="00A16A78" w:rsidRPr="00120E8E">
        <w:rPr>
          <w:szCs w:val="24"/>
          <w:lang w:val="af-ZA" w:eastAsia="zh-CN"/>
        </w:rPr>
        <w:t>o</w:t>
      </w:r>
      <w:r w:rsidR="005618ED" w:rsidRPr="00120E8E">
        <w:rPr>
          <w:szCs w:val="24"/>
          <w:lang w:val="af-ZA" w:eastAsia="zh-CN"/>
        </w:rPr>
        <w:t>u je třeba do právního řádu Č</w:t>
      </w:r>
      <w:r w:rsidR="00A16A78" w:rsidRPr="00120E8E">
        <w:rPr>
          <w:szCs w:val="24"/>
          <w:lang w:val="af-ZA" w:eastAsia="zh-CN"/>
        </w:rPr>
        <w:t>R</w:t>
      </w:r>
      <w:r w:rsidR="005618ED" w:rsidRPr="00120E8E">
        <w:rPr>
          <w:szCs w:val="24"/>
          <w:lang w:val="af-ZA" w:eastAsia="zh-CN"/>
        </w:rPr>
        <w:t xml:space="preserve"> transponovat do 25. června 202</w:t>
      </w:r>
      <w:r w:rsidR="007F171B" w:rsidRPr="00120E8E">
        <w:rPr>
          <w:szCs w:val="24"/>
          <w:lang w:val="af-ZA" w:eastAsia="zh-CN"/>
        </w:rPr>
        <w:t>6</w:t>
      </w:r>
      <w:r w:rsidRPr="00120E8E">
        <w:rPr>
          <w:szCs w:val="24"/>
          <w:lang w:val="af-ZA" w:eastAsia="zh-CN"/>
        </w:rPr>
        <w:t>.</w:t>
      </w:r>
      <w:r w:rsidR="00A336E8">
        <w:rPr>
          <w:szCs w:val="24"/>
          <w:lang w:val="af-ZA" w:eastAsia="zh-CN"/>
        </w:rPr>
        <w:t xml:space="preserve"> Návrhem zákona bude také zajištěn soulad české právní úpravy se směrnicí CRD</w:t>
      </w:r>
      <w:r w:rsidR="00EE7781">
        <w:rPr>
          <w:szCs w:val="24"/>
          <w:lang w:val="af-ZA" w:eastAsia="zh-CN"/>
        </w:rPr>
        <w:t xml:space="preserve"> </w:t>
      </w:r>
      <w:r w:rsidR="00A336E8">
        <w:rPr>
          <w:szCs w:val="24"/>
          <w:lang w:val="af-ZA" w:eastAsia="zh-CN"/>
        </w:rPr>
        <w:t>V a</w:t>
      </w:r>
      <w:r w:rsidR="00026AAB">
        <w:rPr>
          <w:szCs w:val="24"/>
          <w:lang w:val="af-ZA" w:eastAsia="zh-CN"/>
        </w:rPr>
        <w:t> </w:t>
      </w:r>
      <w:r w:rsidR="00A336E8">
        <w:rPr>
          <w:szCs w:val="24"/>
          <w:lang w:val="af-ZA" w:eastAsia="zh-CN"/>
        </w:rPr>
        <w:t>CRD</w:t>
      </w:r>
      <w:r w:rsidR="001A15F5">
        <w:rPr>
          <w:szCs w:val="24"/>
          <w:lang w:val="af-ZA" w:eastAsia="zh-CN"/>
        </w:rPr>
        <w:t xml:space="preserve"> </w:t>
      </w:r>
      <w:r w:rsidR="00A336E8">
        <w:rPr>
          <w:szCs w:val="24"/>
          <w:lang w:val="af-ZA" w:eastAsia="zh-CN"/>
        </w:rPr>
        <w:t>VI</w:t>
      </w:r>
      <w:r w:rsidR="00026AAB">
        <w:rPr>
          <w:szCs w:val="24"/>
          <w:lang w:val="af-ZA" w:eastAsia="zh-CN"/>
        </w:rPr>
        <w:t xml:space="preserve"> v nejbližší možné době</w:t>
      </w:r>
      <w:r w:rsidR="00A336E8">
        <w:rPr>
          <w:szCs w:val="24"/>
          <w:lang w:val="af-ZA" w:eastAsia="zh-CN"/>
        </w:rPr>
        <w:t>.</w:t>
      </w:r>
    </w:p>
    <w:p w14:paraId="00B6A91A" w14:textId="71DC8F59" w:rsidR="009322E8" w:rsidRPr="003B30B7" w:rsidRDefault="009322E8" w:rsidP="009322E8">
      <w:pPr>
        <w:rPr>
          <w:szCs w:val="24"/>
          <w:lang w:eastAsia="zh-CN"/>
        </w:rPr>
      </w:pPr>
      <w:r w:rsidRPr="003B30B7">
        <w:rPr>
          <w:szCs w:val="24"/>
          <w:lang w:eastAsia="zh-CN"/>
        </w:rPr>
        <w:lastRenderedPageBreak/>
        <w:t xml:space="preserve">Návrh zákona </w:t>
      </w:r>
      <w:r>
        <w:rPr>
          <w:szCs w:val="24"/>
          <w:lang w:eastAsia="zh-CN"/>
        </w:rPr>
        <w:t>dále</w:t>
      </w:r>
      <w:r w:rsidRPr="003B30B7">
        <w:rPr>
          <w:szCs w:val="24"/>
          <w:lang w:eastAsia="zh-CN"/>
        </w:rPr>
        <w:t xml:space="preserve"> adaptuje </w:t>
      </w:r>
      <w:r w:rsidR="001A0B92">
        <w:rPr>
          <w:szCs w:val="24"/>
          <w:lang w:eastAsia="zh-CN"/>
        </w:rPr>
        <w:t xml:space="preserve">český právní řád na </w:t>
      </w:r>
      <w:r w:rsidRPr="003B30B7">
        <w:rPr>
          <w:szCs w:val="24"/>
          <w:lang w:eastAsia="zh-CN"/>
        </w:rPr>
        <w:t>nařízení o ESG ratingu. Nařízení o ESG ratingu je samo o sobě přímo použitelné. Dohledovým orgánem podle nařízení je Evropský orgán pro</w:t>
      </w:r>
      <w:r w:rsidR="00026AAB">
        <w:rPr>
          <w:szCs w:val="24"/>
          <w:lang w:eastAsia="zh-CN"/>
        </w:rPr>
        <w:t> </w:t>
      </w:r>
      <w:r w:rsidRPr="003B30B7">
        <w:rPr>
          <w:szCs w:val="24"/>
          <w:lang w:eastAsia="zh-CN"/>
        </w:rPr>
        <w:t>cenné papíry a trhy (ESMA).</w:t>
      </w:r>
    </w:p>
    <w:p w14:paraId="2D97C504" w14:textId="71845ABB" w:rsidR="005A04B3" w:rsidRPr="00120E8E" w:rsidRDefault="005A04B3" w:rsidP="005A04B3">
      <w:pPr>
        <w:pStyle w:val="Nadpis2"/>
        <w:rPr>
          <w:rFonts w:cs="Times New Roman"/>
          <w:szCs w:val="24"/>
        </w:rPr>
      </w:pPr>
      <w:r w:rsidRPr="00120E8E">
        <w:rPr>
          <w:rFonts w:cs="Times New Roman"/>
          <w:szCs w:val="24"/>
        </w:rPr>
        <w:t>Zhodnocení souladu navrhované právní úpravy s mezinárodními smlouvami, jimiž je Česká republika vázána</w:t>
      </w:r>
    </w:p>
    <w:p w14:paraId="7D99B463" w14:textId="7BA09C39" w:rsidR="00133EBC" w:rsidRPr="00120E8E" w:rsidRDefault="00977B0F" w:rsidP="00133EBC">
      <w:pPr>
        <w:rPr>
          <w:szCs w:val="24"/>
        </w:rPr>
      </w:pPr>
      <w:r w:rsidRPr="00120E8E">
        <w:rPr>
          <w:bCs/>
          <w:color w:val="000000" w:themeColor="text1"/>
          <w:szCs w:val="24"/>
        </w:rPr>
        <w:t>Návrh zákona je v souladu s mezinárodními smlouvami, jimiž je ČR vázána.</w:t>
      </w:r>
    </w:p>
    <w:p w14:paraId="1EFE1143" w14:textId="0DB20147" w:rsidR="00B862AC" w:rsidRPr="00120E8E" w:rsidRDefault="0053125A" w:rsidP="00D568C1">
      <w:pPr>
        <w:pStyle w:val="Nadpis2"/>
        <w:rPr>
          <w:rFonts w:cs="Times New Roman"/>
          <w:szCs w:val="24"/>
        </w:rPr>
      </w:pPr>
      <w:r w:rsidRPr="00120E8E">
        <w:rPr>
          <w:rFonts w:cs="Times New Roman"/>
          <w:szCs w:val="24"/>
        </w:rPr>
        <w:t>Předpokládaný hospodářský a finanční dopad navrhované právní úpravy na</w:t>
      </w:r>
      <w:r w:rsidR="00C54BB6" w:rsidRPr="00120E8E">
        <w:rPr>
          <w:rFonts w:cs="Times New Roman"/>
          <w:szCs w:val="24"/>
        </w:rPr>
        <w:t> </w:t>
      </w:r>
      <w:r w:rsidRPr="00120E8E">
        <w:rPr>
          <w:rFonts w:cs="Times New Roman"/>
          <w:szCs w:val="24"/>
        </w:rPr>
        <w:t>státní rozpočet, ostatní veřejné rozpočty</w:t>
      </w:r>
      <w:r w:rsidR="00B862AC" w:rsidRPr="00120E8E">
        <w:rPr>
          <w:rFonts w:cs="Times New Roman"/>
          <w:szCs w:val="24"/>
        </w:rPr>
        <w:t xml:space="preserve"> a</w:t>
      </w:r>
      <w:r w:rsidRPr="00120E8E">
        <w:rPr>
          <w:rFonts w:cs="Times New Roman"/>
          <w:szCs w:val="24"/>
        </w:rPr>
        <w:t xml:space="preserve"> na podnikatelské prostředí České republiky</w:t>
      </w:r>
    </w:p>
    <w:p w14:paraId="1859952A" w14:textId="3FBC2AE6" w:rsidR="002005CE" w:rsidRPr="00120E8E" w:rsidRDefault="002005CE" w:rsidP="00890EBD">
      <w:pPr>
        <w:rPr>
          <w:bCs/>
          <w:color w:val="000000" w:themeColor="text1"/>
          <w:szCs w:val="24"/>
        </w:rPr>
      </w:pPr>
      <w:r w:rsidRPr="00120E8E">
        <w:rPr>
          <w:bCs/>
          <w:color w:val="000000" w:themeColor="text1"/>
          <w:szCs w:val="24"/>
        </w:rPr>
        <w:t xml:space="preserve">Vzhledem k povaze navrhované právní úpravy lze předpokládat spíše mírně pozitivní hospodářský a finanční dopad. </w:t>
      </w:r>
    </w:p>
    <w:p w14:paraId="30C68DB3" w14:textId="58B3A490" w:rsidR="002005CE" w:rsidRPr="00120E8E" w:rsidRDefault="0091137B" w:rsidP="00890EBD">
      <w:pPr>
        <w:rPr>
          <w:bCs/>
          <w:color w:val="000000" w:themeColor="text1"/>
          <w:szCs w:val="24"/>
        </w:rPr>
      </w:pPr>
      <w:r w:rsidRPr="00120E8E">
        <w:rPr>
          <w:bCs/>
          <w:color w:val="000000" w:themeColor="text1"/>
          <w:szCs w:val="24"/>
        </w:rPr>
        <w:t xml:space="preserve">Návrh zákona ve svém celku, a zejména v ustanoveních implementujících </w:t>
      </w:r>
      <w:proofErr w:type="spellStart"/>
      <w:r w:rsidRPr="00120E8E">
        <w:rPr>
          <w:bCs/>
          <w:color w:val="000000" w:themeColor="text1"/>
          <w:szCs w:val="24"/>
        </w:rPr>
        <w:t>Listing</w:t>
      </w:r>
      <w:proofErr w:type="spellEnd"/>
      <w:r w:rsidRPr="00120E8E">
        <w:rPr>
          <w:bCs/>
          <w:color w:val="000000" w:themeColor="text1"/>
          <w:szCs w:val="24"/>
        </w:rPr>
        <w:t xml:space="preserve"> </w:t>
      </w:r>
      <w:proofErr w:type="spellStart"/>
      <w:r w:rsidRPr="00120E8E">
        <w:rPr>
          <w:bCs/>
          <w:color w:val="000000" w:themeColor="text1"/>
          <w:szCs w:val="24"/>
        </w:rPr>
        <w:t>Act</w:t>
      </w:r>
      <w:proofErr w:type="spellEnd"/>
      <w:r w:rsidRPr="00120E8E">
        <w:rPr>
          <w:bCs/>
          <w:color w:val="000000" w:themeColor="text1"/>
          <w:szCs w:val="24"/>
        </w:rPr>
        <w:t xml:space="preserve"> balíček, jde cestou snižování regulatorní zátěže, což by se mělo v praxi promítnout i ve snížení nákladů jak povinných subjektů, tak dohledového orgánu.</w:t>
      </w:r>
    </w:p>
    <w:p w14:paraId="014D0348" w14:textId="667E5331" w:rsidR="001C6F9C" w:rsidRPr="00120E8E" w:rsidRDefault="001C6F9C" w:rsidP="00890EBD">
      <w:pPr>
        <w:rPr>
          <w:szCs w:val="24"/>
        </w:rPr>
      </w:pPr>
      <w:r w:rsidRPr="00120E8E">
        <w:rPr>
          <w:szCs w:val="24"/>
        </w:rPr>
        <w:t>Pravidla o emitentech, kteří vydali akcie s rozdílnou vahou hlasů, posilují ochranu investorů a</w:t>
      </w:r>
      <w:r w:rsidR="00C54BB6" w:rsidRPr="00120E8E">
        <w:rPr>
          <w:szCs w:val="24"/>
        </w:rPr>
        <w:t> </w:t>
      </w:r>
      <w:r w:rsidRPr="00120E8E">
        <w:rPr>
          <w:szCs w:val="24"/>
        </w:rPr>
        <w:t>efektivitu trhu prostřednictvím zveřejňování přesných a úplných informací, měla by tak mít pozitivní dopad na podnikatelské prostředí v ČR. Stejně tak drobná úprava pravidel v zákoně o</w:t>
      </w:r>
      <w:r w:rsidR="00C54BB6" w:rsidRPr="00120E8E">
        <w:rPr>
          <w:szCs w:val="24"/>
        </w:rPr>
        <w:t> </w:t>
      </w:r>
      <w:r w:rsidRPr="00120E8E">
        <w:rPr>
          <w:szCs w:val="24"/>
        </w:rPr>
        <w:t xml:space="preserve">obchodních korporacích posiluje ochranu akcionářů společností, které vydaly akcie s rozdílnou vahou hlasů, což by mělo mít taktéž pozitivní dopady na podnikatelské prostředí </w:t>
      </w:r>
      <w:r w:rsidR="0080330A" w:rsidRPr="00120E8E">
        <w:rPr>
          <w:szCs w:val="24"/>
        </w:rPr>
        <w:t>v </w:t>
      </w:r>
      <w:r w:rsidRPr="00120E8E">
        <w:rPr>
          <w:szCs w:val="24"/>
        </w:rPr>
        <w:t xml:space="preserve">ČR. </w:t>
      </w:r>
    </w:p>
    <w:p w14:paraId="21E808C2" w14:textId="1ED7A7F8" w:rsidR="0091137B" w:rsidRPr="00120E8E" w:rsidRDefault="005618ED" w:rsidP="00890EBD">
      <w:pPr>
        <w:rPr>
          <w:szCs w:val="24"/>
        </w:rPr>
      </w:pPr>
      <w:r w:rsidRPr="00120E8E">
        <w:rPr>
          <w:szCs w:val="24"/>
        </w:rPr>
        <w:t xml:space="preserve">Směrnice EMIR přináší na rozdíl od </w:t>
      </w:r>
      <w:proofErr w:type="spellStart"/>
      <w:r w:rsidRPr="00120E8E">
        <w:rPr>
          <w:szCs w:val="24"/>
        </w:rPr>
        <w:t>Listing</w:t>
      </w:r>
      <w:proofErr w:type="spellEnd"/>
      <w:r w:rsidRPr="00120E8E">
        <w:rPr>
          <w:szCs w:val="24"/>
        </w:rPr>
        <w:t xml:space="preserve"> </w:t>
      </w:r>
      <w:proofErr w:type="spellStart"/>
      <w:r w:rsidRPr="00120E8E">
        <w:rPr>
          <w:szCs w:val="24"/>
        </w:rPr>
        <w:t>Act</w:t>
      </w:r>
      <w:proofErr w:type="spellEnd"/>
      <w:r w:rsidRPr="00120E8E">
        <w:rPr>
          <w:szCs w:val="24"/>
        </w:rPr>
        <w:t xml:space="preserve"> balíčku spíše další požadavky na subjekty, které budou podle své velikosti nucen</w:t>
      </w:r>
      <w:r w:rsidR="0080330A" w:rsidRPr="00120E8E">
        <w:rPr>
          <w:szCs w:val="24"/>
        </w:rPr>
        <w:t>y</w:t>
      </w:r>
      <w:r w:rsidRPr="00120E8E">
        <w:rPr>
          <w:szCs w:val="24"/>
        </w:rPr>
        <w:t xml:space="preserve"> přesunout část svého clearingu do EU, což povede k dodatečným nákladům a tříštění likvidity.</w:t>
      </w:r>
    </w:p>
    <w:p w14:paraId="483B8764" w14:textId="160DB487" w:rsidR="002005CE" w:rsidRPr="00120E8E" w:rsidRDefault="002005CE" w:rsidP="00977B0F">
      <w:pPr>
        <w:keepNext/>
        <w:widowControl w:val="0"/>
        <w:spacing w:before="120"/>
        <w:rPr>
          <w:bCs/>
          <w:color w:val="000000" w:themeColor="text1"/>
          <w:szCs w:val="24"/>
        </w:rPr>
      </w:pPr>
      <w:r w:rsidRPr="00120E8E">
        <w:rPr>
          <w:bCs/>
          <w:color w:val="000000" w:themeColor="text1"/>
          <w:szCs w:val="24"/>
        </w:rPr>
        <w:t>V souvislosti s přijetím návrhu zákona nejsou očekávány přímé dopady na státní rozpočet ani</w:t>
      </w:r>
      <w:r w:rsidR="003D45D2" w:rsidRPr="00120E8E">
        <w:rPr>
          <w:bCs/>
          <w:color w:val="000000" w:themeColor="text1"/>
          <w:szCs w:val="24"/>
        </w:rPr>
        <w:t> </w:t>
      </w:r>
      <w:r w:rsidRPr="00120E8E">
        <w:rPr>
          <w:bCs/>
          <w:color w:val="000000" w:themeColor="text1"/>
          <w:szCs w:val="24"/>
        </w:rPr>
        <w:t>na</w:t>
      </w:r>
      <w:r w:rsidR="00986088" w:rsidRPr="00120E8E">
        <w:rPr>
          <w:bCs/>
          <w:color w:val="000000" w:themeColor="text1"/>
          <w:szCs w:val="24"/>
        </w:rPr>
        <w:t> </w:t>
      </w:r>
      <w:r w:rsidRPr="00120E8E">
        <w:rPr>
          <w:bCs/>
          <w:color w:val="000000" w:themeColor="text1"/>
          <w:szCs w:val="24"/>
        </w:rPr>
        <w:t xml:space="preserve">rozpočet územních samosprávných celků. </w:t>
      </w:r>
    </w:p>
    <w:p w14:paraId="20712DC0" w14:textId="76A28B78" w:rsidR="003D45D2" w:rsidRDefault="003D45D2" w:rsidP="00977B0F">
      <w:pPr>
        <w:keepNext/>
        <w:widowControl w:val="0"/>
        <w:spacing w:before="120"/>
        <w:rPr>
          <w:bCs/>
          <w:color w:val="000000" w:themeColor="text1"/>
          <w:szCs w:val="24"/>
        </w:rPr>
      </w:pPr>
      <w:r w:rsidRPr="00120E8E">
        <w:rPr>
          <w:bCs/>
          <w:color w:val="000000" w:themeColor="text1"/>
          <w:szCs w:val="24"/>
        </w:rPr>
        <w:t xml:space="preserve">Vzhledem k tomu, že </w:t>
      </w:r>
      <w:r w:rsidRPr="00120E8E">
        <w:rPr>
          <w:szCs w:val="24"/>
        </w:rPr>
        <w:t xml:space="preserve">nebyla využita diskrece </w:t>
      </w:r>
      <w:r w:rsidR="00D240FF" w:rsidRPr="00120E8E">
        <w:rPr>
          <w:szCs w:val="24"/>
        </w:rPr>
        <w:t xml:space="preserve">v nařízení </w:t>
      </w:r>
      <w:proofErr w:type="spellStart"/>
      <w:r w:rsidR="00D240FF" w:rsidRPr="00120E8E">
        <w:rPr>
          <w:szCs w:val="24"/>
        </w:rPr>
        <w:t>Listing</w:t>
      </w:r>
      <w:proofErr w:type="spellEnd"/>
      <w:r w:rsidR="00D240FF" w:rsidRPr="00120E8E">
        <w:rPr>
          <w:szCs w:val="24"/>
        </w:rPr>
        <w:t xml:space="preserve"> </w:t>
      </w:r>
      <w:proofErr w:type="spellStart"/>
      <w:r w:rsidR="00D240FF" w:rsidRPr="00120E8E">
        <w:rPr>
          <w:szCs w:val="24"/>
        </w:rPr>
        <w:t>Act</w:t>
      </w:r>
      <w:proofErr w:type="spellEnd"/>
      <w:r w:rsidR="00D240FF" w:rsidRPr="00120E8E">
        <w:rPr>
          <w:szCs w:val="24"/>
        </w:rPr>
        <w:t xml:space="preserve"> balíčku </w:t>
      </w:r>
      <w:r w:rsidRPr="00120E8E">
        <w:rPr>
          <w:szCs w:val="24"/>
        </w:rPr>
        <w:t>připojit se</w:t>
      </w:r>
      <w:r w:rsidR="00D240FF" w:rsidRPr="00120E8E">
        <w:rPr>
          <w:szCs w:val="24"/>
        </w:rPr>
        <w:t> </w:t>
      </w:r>
      <w:r w:rsidRPr="00120E8E">
        <w:rPr>
          <w:szCs w:val="24"/>
        </w:rPr>
        <w:t xml:space="preserve">k tzv. </w:t>
      </w:r>
      <w:r w:rsidR="00D240FF" w:rsidRPr="00120E8E">
        <w:rPr>
          <w:szCs w:val="24"/>
        </w:rPr>
        <w:t> </w:t>
      </w:r>
      <w:r w:rsidRPr="00120E8E">
        <w:rPr>
          <w:szCs w:val="24"/>
        </w:rPr>
        <w:t>mechanismus pro výměnu údajů o příkazech (též „</w:t>
      </w:r>
      <w:r w:rsidRPr="00120E8E">
        <w:rPr>
          <w:b/>
          <w:bCs/>
          <w:i/>
          <w:iCs/>
          <w:szCs w:val="24"/>
        </w:rPr>
        <w:t>CMOBS</w:t>
      </w:r>
      <w:r w:rsidRPr="00120E8E">
        <w:rPr>
          <w:szCs w:val="24"/>
        </w:rPr>
        <w:t>“),</w:t>
      </w:r>
      <w:r w:rsidRPr="00120E8E">
        <w:rPr>
          <w:bCs/>
          <w:color w:val="000000" w:themeColor="text1"/>
          <w:szCs w:val="24"/>
        </w:rPr>
        <w:t xml:space="preserve"> neočekává se ani přímá finanční zátěž pro ČNB.</w:t>
      </w:r>
    </w:p>
    <w:p w14:paraId="54CD72AA" w14:textId="4A3E9835" w:rsidR="009322E8" w:rsidRPr="009322E8" w:rsidRDefault="009322E8" w:rsidP="00977B0F">
      <w:pPr>
        <w:keepNext/>
        <w:widowControl w:val="0"/>
        <w:spacing w:before="120"/>
        <w:rPr>
          <w:color w:val="000000" w:themeColor="text1"/>
        </w:rPr>
      </w:pPr>
      <w:r w:rsidRPr="36979622">
        <w:rPr>
          <w:color w:val="000000" w:themeColor="text1"/>
        </w:rPr>
        <w:t>Přímá finanční zátěž ČNB nevznikne ani z navržené role jako příslušný orgán podle nařízení o</w:t>
      </w:r>
      <w:r>
        <w:rPr>
          <w:color w:val="000000" w:themeColor="text1"/>
        </w:rPr>
        <w:t> </w:t>
      </w:r>
      <w:r w:rsidRPr="36979622">
        <w:rPr>
          <w:color w:val="000000" w:themeColor="text1"/>
        </w:rPr>
        <w:t xml:space="preserve">ESG ratingu. Dohledovým orgánem podle nařízení o ESG ratingu je ESMA. Na ČNB jako na příslušný orgán mohou být ze strany ESMA přeneseny konkrétní dohledové úkoly, za jejich výkon ale ESMA poskytne ČNB náhradu nákladů. Obdobně je situace řešena v regulačním rámci zřízeném nařízení </w:t>
      </w:r>
      <w:r w:rsidR="00C42E08">
        <w:rPr>
          <w:color w:val="000000" w:themeColor="text1"/>
        </w:rPr>
        <w:t>CRA</w:t>
      </w:r>
      <w:r w:rsidRPr="36979622">
        <w:rPr>
          <w:color w:val="000000" w:themeColor="text1"/>
        </w:rPr>
        <w:t>.</w:t>
      </w:r>
    </w:p>
    <w:p w14:paraId="12C6104C" w14:textId="5B979E2F" w:rsidR="00B862AC" w:rsidRPr="00120E8E" w:rsidRDefault="00B862AC" w:rsidP="00B862AC">
      <w:pPr>
        <w:pStyle w:val="Nadpis2"/>
        <w:rPr>
          <w:rFonts w:cs="Times New Roman"/>
          <w:szCs w:val="24"/>
        </w:rPr>
      </w:pPr>
      <w:r w:rsidRPr="00120E8E">
        <w:rPr>
          <w:rFonts w:cs="Times New Roman"/>
          <w:szCs w:val="24"/>
        </w:rPr>
        <w:t>Zhodnocení sociálních dopadů, včetně dopadů na specifické skupiny obyvatel, zejména osoby sociálně slabé, osoby se zdravotním postižením a národnostní menšiny, dopadů na ochranu práv dětí a dopadů na životní prostředí</w:t>
      </w:r>
    </w:p>
    <w:p w14:paraId="7C28702A" w14:textId="5C7FF884" w:rsidR="001244A1" w:rsidRPr="00120E8E" w:rsidRDefault="001244A1" w:rsidP="001244A1">
      <w:pPr>
        <w:rPr>
          <w:szCs w:val="24"/>
        </w:rPr>
      </w:pPr>
      <w:r w:rsidRPr="00120E8E">
        <w:rPr>
          <w:bCs/>
          <w:color w:val="000000" w:themeColor="text1"/>
          <w:szCs w:val="24"/>
        </w:rPr>
        <w:t xml:space="preserve">Navrhovaná právní úprava nebude mít </w:t>
      </w:r>
      <w:r w:rsidR="005618ED" w:rsidRPr="00120E8E">
        <w:rPr>
          <w:bCs/>
          <w:color w:val="000000" w:themeColor="text1"/>
          <w:szCs w:val="24"/>
        </w:rPr>
        <w:t xml:space="preserve">negativní </w:t>
      </w:r>
      <w:r w:rsidRPr="00120E8E">
        <w:rPr>
          <w:bCs/>
          <w:color w:val="000000" w:themeColor="text1"/>
          <w:szCs w:val="24"/>
        </w:rPr>
        <w:t xml:space="preserve">sociální dopady, protože necílí na žádné specifické skupiny obyvatel. </w:t>
      </w:r>
      <w:r w:rsidR="005618ED" w:rsidRPr="00120E8E">
        <w:rPr>
          <w:bCs/>
          <w:color w:val="000000" w:themeColor="text1"/>
          <w:szCs w:val="24"/>
        </w:rPr>
        <w:t xml:space="preserve">Měla by mít pozitivní dopady na osoby, které jsou </w:t>
      </w:r>
      <w:r w:rsidR="0009429B" w:rsidRPr="00120E8E">
        <w:rPr>
          <w:bCs/>
          <w:color w:val="000000" w:themeColor="text1"/>
          <w:szCs w:val="24"/>
        </w:rPr>
        <w:t>snáze</w:t>
      </w:r>
      <w:r w:rsidR="005618ED" w:rsidRPr="00120E8E">
        <w:rPr>
          <w:bCs/>
          <w:color w:val="000000" w:themeColor="text1"/>
          <w:szCs w:val="24"/>
        </w:rPr>
        <w:t xml:space="preserve"> </w:t>
      </w:r>
      <w:r w:rsidR="005618ED" w:rsidRPr="00120E8E">
        <w:rPr>
          <w:bCs/>
          <w:color w:val="000000" w:themeColor="text1"/>
          <w:szCs w:val="24"/>
        </w:rPr>
        <w:lastRenderedPageBreak/>
        <w:t>manipulovatelné</w:t>
      </w:r>
      <w:r w:rsidR="00582127">
        <w:rPr>
          <w:bCs/>
          <w:color w:val="000000" w:themeColor="text1"/>
          <w:szCs w:val="24"/>
        </w:rPr>
        <w:t>, neboť d</w:t>
      </w:r>
      <w:r w:rsidR="005618ED" w:rsidRPr="00120E8E">
        <w:rPr>
          <w:bCs/>
          <w:color w:val="000000" w:themeColor="text1"/>
          <w:szCs w:val="24"/>
        </w:rPr>
        <w:t>íky v</w:t>
      </w:r>
      <w:r w:rsidR="0009429B" w:rsidRPr="00120E8E">
        <w:rPr>
          <w:bCs/>
          <w:color w:val="000000" w:themeColor="text1"/>
          <w:szCs w:val="24"/>
        </w:rPr>
        <w:t>a</w:t>
      </w:r>
      <w:r w:rsidR="005618ED" w:rsidRPr="00120E8E">
        <w:rPr>
          <w:bCs/>
          <w:color w:val="000000" w:themeColor="text1"/>
          <w:szCs w:val="24"/>
        </w:rPr>
        <w:t xml:space="preserve">rování při propagaci dluhopisů by měla být snížena praxe, kdy jsou tyto dluhopisy nabízeni bez ohledu na investiční profil investora. </w:t>
      </w:r>
      <w:r w:rsidRPr="00120E8E">
        <w:rPr>
          <w:bCs/>
          <w:color w:val="000000" w:themeColor="text1"/>
          <w:szCs w:val="24"/>
        </w:rPr>
        <w:t>U navrhované právní úpravy se nepředpokládá dopad na životní prostředí, protože neobsahuje žádná specifická pravidla, která by cílila na životní prostředí.</w:t>
      </w:r>
    </w:p>
    <w:p w14:paraId="5FF0F833" w14:textId="21510DE6" w:rsidR="00F25757" w:rsidRPr="00120E8E" w:rsidRDefault="00F25757" w:rsidP="00F25757">
      <w:pPr>
        <w:pStyle w:val="Nadpis2"/>
        <w:rPr>
          <w:rFonts w:cs="Times New Roman"/>
          <w:szCs w:val="24"/>
        </w:rPr>
      </w:pPr>
      <w:r w:rsidRPr="00120E8E">
        <w:rPr>
          <w:rFonts w:cs="Times New Roman"/>
          <w:szCs w:val="24"/>
        </w:rPr>
        <w:t>Zhodnocení dopadů navrhovaného řešení ve vztahu k ochraně soukromí a</w:t>
      </w:r>
      <w:r w:rsidR="00673784" w:rsidRPr="00120E8E">
        <w:rPr>
          <w:rFonts w:cs="Times New Roman"/>
          <w:szCs w:val="24"/>
        </w:rPr>
        <w:t> </w:t>
      </w:r>
      <w:r w:rsidRPr="00120E8E">
        <w:rPr>
          <w:rFonts w:cs="Times New Roman"/>
          <w:szCs w:val="24"/>
        </w:rPr>
        <w:t>osobních údajů</w:t>
      </w:r>
    </w:p>
    <w:p w14:paraId="3D8EEF7F" w14:textId="4E5D8AC5" w:rsidR="001244A1" w:rsidRPr="00120E8E" w:rsidRDefault="001244A1" w:rsidP="001244A1">
      <w:pPr>
        <w:keepNext/>
        <w:widowControl w:val="0"/>
        <w:spacing w:before="120"/>
        <w:rPr>
          <w:bCs/>
          <w:color w:val="000000" w:themeColor="text1"/>
          <w:szCs w:val="24"/>
        </w:rPr>
      </w:pPr>
      <w:r w:rsidRPr="00120E8E">
        <w:rPr>
          <w:bCs/>
          <w:color w:val="000000" w:themeColor="text1"/>
          <w:szCs w:val="24"/>
        </w:rPr>
        <w:t>Návrh zákona nebude mít žádné dopady ve vztahu k ochraně soukromí a osobních údajů, protože nezavádí žádné nové</w:t>
      </w:r>
      <w:r w:rsidR="00226BE7">
        <w:rPr>
          <w:bCs/>
          <w:color w:val="000000" w:themeColor="text1"/>
          <w:szCs w:val="24"/>
        </w:rPr>
        <w:t>, ani neměnní stávající,</w:t>
      </w:r>
      <w:r w:rsidRPr="00120E8E">
        <w:rPr>
          <w:bCs/>
          <w:color w:val="000000" w:themeColor="text1"/>
          <w:szCs w:val="24"/>
        </w:rPr>
        <w:t xml:space="preserve"> zpracování osobních údajů. </w:t>
      </w:r>
    </w:p>
    <w:p w14:paraId="49CF9A12" w14:textId="38B557ED" w:rsidR="00B862AC" w:rsidRPr="00120E8E" w:rsidRDefault="00B862AC" w:rsidP="00B862AC">
      <w:pPr>
        <w:pStyle w:val="Nadpis2"/>
        <w:keepNext w:val="0"/>
        <w:keepLines w:val="0"/>
        <w:rPr>
          <w:rFonts w:cs="Times New Roman"/>
          <w:szCs w:val="24"/>
        </w:rPr>
      </w:pPr>
      <w:r w:rsidRPr="00120E8E">
        <w:rPr>
          <w:rFonts w:cs="Times New Roman"/>
          <w:szCs w:val="24"/>
        </w:rPr>
        <w:t>Zhodnocení korupčních rizi</w:t>
      </w:r>
      <w:r w:rsidR="001244A1" w:rsidRPr="00120E8E">
        <w:rPr>
          <w:rFonts w:cs="Times New Roman"/>
          <w:szCs w:val="24"/>
        </w:rPr>
        <w:t>k</w:t>
      </w:r>
    </w:p>
    <w:p w14:paraId="49229C0F" w14:textId="4E70F4E9" w:rsidR="001244A1" w:rsidRPr="00120E8E" w:rsidRDefault="001244A1" w:rsidP="001244A1">
      <w:pPr>
        <w:keepNext/>
        <w:widowControl w:val="0"/>
        <w:spacing w:before="120"/>
        <w:rPr>
          <w:bCs/>
          <w:color w:val="000000" w:themeColor="text1"/>
          <w:szCs w:val="24"/>
        </w:rPr>
      </w:pPr>
      <w:r w:rsidRPr="00120E8E">
        <w:rPr>
          <w:bCs/>
          <w:color w:val="000000" w:themeColor="text1"/>
          <w:szCs w:val="24"/>
        </w:rPr>
        <w:t xml:space="preserve">V rámci postupu CIA zpracovatelé návrhu zákona dospěli k závěru, že právní úprava žádným způsobem neusnadňuje korupční jednání a ani neznesnadňuje jeho odhalování. U navrhované právní úpravy se tak nepředpokládá vznik nových ani změna existujících korupčních rizik. </w:t>
      </w:r>
    </w:p>
    <w:p w14:paraId="15B07C75" w14:textId="1507909A" w:rsidR="00B862AC" w:rsidRPr="00120E8E" w:rsidRDefault="00B862AC" w:rsidP="00B862AC">
      <w:pPr>
        <w:pStyle w:val="Nadpis2"/>
        <w:keepLines w:val="0"/>
        <w:ind w:left="924" w:hanging="357"/>
        <w:rPr>
          <w:rFonts w:cs="Times New Roman"/>
          <w:szCs w:val="24"/>
        </w:rPr>
      </w:pPr>
      <w:r w:rsidRPr="00120E8E">
        <w:rPr>
          <w:rFonts w:cs="Times New Roman"/>
          <w:szCs w:val="24"/>
        </w:rPr>
        <w:t>Zhodnocení dopadů na bezpečnost nebo obranu státu</w:t>
      </w:r>
    </w:p>
    <w:p w14:paraId="5E431758" w14:textId="50660A80" w:rsidR="00994237" w:rsidRPr="00120E8E" w:rsidRDefault="00994237" w:rsidP="00994237">
      <w:pPr>
        <w:keepNext/>
        <w:widowControl w:val="0"/>
        <w:spacing w:before="120"/>
        <w:rPr>
          <w:bCs/>
          <w:color w:val="000000" w:themeColor="text1"/>
          <w:szCs w:val="24"/>
        </w:rPr>
      </w:pPr>
      <w:r w:rsidRPr="00120E8E">
        <w:rPr>
          <w:bCs/>
          <w:color w:val="000000" w:themeColor="text1"/>
          <w:szCs w:val="24"/>
        </w:rPr>
        <w:t xml:space="preserve">U navrhované právní úpravy se nepředpokládá žádný dopad na bezpečnost nebo na obranu státu. </w:t>
      </w:r>
    </w:p>
    <w:p w14:paraId="5D289446" w14:textId="36152650" w:rsidR="00994237" w:rsidRPr="00120E8E" w:rsidRDefault="00B862AC" w:rsidP="00994237">
      <w:pPr>
        <w:pStyle w:val="Nadpis2"/>
        <w:keepNext w:val="0"/>
        <w:keepLines w:val="0"/>
        <w:rPr>
          <w:rFonts w:cs="Times New Roman"/>
          <w:szCs w:val="24"/>
        </w:rPr>
      </w:pPr>
      <w:r w:rsidRPr="00120E8E">
        <w:rPr>
          <w:rFonts w:cs="Times New Roman"/>
          <w:szCs w:val="24"/>
        </w:rPr>
        <w:t>Zhodnocení dopadů na rodiny</w:t>
      </w:r>
    </w:p>
    <w:p w14:paraId="646B9FF4" w14:textId="6E7759EE" w:rsidR="00994237" w:rsidRPr="00120E8E" w:rsidRDefault="00994237" w:rsidP="00994237">
      <w:pPr>
        <w:keepNext/>
        <w:widowControl w:val="0"/>
        <w:spacing w:before="120"/>
        <w:rPr>
          <w:bCs/>
          <w:color w:val="000000" w:themeColor="text1"/>
          <w:szCs w:val="24"/>
        </w:rPr>
      </w:pPr>
      <w:r w:rsidRPr="00120E8E">
        <w:rPr>
          <w:bCs/>
          <w:color w:val="000000" w:themeColor="text1"/>
          <w:szCs w:val="24"/>
        </w:rPr>
        <w:t xml:space="preserve">U navrhované právní úpravy se nepředpokládá žádný dopad na rodiny. </w:t>
      </w:r>
    </w:p>
    <w:p w14:paraId="1D4981DD" w14:textId="58ED2453" w:rsidR="00B862AC" w:rsidRPr="00120E8E" w:rsidRDefault="00B862AC" w:rsidP="00B862AC">
      <w:pPr>
        <w:pStyle w:val="Nadpis2"/>
        <w:keepNext w:val="0"/>
        <w:keepLines w:val="0"/>
        <w:rPr>
          <w:rFonts w:cs="Times New Roman"/>
          <w:szCs w:val="24"/>
        </w:rPr>
      </w:pPr>
      <w:r w:rsidRPr="00120E8E">
        <w:rPr>
          <w:rFonts w:cs="Times New Roman"/>
          <w:szCs w:val="24"/>
        </w:rPr>
        <w:t>Zhodnocení územních dopadů, včetně dopadů na územní samosprávné celky</w:t>
      </w:r>
    </w:p>
    <w:p w14:paraId="1C9771C6" w14:textId="77BDECE0" w:rsidR="001478B7" w:rsidRPr="00120E8E" w:rsidRDefault="001478B7" w:rsidP="001478B7">
      <w:pPr>
        <w:rPr>
          <w:szCs w:val="24"/>
        </w:rPr>
      </w:pPr>
      <w:r w:rsidRPr="00120E8E">
        <w:rPr>
          <w:szCs w:val="24"/>
        </w:rPr>
        <w:t>Nepředpokládají se žádné územní dopady, včetně dopadů na územní samosprávné celky.</w:t>
      </w:r>
    </w:p>
    <w:p w14:paraId="471CBE89" w14:textId="4C354D0D" w:rsidR="00215E22" w:rsidRPr="00120E8E" w:rsidRDefault="00215E22" w:rsidP="00215E22">
      <w:pPr>
        <w:pStyle w:val="Nadpis2"/>
        <w:rPr>
          <w:rFonts w:cs="Times New Roman"/>
          <w:szCs w:val="24"/>
        </w:rPr>
      </w:pPr>
      <w:r w:rsidRPr="00120E8E">
        <w:rPr>
          <w:rFonts w:cs="Times New Roman"/>
          <w:szCs w:val="24"/>
        </w:rPr>
        <w:t>Zhodnocení souladu návrhu se zásadami pro tvorbu digitálně přívětivé legislativy</w:t>
      </w:r>
    </w:p>
    <w:p w14:paraId="33D9D958" w14:textId="4C629AB1" w:rsidR="001478B7" w:rsidRPr="00120E8E" w:rsidRDefault="001478B7" w:rsidP="001478B7">
      <w:pPr>
        <w:keepNext/>
        <w:widowControl w:val="0"/>
        <w:spacing w:before="120"/>
        <w:rPr>
          <w:bCs/>
          <w:color w:val="000000" w:themeColor="text1"/>
          <w:szCs w:val="24"/>
        </w:rPr>
      </w:pPr>
      <w:r w:rsidRPr="00120E8E">
        <w:rPr>
          <w:bCs/>
          <w:color w:val="000000" w:themeColor="text1"/>
          <w:szCs w:val="24"/>
        </w:rPr>
        <w:t>Navrhovaná právní úprava není v rozporu se zásadami digitálně přívětivé legislativy.</w:t>
      </w:r>
    </w:p>
    <w:p w14:paraId="7F0E7C10" w14:textId="0DE04691" w:rsidR="00557A7D" w:rsidRPr="00120E8E" w:rsidRDefault="00557A7D" w:rsidP="001478B7">
      <w:pPr>
        <w:pStyle w:val="Nadpis2"/>
        <w:numPr>
          <w:ilvl w:val="0"/>
          <w:numId w:val="0"/>
        </w:numPr>
        <w:ind w:left="927" w:hanging="360"/>
        <w:rPr>
          <w:rFonts w:cs="Times New Roman"/>
        </w:rPr>
      </w:pPr>
      <w:r w:rsidRPr="00120E8E">
        <w:rPr>
          <w:rFonts w:cs="Times New Roman"/>
        </w:rPr>
        <w:br w:type="page"/>
      </w:r>
    </w:p>
    <w:p w14:paraId="2AC0A599" w14:textId="77777777" w:rsidR="002E35C1" w:rsidRPr="00120E8E" w:rsidRDefault="00F03079" w:rsidP="00AD0C1D">
      <w:pPr>
        <w:pStyle w:val="Nadpis1"/>
        <w:jc w:val="both"/>
        <w:rPr>
          <w:rFonts w:cs="Times New Roman"/>
        </w:rPr>
      </w:pPr>
      <w:r w:rsidRPr="00120E8E">
        <w:rPr>
          <w:rFonts w:cs="Times New Roman"/>
        </w:rPr>
        <w:lastRenderedPageBreak/>
        <w:t>II. ZVLÁŠTNÍ ČÁST</w:t>
      </w:r>
    </w:p>
    <w:p w14:paraId="0E3C858B" w14:textId="3362A959" w:rsidR="00EF7253" w:rsidRPr="00120E8E" w:rsidRDefault="008511FC" w:rsidP="00EF7253">
      <w:pPr>
        <w:pStyle w:val="Nadpis3"/>
        <w:rPr>
          <w:rFonts w:cs="Times New Roman"/>
        </w:rPr>
      </w:pPr>
      <w:r w:rsidRPr="00120E8E">
        <w:rPr>
          <w:rFonts w:cs="Times New Roman"/>
        </w:rPr>
        <w:t xml:space="preserve">K článku </w:t>
      </w:r>
      <w:r w:rsidR="00D61DA0" w:rsidRPr="00120E8E">
        <w:rPr>
          <w:rFonts w:cs="Times New Roman"/>
        </w:rPr>
        <w:t>I</w:t>
      </w:r>
      <w:r w:rsidR="00D70C9B" w:rsidRPr="00120E8E">
        <w:rPr>
          <w:rFonts w:cs="Times New Roman"/>
        </w:rPr>
        <w:t xml:space="preserve"> (změna </w:t>
      </w:r>
      <w:r w:rsidR="00D13AC1" w:rsidRPr="00120E8E">
        <w:rPr>
          <w:rFonts w:cs="Times New Roman"/>
        </w:rPr>
        <w:t>zákona o podnikání na kapitálovém trhu</w:t>
      </w:r>
      <w:r w:rsidR="006708F5" w:rsidRPr="00120E8E">
        <w:rPr>
          <w:rFonts w:cs="Times New Roman"/>
        </w:rPr>
        <w:t>)</w:t>
      </w:r>
    </w:p>
    <w:p w14:paraId="479DC254" w14:textId="311AD7EF" w:rsidR="00EF09FC" w:rsidRPr="00120E8E" w:rsidRDefault="003F6B91" w:rsidP="00EF09FC">
      <w:pPr>
        <w:rPr>
          <w:b/>
          <w:bCs/>
          <w:u w:val="single"/>
        </w:rPr>
      </w:pPr>
      <w:r w:rsidRPr="00120E8E">
        <w:rPr>
          <w:b/>
          <w:bCs/>
          <w:u w:val="single"/>
        </w:rPr>
        <w:t>K b</w:t>
      </w:r>
      <w:r w:rsidR="00D61DA0" w:rsidRPr="00120E8E">
        <w:rPr>
          <w:b/>
          <w:bCs/>
          <w:u w:val="single"/>
        </w:rPr>
        <w:t>od</w:t>
      </w:r>
      <w:r w:rsidRPr="00120E8E">
        <w:rPr>
          <w:b/>
          <w:bCs/>
          <w:u w:val="single"/>
        </w:rPr>
        <w:t>ům</w:t>
      </w:r>
      <w:r w:rsidR="00D61DA0" w:rsidRPr="00120E8E">
        <w:rPr>
          <w:b/>
          <w:bCs/>
          <w:u w:val="single"/>
        </w:rPr>
        <w:t xml:space="preserve"> 1</w:t>
      </w:r>
      <w:r w:rsidRPr="00120E8E">
        <w:rPr>
          <w:b/>
          <w:bCs/>
          <w:u w:val="single"/>
        </w:rPr>
        <w:t xml:space="preserve"> až </w:t>
      </w:r>
      <w:r w:rsidR="00512331">
        <w:rPr>
          <w:b/>
          <w:bCs/>
          <w:u w:val="single"/>
        </w:rPr>
        <w:t>7</w:t>
      </w:r>
      <w:r w:rsidRPr="00120E8E">
        <w:rPr>
          <w:b/>
          <w:bCs/>
          <w:u w:val="single"/>
        </w:rPr>
        <w:t xml:space="preserve"> </w:t>
      </w:r>
      <w:r w:rsidR="00EF09FC" w:rsidRPr="00120E8E">
        <w:rPr>
          <w:b/>
          <w:bCs/>
          <w:u w:val="single"/>
        </w:rPr>
        <w:t>(k pozn. pod čarou č. 1</w:t>
      </w:r>
      <w:r w:rsidRPr="00120E8E">
        <w:rPr>
          <w:b/>
          <w:bCs/>
          <w:u w:val="single"/>
        </w:rPr>
        <w:t>, 2, 61, 72 a 112</w:t>
      </w:r>
      <w:r w:rsidR="00EF09FC" w:rsidRPr="00120E8E">
        <w:rPr>
          <w:b/>
          <w:bCs/>
          <w:u w:val="single"/>
        </w:rPr>
        <w:t xml:space="preserve"> ZPKT)</w:t>
      </w:r>
    </w:p>
    <w:p w14:paraId="298B6831" w14:textId="0D5704E6" w:rsidR="00EF09FC" w:rsidRPr="00120E8E" w:rsidRDefault="00EF09FC" w:rsidP="00EF09FC">
      <w:r w:rsidRPr="00120E8E">
        <w:t xml:space="preserve">Ruší se odkaz na směrnici o </w:t>
      </w:r>
      <w:proofErr w:type="spellStart"/>
      <w:r w:rsidRPr="00120E8E">
        <w:t>listingu</w:t>
      </w:r>
      <w:proofErr w:type="spellEnd"/>
      <w:r w:rsidRPr="00120E8E">
        <w:t xml:space="preserve">, neboť tato byla zrušena směrnicí </w:t>
      </w:r>
      <w:proofErr w:type="spellStart"/>
      <w:r w:rsidR="00AF6F59" w:rsidRPr="00120E8E">
        <w:t>Listing</w:t>
      </w:r>
      <w:proofErr w:type="spellEnd"/>
      <w:r w:rsidR="00AF6F59" w:rsidRPr="00120E8E">
        <w:t xml:space="preserve"> </w:t>
      </w:r>
      <w:proofErr w:type="spellStart"/>
      <w:r w:rsidR="00AF6F59" w:rsidRPr="00120E8E">
        <w:t>Act</w:t>
      </w:r>
      <w:proofErr w:type="spellEnd"/>
      <w:r w:rsidR="00026AAB">
        <w:t xml:space="preserve"> balíčku</w:t>
      </w:r>
      <w:r w:rsidRPr="00120E8E">
        <w:t>.</w:t>
      </w:r>
      <w:r w:rsidR="007B65BB" w:rsidRPr="00120E8E">
        <w:t xml:space="preserve"> </w:t>
      </w:r>
      <w:r w:rsidRPr="00120E8E">
        <w:t xml:space="preserve">Aktualizuje se odkaz na směrnici </w:t>
      </w:r>
      <w:proofErr w:type="spellStart"/>
      <w:r w:rsidRPr="00120E8E">
        <w:t>MiFID</w:t>
      </w:r>
      <w:proofErr w:type="spellEnd"/>
      <w:r w:rsidR="00984687" w:rsidRPr="00120E8E">
        <w:t xml:space="preserve"> II</w:t>
      </w:r>
      <w:r w:rsidRPr="00120E8E">
        <w:t xml:space="preserve">, která byla změněna směrnicí </w:t>
      </w:r>
      <w:proofErr w:type="spellStart"/>
      <w:r w:rsidR="000F76CA">
        <w:t>Listing</w:t>
      </w:r>
      <w:proofErr w:type="spellEnd"/>
      <w:r w:rsidR="000F76CA">
        <w:t xml:space="preserve"> </w:t>
      </w:r>
      <w:proofErr w:type="spellStart"/>
      <w:r w:rsidR="000F76CA">
        <w:t>Act</w:t>
      </w:r>
      <w:proofErr w:type="spellEnd"/>
      <w:r w:rsidR="000F76CA">
        <w:t xml:space="preserve"> balíčku</w:t>
      </w:r>
      <w:r w:rsidR="007B65BB" w:rsidRPr="00120E8E">
        <w:t xml:space="preserve">. Doplňuje se odkaz na směrnici </w:t>
      </w:r>
      <w:r w:rsidR="00AF6F59" w:rsidRPr="00120E8E">
        <w:t>EMIR 3</w:t>
      </w:r>
      <w:r w:rsidR="007B65BB" w:rsidRPr="00120E8E">
        <w:t>, aby byl naplněn požadavek v čl. 4 odst. 1</w:t>
      </w:r>
      <w:r w:rsidR="000A3E11" w:rsidRPr="00120E8E">
        <w:t xml:space="preserve"> směrnice EMIR 3</w:t>
      </w:r>
      <w:r w:rsidR="00582127">
        <w:t xml:space="preserve"> a to aktualizací směrnice </w:t>
      </w:r>
      <w:r w:rsidR="00026AAB">
        <w:t>IFD</w:t>
      </w:r>
      <w:r w:rsidR="000A3E11" w:rsidRPr="00120E8E">
        <w:t>.</w:t>
      </w:r>
      <w:r w:rsidR="003F6B91" w:rsidRPr="00120E8E">
        <w:t xml:space="preserve"> Dále se reflektuje, že došlo k revizi jednotlivých evropských nařízení.</w:t>
      </w:r>
    </w:p>
    <w:p w14:paraId="6428E615" w14:textId="6DDAAC8F" w:rsidR="00EF09FC" w:rsidRPr="00120E8E" w:rsidRDefault="003F6B91" w:rsidP="00EF09FC">
      <w:pPr>
        <w:rPr>
          <w:b/>
          <w:bCs/>
          <w:u w:val="single"/>
        </w:rPr>
      </w:pPr>
      <w:r w:rsidRPr="00120E8E">
        <w:rPr>
          <w:b/>
          <w:bCs/>
          <w:u w:val="single"/>
        </w:rPr>
        <w:t xml:space="preserve">K bodu </w:t>
      </w:r>
      <w:r w:rsidR="00512331">
        <w:rPr>
          <w:b/>
          <w:bCs/>
          <w:u w:val="single"/>
        </w:rPr>
        <w:t>8</w:t>
      </w:r>
      <w:r w:rsidR="00512331" w:rsidRPr="00120E8E">
        <w:rPr>
          <w:b/>
          <w:bCs/>
          <w:u w:val="single"/>
        </w:rPr>
        <w:t xml:space="preserve"> </w:t>
      </w:r>
      <w:r w:rsidR="00EF09FC" w:rsidRPr="00120E8E">
        <w:rPr>
          <w:b/>
          <w:bCs/>
          <w:u w:val="single"/>
        </w:rPr>
        <w:t>(k § 5)</w:t>
      </w:r>
    </w:p>
    <w:p w14:paraId="100F9C02" w14:textId="77777777" w:rsidR="00EF09FC" w:rsidRPr="00120E8E" w:rsidRDefault="00EF09FC" w:rsidP="00EF09FC">
      <w:r w:rsidRPr="00120E8E">
        <w:t>Jde o zrušení nadbytečného odkazu.</w:t>
      </w:r>
    </w:p>
    <w:p w14:paraId="41E0AD2D" w14:textId="0C438A0F" w:rsidR="00EF09FC" w:rsidRPr="00120E8E" w:rsidRDefault="003F6B91" w:rsidP="00EF09FC">
      <w:pPr>
        <w:rPr>
          <w:b/>
          <w:bCs/>
          <w:u w:val="single"/>
        </w:rPr>
      </w:pPr>
      <w:r w:rsidRPr="00120E8E">
        <w:rPr>
          <w:b/>
          <w:bCs/>
          <w:u w:val="single"/>
        </w:rPr>
        <w:t>K bodům 8 až 1</w:t>
      </w:r>
      <w:r w:rsidR="00512331">
        <w:rPr>
          <w:b/>
          <w:bCs/>
          <w:u w:val="single"/>
        </w:rPr>
        <w:t>1</w:t>
      </w:r>
      <w:r w:rsidRPr="00120E8E">
        <w:rPr>
          <w:b/>
          <w:bCs/>
          <w:u w:val="single"/>
        </w:rPr>
        <w:t xml:space="preserve"> </w:t>
      </w:r>
      <w:r w:rsidR="00EF09FC" w:rsidRPr="00120E8E">
        <w:rPr>
          <w:b/>
          <w:bCs/>
          <w:u w:val="single"/>
        </w:rPr>
        <w:t>(k § 6</w:t>
      </w:r>
      <w:r w:rsidR="0084726B" w:rsidRPr="00120E8E">
        <w:rPr>
          <w:b/>
          <w:bCs/>
          <w:u w:val="single"/>
        </w:rPr>
        <w:t xml:space="preserve">, </w:t>
      </w:r>
      <w:proofErr w:type="gramStart"/>
      <w:r w:rsidR="0084726B" w:rsidRPr="00120E8E">
        <w:rPr>
          <w:b/>
          <w:bCs/>
          <w:u w:val="single"/>
        </w:rPr>
        <w:t>28a</w:t>
      </w:r>
      <w:r w:rsidR="00512331">
        <w:rPr>
          <w:b/>
          <w:bCs/>
          <w:u w:val="single"/>
        </w:rPr>
        <w:t xml:space="preserve">, </w:t>
      </w:r>
      <w:r w:rsidR="0084726B" w:rsidRPr="00120E8E">
        <w:rPr>
          <w:b/>
          <w:bCs/>
          <w:u w:val="single"/>
        </w:rPr>
        <w:t xml:space="preserve"> 30</w:t>
      </w:r>
      <w:proofErr w:type="gramEnd"/>
      <w:r w:rsidR="00512331">
        <w:rPr>
          <w:b/>
          <w:bCs/>
          <w:u w:val="single"/>
        </w:rPr>
        <w:t xml:space="preserve"> a 38</w:t>
      </w:r>
      <w:r w:rsidR="00EF09FC" w:rsidRPr="00120E8E">
        <w:rPr>
          <w:b/>
          <w:bCs/>
          <w:u w:val="single"/>
        </w:rPr>
        <w:t>)</w:t>
      </w:r>
    </w:p>
    <w:p w14:paraId="636076E1" w14:textId="5CD13932" w:rsidR="00EF09FC" w:rsidRPr="00120E8E" w:rsidRDefault="00EF09FC" w:rsidP="00EF09FC">
      <w:r w:rsidRPr="00120E8E">
        <w:t>Požadavek svéprávnosti se ruší v důsledku snahy o snižování administrativní zátěže a</w:t>
      </w:r>
      <w:r w:rsidR="009F2537" w:rsidRPr="00120E8E">
        <w:t> </w:t>
      </w:r>
      <w:r w:rsidRPr="00120E8E">
        <w:t xml:space="preserve">odstraňování </w:t>
      </w:r>
      <w:proofErr w:type="spellStart"/>
      <w:r w:rsidRPr="00120E8E">
        <w:t>gold</w:t>
      </w:r>
      <w:r w:rsidR="00A43C2A" w:rsidRPr="00120E8E">
        <w:t>-</w:t>
      </w:r>
      <w:r w:rsidRPr="00120E8E">
        <w:t>platingu</w:t>
      </w:r>
      <w:proofErr w:type="spellEnd"/>
      <w:r w:rsidRPr="00120E8E">
        <w:t>. Unijní předpisy explicitně požadavek svéprávnosti neobsahují a</w:t>
      </w:r>
      <w:r w:rsidR="009F2537" w:rsidRPr="00120E8E">
        <w:t> </w:t>
      </w:r>
      <w:r w:rsidRPr="00120E8E">
        <w:t>v praxi se podle vyjádření ČNB žádosti nesvéprávných osob nevyskytují. I v případě, že</w:t>
      </w:r>
      <w:r w:rsidR="009F2537" w:rsidRPr="00120E8E">
        <w:t> </w:t>
      </w:r>
      <w:r w:rsidR="00E8021D">
        <w:t xml:space="preserve">by </w:t>
      </w:r>
      <w:r w:rsidRPr="00120E8E">
        <w:t>k</w:t>
      </w:r>
      <w:r w:rsidR="009F2537" w:rsidRPr="00120E8E">
        <w:t> </w:t>
      </w:r>
      <w:r w:rsidRPr="00120E8E">
        <w:t xml:space="preserve">takové situaci došlo, ČNB si v případě českých občanů, může požadavek svéprávnosti sama ověřit a v případech, kdy ČNB svéprávnost osoby sama ověřit nemůže, nemá čestné prohlášení případné nesvéprávné osoby žádnou relevanci.  </w:t>
      </w:r>
    </w:p>
    <w:p w14:paraId="06BD8649" w14:textId="289E9A65" w:rsidR="00EF09FC" w:rsidRPr="00120E8E" w:rsidRDefault="00EF09FC" w:rsidP="00EF09FC">
      <w:r w:rsidRPr="00120E8E">
        <w:t xml:space="preserve">Ve snaze o snížení regulatorní zátěže došlo ke zrušení registrační povinnosti další činnosti </w:t>
      </w:r>
      <w:r w:rsidR="000A4CDA">
        <w:t>OCP</w:t>
      </w:r>
      <w:r w:rsidRPr="00120E8E">
        <w:t xml:space="preserve">. Za účelem zachování efektivního dohledu ČNB, bylo přistoupeno k povinnosti informovat ČNB o dalších činnostech OCP v žádosti o povolení k činnosti </w:t>
      </w:r>
      <w:r w:rsidR="000A4CDA">
        <w:t>OCP</w:t>
      </w:r>
      <w:r w:rsidRPr="00120E8E">
        <w:t xml:space="preserve"> (odst. 1) a tím i návazné povinnosti oznámit změny v činnosti podnikání podle odst. 4. Jedná se o notifikační povinnost, kdy je však ČNB ponechána možnost přijmout vhodná opatření pro</w:t>
      </w:r>
      <w:r w:rsidR="00820DE6" w:rsidRPr="00120E8E">
        <w:t> </w:t>
      </w:r>
      <w:r w:rsidRPr="00120E8E">
        <w:t xml:space="preserve">případy, že by seznala, že </w:t>
      </w:r>
      <w:r w:rsidR="00CF488F">
        <w:t> </w:t>
      </w:r>
      <w:r w:rsidRPr="00120E8E">
        <w:t>další činnost OCP představuje hrozbu pro finanční stabilitu OCP nebo narušuje efektivní dohled ČNB nad daným subjektem.</w:t>
      </w:r>
      <w:r w:rsidR="00582127">
        <w:t xml:space="preserve"> Změnou by se měla uvolnit situace pro OCP a umožnit jim tak další podnikání, které by ovšem nemělo mít zásadní negativní vliv na jejich činnosti na</w:t>
      </w:r>
      <w:r w:rsidR="00026AAB">
        <w:t> </w:t>
      </w:r>
      <w:r w:rsidR="00582127">
        <w:t>kapitálových trzích.</w:t>
      </w:r>
    </w:p>
    <w:p w14:paraId="2FD54B41" w14:textId="161421D1" w:rsidR="00EF09FC" w:rsidRPr="00120E8E" w:rsidRDefault="003F6B91" w:rsidP="00EF09FC">
      <w:pPr>
        <w:rPr>
          <w:b/>
          <w:bCs/>
          <w:u w:val="single"/>
        </w:rPr>
      </w:pPr>
      <w:r w:rsidRPr="00120E8E">
        <w:rPr>
          <w:b/>
          <w:bCs/>
          <w:u w:val="single"/>
        </w:rPr>
        <w:t>K bodu 1</w:t>
      </w:r>
      <w:r w:rsidR="00512331">
        <w:rPr>
          <w:b/>
          <w:bCs/>
          <w:u w:val="single"/>
        </w:rPr>
        <w:t>2</w:t>
      </w:r>
      <w:r w:rsidR="00EF09FC" w:rsidRPr="00120E8E" w:rsidDel="00E77903">
        <w:rPr>
          <w:b/>
          <w:bCs/>
          <w:u w:val="single"/>
        </w:rPr>
        <w:t xml:space="preserve"> </w:t>
      </w:r>
      <w:r w:rsidR="00EF09FC" w:rsidRPr="00120E8E">
        <w:rPr>
          <w:b/>
          <w:bCs/>
          <w:u w:val="single"/>
        </w:rPr>
        <w:t xml:space="preserve">(k § 6a) </w:t>
      </w:r>
    </w:p>
    <w:p w14:paraId="24B4C0F3" w14:textId="4E4EBBC0" w:rsidR="00EF09FC" w:rsidRPr="00120E8E" w:rsidRDefault="008C69E1" w:rsidP="00EF09FC">
      <w:r>
        <w:t xml:space="preserve">Ruší se </w:t>
      </w:r>
      <w:r w:rsidR="00EF09FC" w:rsidRPr="00120E8E">
        <w:t xml:space="preserve">§ 6a v důsledku snah o snížení regulatorní zátěže. Cílem je usnadnit činnost OCP zrušením povinnosti registrace další podnikatelské činnosti. Postačí ponechání obecné povinnost OCP řídit rizika ve spojení s oznamovací povinností vůči ČNB před zahájením další podnikatelské činnosti. ČNB bude následně posuzovat další činnost v rámci běžného výkonu dohledu nad finančním trhem. </w:t>
      </w:r>
    </w:p>
    <w:p w14:paraId="455AF6EE" w14:textId="1D620387" w:rsidR="00EF09FC" w:rsidRPr="00120E8E" w:rsidRDefault="00F477CD" w:rsidP="00EF09FC">
      <w:pPr>
        <w:rPr>
          <w:u w:val="single"/>
        </w:rPr>
      </w:pPr>
      <w:r w:rsidRPr="00120E8E">
        <w:rPr>
          <w:b/>
          <w:bCs/>
          <w:u w:val="single"/>
        </w:rPr>
        <w:t>K bodu 1</w:t>
      </w:r>
      <w:r w:rsidR="00512331">
        <w:rPr>
          <w:b/>
          <w:bCs/>
          <w:u w:val="single"/>
        </w:rPr>
        <w:t>3</w:t>
      </w:r>
      <w:r w:rsidR="00EF09FC" w:rsidRPr="00120E8E">
        <w:rPr>
          <w:b/>
          <w:bCs/>
          <w:u w:val="single"/>
        </w:rPr>
        <w:t xml:space="preserve"> (k § 7)</w:t>
      </w:r>
    </w:p>
    <w:p w14:paraId="4DBFDB55" w14:textId="41C3EFC2" w:rsidR="00EF09FC" w:rsidRPr="00120E8E" w:rsidRDefault="00EF09FC" w:rsidP="00EF09FC">
      <w:r w:rsidRPr="00120E8E">
        <w:t xml:space="preserve">Úprava </w:t>
      </w:r>
      <w:r w:rsidR="008C69E1">
        <w:t>souvisí se</w:t>
      </w:r>
      <w:r w:rsidRPr="00120E8E">
        <w:t xml:space="preserve"> zrušením povinnosti registrace další podnikatelské činnosti.</w:t>
      </w:r>
    </w:p>
    <w:p w14:paraId="544E21AC" w14:textId="542E1926" w:rsidR="00EF09FC" w:rsidRPr="00120E8E" w:rsidRDefault="00F477CD" w:rsidP="00EF09FC">
      <w:pPr>
        <w:rPr>
          <w:b/>
          <w:bCs/>
          <w:u w:val="single"/>
        </w:rPr>
      </w:pPr>
      <w:r w:rsidRPr="00120E8E">
        <w:rPr>
          <w:b/>
          <w:bCs/>
          <w:u w:val="single"/>
        </w:rPr>
        <w:t>K bodu 1</w:t>
      </w:r>
      <w:r w:rsidR="00512331">
        <w:rPr>
          <w:b/>
          <w:bCs/>
          <w:u w:val="single"/>
        </w:rPr>
        <w:t>4</w:t>
      </w:r>
      <w:r w:rsidR="00194F42">
        <w:rPr>
          <w:b/>
          <w:bCs/>
          <w:u w:val="single"/>
        </w:rPr>
        <w:t xml:space="preserve"> </w:t>
      </w:r>
      <w:r w:rsidR="00EF09FC" w:rsidRPr="00120E8E">
        <w:rPr>
          <w:b/>
          <w:bCs/>
          <w:u w:val="single"/>
        </w:rPr>
        <w:t>(k § 12aa)</w:t>
      </w:r>
    </w:p>
    <w:p w14:paraId="546E9C80" w14:textId="18492D2F" w:rsidR="00EF09FC" w:rsidRPr="00120E8E" w:rsidRDefault="00EF09FC" w:rsidP="00EF09FC">
      <w:pPr>
        <w:rPr>
          <w:color w:val="000000" w:themeColor="text1"/>
        </w:rPr>
      </w:pPr>
      <w:r w:rsidRPr="00120E8E">
        <w:t xml:space="preserve">Jedná se o opravu transpozičního ustanovení k čl. 25 odst. 4 čtvrtého pododstavce </w:t>
      </w:r>
      <w:r w:rsidR="008C69E1">
        <w:t xml:space="preserve">směrnice </w:t>
      </w:r>
      <w:r w:rsidRPr="00120E8E">
        <w:t>IFD.</w:t>
      </w:r>
      <w:r w:rsidR="007B6751" w:rsidRPr="00120E8E">
        <w:t xml:space="preserve"> </w:t>
      </w:r>
      <w:r w:rsidR="007B6751" w:rsidRPr="00120E8E">
        <w:rPr>
          <w:color w:val="000000" w:themeColor="text1"/>
        </w:rPr>
        <w:t xml:space="preserve">Kontrolující osoba skutečnost práva třetí země prokazuje v řízení na vyžádání – v rámci </w:t>
      </w:r>
      <w:r w:rsidR="007B6751" w:rsidRPr="00120E8E">
        <w:rPr>
          <w:color w:val="000000" w:themeColor="text1"/>
        </w:rPr>
        <w:lastRenderedPageBreak/>
        <w:t xml:space="preserve">kontroly, či řízení o opatření k nápravě. </w:t>
      </w:r>
      <w:r w:rsidR="009A08DB" w:rsidRPr="00120E8E">
        <w:rPr>
          <w:color w:val="000000" w:themeColor="text1"/>
        </w:rPr>
        <w:t>Prokázání rozporu s právem třetího státu není podmínkou pro samotnou aplikaci výjimky</w:t>
      </w:r>
      <w:r w:rsidR="007B6751" w:rsidRPr="00120E8E">
        <w:rPr>
          <w:color w:val="000000" w:themeColor="text1"/>
        </w:rPr>
        <w:t>.</w:t>
      </w:r>
    </w:p>
    <w:p w14:paraId="7D92B5F8" w14:textId="4246B991" w:rsidR="00191D71" w:rsidRPr="00120E8E" w:rsidRDefault="009A08DB" w:rsidP="00EF09FC">
      <w:pPr>
        <w:rPr>
          <w:b/>
          <w:bCs/>
          <w:u w:val="single"/>
        </w:rPr>
      </w:pPr>
      <w:r w:rsidRPr="00120E8E">
        <w:rPr>
          <w:b/>
          <w:bCs/>
          <w:u w:val="single"/>
        </w:rPr>
        <w:t>K bodu 1</w:t>
      </w:r>
      <w:r w:rsidR="001D2B4D">
        <w:rPr>
          <w:b/>
          <w:bCs/>
          <w:u w:val="single"/>
        </w:rPr>
        <w:t>5</w:t>
      </w:r>
      <w:r w:rsidRPr="00120E8E">
        <w:rPr>
          <w:b/>
          <w:bCs/>
          <w:u w:val="single"/>
        </w:rPr>
        <w:t xml:space="preserve"> </w:t>
      </w:r>
      <w:r w:rsidR="00191D71" w:rsidRPr="00120E8E">
        <w:rPr>
          <w:b/>
          <w:bCs/>
          <w:u w:val="single"/>
        </w:rPr>
        <w:t>(</w:t>
      </w:r>
      <w:r w:rsidR="00194F42">
        <w:rPr>
          <w:b/>
          <w:bCs/>
          <w:u w:val="single"/>
        </w:rPr>
        <w:t>k</w:t>
      </w:r>
      <w:r w:rsidR="00191D71" w:rsidRPr="00120E8E">
        <w:rPr>
          <w:b/>
          <w:bCs/>
          <w:u w:val="single"/>
        </w:rPr>
        <w:t xml:space="preserve"> § 12ab)</w:t>
      </w:r>
    </w:p>
    <w:p w14:paraId="05A6F8EF" w14:textId="69EAC68E" w:rsidR="007B65BB" w:rsidRPr="00120E8E" w:rsidRDefault="007B65BB" w:rsidP="007B65BB">
      <w:pPr>
        <w:spacing w:before="120"/>
      </w:pPr>
      <w:r w:rsidRPr="00120E8E">
        <w:t>S přijetím nařízení EMIR 3 se zavádí požadavky na řízení rizika koncentrace ve vztahu k ústředním protistranám, zvláště pak požadavek na aktivní účet u ústředních protistran, které mají povolení v EU, což je dále reflektováno v revizní směrnici</w:t>
      </w:r>
      <w:r w:rsidR="00AF6F59" w:rsidRPr="00120E8E">
        <w:t xml:space="preserve"> EMIR 3</w:t>
      </w:r>
      <w:r w:rsidRPr="00120E8E">
        <w:t>. Z toho důvodu je</w:t>
      </w:r>
      <w:r w:rsidR="00820DE6" w:rsidRPr="00120E8E">
        <w:t> </w:t>
      </w:r>
      <w:r w:rsidRPr="00120E8E">
        <w:t xml:space="preserve">nutné upravit i v řídícím a kontrolním systému </w:t>
      </w:r>
      <w:r w:rsidR="008C69E1">
        <w:t>OCP</w:t>
      </w:r>
      <w:r w:rsidRPr="00120E8E">
        <w:t>.</w:t>
      </w:r>
    </w:p>
    <w:p w14:paraId="628F46A5" w14:textId="5D7D18E0" w:rsidR="00191D71" w:rsidRPr="00120E8E" w:rsidRDefault="00735789" w:rsidP="00EF09FC">
      <w:pPr>
        <w:rPr>
          <w:b/>
          <w:bCs/>
          <w:u w:val="single"/>
        </w:rPr>
      </w:pPr>
      <w:r w:rsidRPr="00120E8E">
        <w:rPr>
          <w:b/>
          <w:bCs/>
          <w:u w:val="single"/>
        </w:rPr>
        <w:t>K bodu 1</w:t>
      </w:r>
      <w:r w:rsidR="001D2B4D">
        <w:rPr>
          <w:b/>
          <w:bCs/>
          <w:u w:val="single"/>
        </w:rPr>
        <w:t>6</w:t>
      </w:r>
      <w:r w:rsidRPr="00120E8E">
        <w:rPr>
          <w:b/>
          <w:bCs/>
          <w:u w:val="single"/>
        </w:rPr>
        <w:t xml:space="preserve"> až 1</w:t>
      </w:r>
      <w:r w:rsidR="001D2B4D">
        <w:rPr>
          <w:b/>
          <w:bCs/>
          <w:u w:val="single"/>
        </w:rPr>
        <w:t>8</w:t>
      </w:r>
      <w:r w:rsidRPr="00120E8E">
        <w:rPr>
          <w:b/>
          <w:bCs/>
          <w:u w:val="single"/>
        </w:rPr>
        <w:t xml:space="preserve"> </w:t>
      </w:r>
      <w:r w:rsidR="007B65BB" w:rsidRPr="00120E8E">
        <w:rPr>
          <w:b/>
          <w:bCs/>
          <w:u w:val="single"/>
        </w:rPr>
        <w:t>(k § 12ad)</w:t>
      </w:r>
    </w:p>
    <w:p w14:paraId="5F374A43" w14:textId="756EF38D" w:rsidR="007B65BB" w:rsidRPr="00120E8E" w:rsidRDefault="007B65BB" w:rsidP="007B65BB">
      <w:pPr>
        <w:spacing w:before="120"/>
      </w:pPr>
      <w:r w:rsidRPr="00120E8E">
        <w:t xml:space="preserve">Pro </w:t>
      </w:r>
      <w:r w:rsidR="008C69E1">
        <w:t>OCP</w:t>
      </w:r>
      <w:r w:rsidRPr="00120E8E">
        <w:t xml:space="preserve"> je dále specifikováno řízení rizika koncentrace ve vztahu k ústředním protistranám. </w:t>
      </w:r>
      <w:r w:rsidR="008C69E1">
        <w:t>OCP</w:t>
      </w:r>
      <w:r w:rsidRPr="00120E8E">
        <w:t xml:space="preserve"> má za úkol si nastavit, jak bude snižovat riziko koncentrace ve vztahu k ústředním protistranám, které jsou systémové významné. Spojení „podstatného významu“ je potřeba vykládat i v souladu s čl. 25 nařízení EMIR, tedy vztahuje se to zvláště pak na ústřední protistrany ze třetích zemí, které jsou kvalifikovány jako tzv. </w:t>
      </w:r>
      <w:proofErr w:type="spellStart"/>
      <w:r w:rsidRPr="00120E8E">
        <w:t>tier</w:t>
      </w:r>
      <w:proofErr w:type="spellEnd"/>
      <w:r w:rsidRPr="00120E8E">
        <w:t xml:space="preserve"> 2 resp. </w:t>
      </w:r>
      <w:proofErr w:type="spellStart"/>
      <w:r w:rsidRPr="00120E8E">
        <w:t>tier</w:t>
      </w:r>
      <w:proofErr w:type="spellEnd"/>
      <w:r w:rsidRPr="00120E8E">
        <w:t xml:space="preserve"> 2+.</w:t>
      </w:r>
    </w:p>
    <w:p w14:paraId="4739D235" w14:textId="20E19FF6" w:rsidR="007B65BB" w:rsidRPr="00120E8E" w:rsidRDefault="00FA431D" w:rsidP="007B65BB">
      <w:pPr>
        <w:spacing w:before="120"/>
      </w:pPr>
      <w:r>
        <w:t>OCP</w:t>
      </w:r>
      <w:r w:rsidR="007B65BB" w:rsidRPr="00120E8E">
        <w:t xml:space="preserve"> je také povinen, spadá-li do působnosti povinného clearingu derivátů podle čl. 7a nařízení EMIR, otevřít si aktivní účet u evropské ústřední protistrany</w:t>
      </w:r>
      <w:r>
        <w:t>, dosahuje-li jeho clearing hranice pro povinný clearing</w:t>
      </w:r>
      <w:r w:rsidR="007B65BB" w:rsidRPr="00120E8E">
        <w:t>, a</w:t>
      </w:r>
      <w:r w:rsidR="005F4048" w:rsidRPr="00120E8E">
        <w:t> </w:t>
      </w:r>
      <w:r w:rsidR="007B65BB" w:rsidRPr="00120E8E">
        <w:t xml:space="preserve">plnit tak nastavené cíle.  </w:t>
      </w:r>
    </w:p>
    <w:p w14:paraId="3276AC3F" w14:textId="5A735DEA" w:rsidR="00EF09FC" w:rsidRPr="00120E8E" w:rsidRDefault="00987D83" w:rsidP="00EF09FC">
      <w:pPr>
        <w:rPr>
          <w:b/>
          <w:bCs/>
          <w:u w:val="single"/>
        </w:rPr>
      </w:pPr>
      <w:r w:rsidRPr="00120E8E">
        <w:rPr>
          <w:b/>
          <w:bCs/>
          <w:u w:val="single"/>
        </w:rPr>
        <w:t>K bodu 1</w:t>
      </w:r>
      <w:r w:rsidR="001D2B4D">
        <w:rPr>
          <w:b/>
          <w:bCs/>
          <w:u w:val="single"/>
        </w:rPr>
        <w:t>9</w:t>
      </w:r>
      <w:r w:rsidR="00194F42">
        <w:rPr>
          <w:b/>
          <w:bCs/>
          <w:u w:val="single"/>
        </w:rPr>
        <w:t xml:space="preserve"> </w:t>
      </w:r>
      <w:r w:rsidR="00EF09FC" w:rsidRPr="00120E8E">
        <w:rPr>
          <w:b/>
          <w:bCs/>
          <w:u w:val="single"/>
        </w:rPr>
        <w:t>(k § 14c)</w:t>
      </w:r>
    </w:p>
    <w:p w14:paraId="0DBACD3F" w14:textId="77B61E57" w:rsidR="00EF09FC" w:rsidRPr="00120E8E" w:rsidRDefault="00EF09FC" w:rsidP="00EF09FC">
      <w:pPr>
        <w:rPr>
          <w:b/>
          <w:bCs/>
          <w:u w:val="single"/>
        </w:rPr>
      </w:pPr>
      <w:r w:rsidRPr="00120E8E">
        <w:t>Požadavek svéprávnosti se ruší v důsledku snahy o snižování administrativní zátěže a</w:t>
      </w:r>
      <w:r w:rsidR="005F4048" w:rsidRPr="00120E8E">
        <w:t> </w:t>
      </w:r>
      <w:r w:rsidRPr="00120E8E">
        <w:t xml:space="preserve">odstraňování </w:t>
      </w:r>
      <w:proofErr w:type="spellStart"/>
      <w:r w:rsidRPr="00120E8E">
        <w:t>gold</w:t>
      </w:r>
      <w:r w:rsidR="00F67080" w:rsidRPr="00120E8E">
        <w:t>-</w:t>
      </w:r>
      <w:r w:rsidRPr="00120E8E">
        <w:t>platingu</w:t>
      </w:r>
      <w:proofErr w:type="spellEnd"/>
      <w:r w:rsidRPr="00120E8E">
        <w:t>. Unijní předpisy explicitně požadavek svéprávnosti neobsahují a</w:t>
      </w:r>
      <w:r w:rsidR="005F4048" w:rsidRPr="00120E8E">
        <w:t> </w:t>
      </w:r>
      <w:r w:rsidRPr="00120E8E">
        <w:t>v praxi se, podle vyjádření ČNB, žádosti nesvéprávných osob nevyskytují.</w:t>
      </w:r>
    </w:p>
    <w:p w14:paraId="5260B3FD" w14:textId="5E08C2D6" w:rsidR="00EF09FC" w:rsidRPr="00120E8E" w:rsidRDefault="004954EF" w:rsidP="00EF09FC">
      <w:pPr>
        <w:rPr>
          <w:b/>
          <w:bCs/>
          <w:u w:val="single"/>
        </w:rPr>
      </w:pPr>
      <w:r w:rsidRPr="00120E8E">
        <w:rPr>
          <w:b/>
          <w:bCs/>
          <w:u w:val="single"/>
        </w:rPr>
        <w:t xml:space="preserve">K bodu </w:t>
      </w:r>
      <w:r w:rsidR="001D2B4D">
        <w:rPr>
          <w:b/>
          <w:bCs/>
          <w:u w:val="single"/>
        </w:rPr>
        <w:t>20</w:t>
      </w:r>
      <w:r w:rsidRPr="00120E8E">
        <w:rPr>
          <w:b/>
          <w:bCs/>
          <w:u w:val="single"/>
        </w:rPr>
        <w:t xml:space="preserve"> </w:t>
      </w:r>
      <w:r w:rsidR="00B73BB6">
        <w:rPr>
          <w:b/>
          <w:bCs/>
          <w:u w:val="single"/>
        </w:rPr>
        <w:t>a 2</w:t>
      </w:r>
      <w:r w:rsidR="001D2B4D">
        <w:rPr>
          <w:b/>
          <w:bCs/>
          <w:u w:val="single"/>
        </w:rPr>
        <w:t xml:space="preserve">1 </w:t>
      </w:r>
      <w:r w:rsidR="00EF09FC" w:rsidRPr="00120E8E">
        <w:rPr>
          <w:b/>
          <w:bCs/>
          <w:u w:val="single"/>
        </w:rPr>
        <w:t>(k § 15)</w:t>
      </w:r>
    </w:p>
    <w:p w14:paraId="62E5E366" w14:textId="77777777" w:rsidR="00EF09FC" w:rsidRPr="00120E8E" w:rsidRDefault="00EF09FC" w:rsidP="00EF09FC">
      <w:r w:rsidRPr="00120E8E">
        <w:t xml:space="preserve">Jde o technickou úpravu reagující na změnu pravidel ohledně investičního výzkumu v čl. 24 </w:t>
      </w:r>
      <w:proofErr w:type="spellStart"/>
      <w:r w:rsidRPr="00120E8E">
        <w:t>MiFID</w:t>
      </w:r>
      <w:proofErr w:type="spellEnd"/>
      <w:r w:rsidRPr="00120E8E">
        <w:t xml:space="preserve"> II. </w:t>
      </w:r>
    </w:p>
    <w:p w14:paraId="2851AEE0" w14:textId="43967702" w:rsidR="00EF09FC" w:rsidRPr="00120E8E" w:rsidRDefault="004954EF" w:rsidP="00EF09FC">
      <w:pPr>
        <w:rPr>
          <w:b/>
          <w:bCs/>
          <w:u w:val="single"/>
        </w:rPr>
      </w:pPr>
      <w:r w:rsidRPr="00120E8E">
        <w:rPr>
          <w:b/>
          <w:bCs/>
          <w:u w:val="single"/>
        </w:rPr>
        <w:t>K bodu 2</w:t>
      </w:r>
      <w:r w:rsidR="001D2B4D">
        <w:rPr>
          <w:b/>
          <w:bCs/>
          <w:u w:val="single"/>
        </w:rPr>
        <w:t>2</w:t>
      </w:r>
      <w:r w:rsidR="0084726B" w:rsidRPr="00120E8E">
        <w:rPr>
          <w:b/>
          <w:bCs/>
          <w:u w:val="single"/>
        </w:rPr>
        <w:t xml:space="preserve"> </w:t>
      </w:r>
      <w:r w:rsidR="00EF09FC" w:rsidRPr="00120E8E">
        <w:rPr>
          <w:b/>
          <w:bCs/>
          <w:u w:val="single"/>
        </w:rPr>
        <w:t>(k § 15ca)</w:t>
      </w:r>
    </w:p>
    <w:p w14:paraId="60AE93A6" w14:textId="5BCEAD62" w:rsidR="00EF09FC" w:rsidRDefault="00EF09FC" w:rsidP="00EF09FC">
      <w:r w:rsidRPr="00120E8E">
        <w:t xml:space="preserve">Jde o promítnutí změn v podmínkách poskytování výzkumu. Původní úprava povolující pouze výzkum </w:t>
      </w:r>
      <w:r w:rsidR="007A25B5">
        <w:t xml:space="preserve">ve vztahu k </w:t>
      </w:r>
      <w:proofErr w:type="spellStart"/>
      <w:r w:rsidRPr="00120E8E">
        <w:t>SMEs</w:t>
      </w:r>
      <w:proofErr w:type="spellEnd"/>
      <w:r w:rsidRPr="00120E8E">
        <w:t xml:space="preserve"> se nahrazuje obecnou úpravou výzkum</w:t>
      </w:r>
      <w:r w:rsidR="007A25B5">
        <w:t>u</w:t>
      </w:r>
      <w:r w:rsidRPr="00120E8E">
        <w:t xml:space="preserve">. Cílem je podpořit </w:t>
      </w:r>
      <w:r w:rsidR="00026AAB">
        <w:t>využívání</w:t>
      </w:r>
      <w:r w:rsidR="00026AAB" w:rsidRPr="00120E8E">
        <w:t xml:space="preserve"> </w:t>
      </w:r>
      <w:r w:rsidRPr="00120E8E">
        <w:t xml:space="preserve">výzkumu </w:t>
      </w:r>
      <w:r w:rsidR="00026AAB">
        <w:t xml:space="preserve">na kapitálovém trhu </w:t>
      </w:r>
      <w:r w:rsidRPr="00120E8E">
        <w:t>a podpořit zviditelněn</w:t>
      </w:r>
      <w:r w:rsidR="00E146AB">
        <w:t>í emitentů na kapitálovém trhu.</w:t>
      </w:r>
    </w:p>
    <w:p w14:paraId="4213A59C" w14:textId="5E4DB24A" w:rsidR="00E146AB" w:rsidRDefault="00E146AB" w:rsidP="00EF09FC">
      <w:r>
        <w:t>V návaznosti na nové pojetí oblasti výzkumu se nově zavádí definice výzkumu, která byla doposud obsažena v § 15ca odst. 3 a 4</w:t>
      </w:r>
      <w:r w:rsidR="007A25B5">
        <w:t xml:space="preserve"> ve vztahu k výzkumu </w:t>
      </w:r>
      <w:proofErr w:type="spellStart"/>
      <w:r w:rsidR="007A25B5">
        <w:t>SMEs</w:t>
      </w:r>
      <w:proofErr w:type="spellEnd"/>
      <w:r>
        <w:t>. Odstav</w:t>
      </w:r>
      <w:r w:rsidR="007A25B5">
        <w:t>e</w:t>
      </w:r>
      <w:r>
        <w:t xml:space="preserve">c 2 dále negativně vymezuje, jaké informace a </w:t>
      </w:r>
      <w:r w:rsidR="007A25B5">
        <w:t xml:space="preserve">jaká </w:t>
      </w:r>
      <w:r>
        <w:t>propagační sdělení nelze považovat za výzkum</w:t>
      </w:r>
      <w:r w:rsidR="007A25B5">
        <w:t xml:space="preserve"> a neuplatňují se tedy na ně </w:t>
      </w:r>
      <w:r w:rsidR="008F603D">
        <w:t xml:space="preserve">pravidla </w:t>
      </w:r>
      <w:r w:rsidR="007A25B5">
        <w:t>výzkumu</w:t>
      </w:r>
      <w:r>
        <w:t>.</w:t>
      </w:r>
    </w:p>
    <w:p w14:paraId="33EEAD38" w14:textId="5125D2B5" w:rsidR="00E146AB" w:rsidRDefault="00E146AB" w:rsidP="00EF09FC">
      <w:r>
        <w:t>V rámci odstavce 3 jsou nastavena pravidla</w:t>
      </w:r>
      <w:r w:rsidR="007A25B5">
        <w:t xml:space="preserve"> výzkumu</w:t>
      </w:r>
      <w:r w:rsidR="00E22FDA">
        <w:t>, které jsou důležitá ve vztahu k investorovi</w:t>
      </w:r>
      <w:r>
        <w:t>.</w:t>
      </w:r>
    </w:p>
    <w:p w14:paraId="794BB9F0" w14:textId="698DDFC0" w:rsidR="0050025F" w:rsidRPr="00120E8E" w:rsidRDefault="0050025F" w:rsidP="00EF09FC">
      <w:r>
        <w:t>V odstavci 4 se zavádí definice investičního výzkumu, na který jsou kladeny přísnější požadavky, které jsou dále vymezeny v </w:t>
      </w:r>
      <w:r w:rsidR="00626821">
        <w:t>n</w:t>
      </w:r>
      <w:r w:rsidR="00626821" w:rsidRPr="00626821">
        <w:t>ařízení Komise v přenesené pravomoci (EU) 2017/565 ze dne 25. dubna 2016, kterým se doplňuje směrnice Evropského parlamentu a Rady 2014/65/EU, pokud jde o organizační požadavky a provozní podmínky investičních podniků a</w:t>
      </w:r>
      <w:r w:rsidR="00E22FDA">
        <w:t> </w:t>
      </w:r>
      <w:r w:rsidR="00626821" w:rsidRPr="00626821">
        <w:t>o vymezení pojmů pro účely zmíněné směrnice</w:t>
      </w:r>
      <w:r w:rsidR="00626821">
        <w:t>.</w:t>
      </w:r>
    </w:p>
    <w:p w14:paraId="0F36DDDA" w14:textId="137B93F6" w:rsidR="00EF09FC" w:rsidRPr="00120E8E" w:rsidRDefault="004954EF" w:rsidP="00D8601B">
      <w:pPr>
        <w:keepNext/>
        <w:rPr>
          <w:b/>
          <w:bCs/>
          <w:u w:val="single"/>
        </w:rPr>
      </w:pPr>
      <w:r w:rsidRPr="00120E8E">
        <w:rPr>
          <w:b/>
          <w:bCs/>
          <w:u w:val="single"/>
        </w:rPr>
        <w:lastRenderedPageBreak/>
        <w:t>K bodu 2</w:t>
      </w:r>
      <w:r w:rsidR="001D2B4D">
        <w:rPr>
          <w:b/>
          <w:bCs/>
          <w:u w:val="single"/>
        </w:rPr>
        <w:t>3</w:t>
      </w:r>
      <w:r w:rsidRPr="00120E8E">
        <w:rPr>
          <w:b/>
          <w:bCs/>
          <w:u w:val="single"/>
        </w:rPr>
        <w:t xml:space="preserve"> </w:t>
      </w:r>
      <w:r w:rsidR="00EF09FC" w:rsidRPr="00120E8E">
        <w:rPr>
          <w:b/>
          <w:bCs/>
          <w:u w:val="single"/>
        </w:rPr>
        <w:t>(k § 15cb</w:t>
      </w:r>
      <w:r w:rsidR="0084726B" w:rsidRPr="00120E8E">
        <w:rPr>
          <w:b/>
          <w:bCs/>
          <w:u w:val="single"/>
        </w:rPr>
        <w:t xml:space="preserve"> a 15cc</w:t>
      </w:r>
      <w:r w:rsidR="00EF09FC" w:rsidRPr="00120E8E">
        <w:rPr>
          <w:b/>
          <w:bCs/>
          <w:u w:val="single"/>
        </w:rPr>
        <w:t>)</w:t>
      </w:r>
    </w:p>
    <w:p w14:paraId="0C6AC7D1" w14:textId="5A6B9CBD" w:rsidR="00EF09FC" w:rsidRDefault="00EF09FC" w:rsidP="00D8601B">
      <w:pPr>
        <w:keepNext/>
      </w:pPr>
      <w:r w:rsidRPr="00120E8E">
        <w:t xml:space="preserve">V důsledku </w:t>
      </w:r>
      <w:r w:rsidR="006223F0">
        <w:t>snah o podporu</w:t>
      </w:r>
      <w:r w:rsidRPr="00120E8E">
        <w:t xml:space="preserve"> výzkumu v </w:t>
      </w:r>
      <w:proofErr w:type="spellStart"/>
      <w:r w:rsidRPr="00120E8E">
        <w:t>MiFID</w:t>
      </w:r>
      <w:proofErr w:type="spellEnd"/>
      <w:r w:rsidRPr="00120E8E">
        <w:t xml:space="preserve"> II</w:t>
      </w:r>
      <w:r w:rsidR="006223F0">
        <w:t>,</w:t>
      </w:r>
      <w:r w:rsidRPr="00120E8E">
        <w:t xml:space="preserve"> se dále ruší zákaz spojených plateb za</w:t>
      </w:r>
      <w:r w:rsidR="005F4048" w:rsidRPr="00120E8E">
        <w:t> </w:t>
      </w:r>
      <w:r w:rsidRPr="00120E8E">
        <w:t>investiční výzkum a provádění pokynů, kdy je tento nahrazen informační povinností OCP o</w:t>
      </w:r>
      <w:r w:rsidR="005F4048" w:rsidRPr="00120E8E">
        <w:t> </w:t>
      </w:r>
      <w:r w:rsidRPr="00120E8E">
        <w:t>zvoleném způsobu plateb za investiční výzkum. Volba využití spojených či oddělených plateb je ponechána na OCP.</w:t>
      </w:r>
    </w:p>
    <w:p w14:paraId="7FB8D4C3" w14:textId="605630C3" w:rsidR="00626821" w:rsidRPr="00120E8E" w:rsidRDefault="006223F0" w:rsidP="00EF09FC">
      <w:r>
        <w:t>Na koncepční změnu v </w:t>
      </w:r>
      <w:proofErr w:type="spellStart"/>
      <w:r>
        <w:t>MiFID</w:t>
      </w:r>
      <w:proofErr w:type="spellEnd"/>
      <w:r>
        <w:t xml:space="preserve"> II reaguje i nová úprava v </w:t>
      </w:r>
      <w:r w:rsidR="00626821">
        <w:t>§15cb</w:t>
      </w:r>
      <w:r>
        <w:t>, která se</w:t>
      </w:r>
      <w:r w:rsidR="00626821">
        <w:t xml:space="preserve"> věnuje povinnostem </w:t>
      </w:r>
      <w:r>
        <w:t xml:space="preserve">OCP spojenými s </w:t>
      </w:r>
      <w:r w:rsidR="00626821">
        <w:t>poplatk</w:t>
      </w:r>
      <w:r>
        <w:t>y</w:t>
      </w:r>
      <w:r w:rsidR="00626821">
        <w:t xml:space="preserve"> za investiční výzkum</w:t>
      </w:r>
      <w:r>
        <w:t xml:space="preserve">. </w:t>
      </w:r>
    </w:p>
    <w:p w14:paraId="601EE0D6" w14:textId="12F23036" w:rsidR="0048110F" w:rsidRDefault="006223F0" w:rsidP="00EF09FC">
      <w:r>
        <w:t>V § 15cc se zavádí</w:t>
      </w:r>
      <w:r w:rsidR="00EF09FC" w:rsidRPr="00120E8E">
        <w:t xml:space="preserve"> úprava výzkumu, který je </w:t>
      </w:r>
      <w:r w:rsidR="008D1FE4" w:rsidRPr="00120E8E">
        <w:t xml:space="preserve">alespoň </w:t>
      </w:r>
      <w:r w:rsidR="0084726B" w:rsidRPr="00120E8E">
        <w:t>z části</w:t>
      </w:r>
      <w:r w:rsidR="00EF09FC" w:rsidRPr="00120E8E">
        <w:t xml:space="preserve"> hrazen emitentem. Smyslem ustanovení je nastavit pravidla pro nově vznikající typ výzkumu</w:t>
      </w:r>
      <w:r>
        <w:t>.</w:t>
      </w:r>
      <w:r w:rsidR="00EF09FC" w:rsidRPr="00120E8E">
        <w:t xml:space="preserve"> Vzhledem k tomu, že</w:t>
      </w:r>
      <w:r w:rsidR="0084726B" w:rsidRPr="00120E8E">
        <w:t> </w:t>
      </w:r>
      <w:r w:rsidR="00EF09FC" w:rsidRPr="00120E8E">
        <w:t>současná úprava v oblasti výzkumů nevedla ke vzniku a výraznějšímu rozvoji segmentu investičního výzkumu, což v</w:t>
      </w:r>
      <w:r w:rsidR="0048110F">
        <w:t> </w:t>
      </w:r>
      <w:r w:rsidR="00EF09FC" w:rsidRPr="00120E8E">
        <w:t xml:space="preserve">konečném důsledku vedlo k poškození převážně </w:t>
      </w:r>
      <w:proofErr w:type="spellStart"/>
      <w:r>
        <w:t>SMEs</w:t>
      </w:r>
      <w:proofErr w:type="spellEnd"/>
      <w:r w:rsidR="008D1FE4" w:rsidRPr="00120E8E">
        <w:t>, zavádí</w:t>
      </w:r>
      <w:r w:rsidR="00EF09FC" w:rsidRPr="00120E8E">
        <w:t xml:space="preserve"> se </w:t>
      </w:r>
      <w:r w:rsidR="00CF488F">
        <w:t> </w:t>
      </w:r>
      <w:r w:rsidR="00EF09FC" w:rsidRPr="00120E8E">
        <w:t xml:space="preserve">tzv. výzkum sponzorovaný emitentem. </w:t>
      </w:r>
    </w:p>
    <w:p w14:paraId="426C2FB1" w14:textId="401520E8" w:rsidR="0048110F" w:rsidRDefault="0048110F" w:rsidP="00EF09FC">
      <w:r>
        <w:t xml:space="preserve">Výzkum hrazený emitentem by měl odpovídat tzv. </w:t>
      </w:r>
      <w:r w:rsidRPr="00120E8E">
        <w:t>Kodex</w:t>
      </w:r>
      <w:r>
        <w:t>u</w:t>
      </w:r>
      <w:r w:rsidRPr="00120E8E">
        <w:t xml:space="preserve"> chování EU pro výzkum sponzorovaný emitentem</w:t>
      </w:r>
      <w:r w:rsidR="006223F0">
        <w:t xml:space="preserve"> (dále též „Kodex“)</w:t>
      </w:r>
      <w:r>
        <w:t xml:space="preserve">, který bude přijat na základě ESMA technických norem a kterým </w:t>
      </w:r>
      <w:r w:rsidR="00503C81">
        <w:t xml:space="preserve">EK </w:t>
      </w:r>
      <w:r>
        <w:t xml:space="preserve">doplní směrnici </w:t>
      </w:r>
      <w:proofErr w:type="spellStart"/>
      <w:r>
        <w:t>Listing</w:t>
      </w:r>
      <w:proofErr w:type="spellEnd"/>
      <w:r>
        <w:t xml:space="preserve"> </w:t>
      </w:r>
      <w:proofErr w:type="spellStart"/>
      <w:r>
        <w:t>Act</w:t>
      </w:r>
      <w:proofErr w:type="spellEnd"/>
      <w:r>
        <w:t xml:space="preserve"> balíčku.</w:t>
      </w:r>
    </w:p>
    <w:p w14:paraId="0FC49AAA" w14:textId="2BBA505D" w:rsidR="00EF09FC" w:rsidRPr="00120E8E" w:rsidRDefault="00EF09FC" w:rsidP="00EF09FC">
      <w:r w:rsidRPr="00120E8E">
        <w:t>V případě, že</w:t>
      </w:r>
      <w:r w:rsidR="0084726B" w:rsidRPr="00120E8E">
        <w:t> </w:t>
      </w:r>
      <w:r w:rsidRPr="00120E8E">
        <w:t xml:space="preserve">nebudou naplněny požadavky na výzkum hrazený emitentem, tj. </w:t>
      </w:r>
      <w:r w:rsidR="0084726B" w:rsidRPr="00120E8E">
        <w:t xml:space="preserve">tento </w:t>
      </w:r>
      <w:r w:rsidRPr="00120E8E">
        <w:t>nebude vypracován v souladu s Kodexem, musí být takový výzkum označen jako propagační sdělení. Ustanovení tedy nezakazuje výzkum hrazený emitentem, který není v souladu s </w:t>
      </w:r>
      <w:r w:rsidR="006223F0">
        <w:t>K</w:t>
      </w:r>
      <w:r w:rsidRPr="00120E8E">
        <w:t xml:space="preserve">odexem, pouze vyžaduje v případě jeho realizace náležité označení, </w:t>
      </w:r>
      <w:r w:rsidR="008D1FE4" w:rsidRPr="00120E8E">
        <w:t>aby se</w:t>
      </w:r>
      <w:r w:rsidRPr="00120E8E">
        <w:t xml:space="preserve"> zamezilo riziku záměny s</w:t>
      </w:r>
      <w:r w:rsidR="0048110F">
        <w:t xml:space="preserve"> tzv. </w:t>
      </w:r>
      <w:r w:rsidR="00CF488F">
        <w:t> </w:t>
      </w:r>
      <w:r w:rsidRPr="00120E8E">
        <w:t>výzkumem</w:t>
      </w:r>
      <w:r w:rsidR="0048110F">
        <w:t xml:space="preserve"> hrazeným emitentem</w:t>
      </w:r>
      <w:r w:rsidRPr="00120E8E">
        <w:t>, který byl vypracován v souladu s </w:t>
      </w:r>
      <w:r w:rsidR="006223F0">
        <w:t>K</w:t>
      </w:r>
      <w:r w:rsidRPr="00120E8E">
        <w:t>odexem.</w:t>
      </w:r>
    </w:p>
    <w:p w14:paraId="0F55169C" w14:textId="32A88181" w:rsidR="00EF09FC" w:rsidRPr="00120E8E" w:rsidRDefault="0048110F" w:rsidP="00EF09FC">
      <w:r>
        <w:t>V</w:t>
      </w:r>
      <w:r w:rsidR="00EF09FC" w:rsidRPr="00120E8E">
        <w:t>ýzkum sponzorovaný emitentem může být uveřejněn v ESAP. Jedná se ovšem o</w:t>
      </w:r>
      <w:r w:rsidR="005F4048" w:rsidRPr="00120E8E">
        <w:t> </w:t>
      </w:r>
      <w:r w:rsidR="00EF09FC" w:rsidRPr="00120E8E">
        <w:t>možnost, nikoliv povinnost.</w:t>
      </w:r>
      <w:r>
        <w:t xml:space="preserve"> Uveřejnění v ESAP by mělo rozšířit povědomí o tomto výzkumu</w:t>
      </w:r>
      <w:r w:rsidR="00D03BEE">
        <w:t>,</w:t>
      </w:r>
      <w:r>
        <w:t xml:space="preserve"> a tak zvýšit atraktivnost emitenta.</w:t>
      </w:r>
    </w:p>
    <w:p w14:paraId="4E51227B" w14:textId="706FB35E" w:rsidR="00EF09FC" w:rsidRPr="00120E8E" w:rsidRDefault="0084726B" w:rsidP="00EF09FC">
      <w:pPr>
        <w:rPr>
          <w:b/>
          <w:bCs/>
          <w:u w:val="single"/>
        </w:rPr>
      </w:pPr>
      <w:r w:rsidRPr="00120E8E">
        <w:rPr>
          <w:b/>
          <w:bCs/>
          <w:u w:val="single"/>
        </w:rPr>
        <w:t xml:space="preserve">K bodu </w:t>
      </w:r>
      <w:r w:rsidR="00B73BB6">
        <w:rPr>
          <w:b/>
          <w:bCs/>
          <w:u w:val="single"/>
        </w:rPr>
        <w:t>2</w:t>
      </w:r>
      <w:r w:rsidR="001D2B4D">
        <w:rPr>
          <w:b/>
          <w:bCs/>
          <w:u w:val="single"/>
        </w:rPr>
        <w:t>4</w:t>
      </w:r>
      <w:r w:rsidR="00B73BB6" w:rsidRPr="00120E8E">
        <w:rPr>
          <w:b/>
          <w:bCs/>
          <w:u w:val="single"/>
        </w:rPr>
        <w:t xml:space="preserve"> </w:t>
      </w:r>
      <w:r w:rsidR="00EF09FC" w:rsidRPr="00120E8E">
        <w:rPr>
          <w:b/>
          <w:bCs/>
          <w:u w:val="single"/>
        </w:rPr>
        <w:t>(k § 15e)</w:t>
      </w:r>
    </w:p>
    <w:p w14:paraId="19A4B149" w14:textId="77777777" w:rsidR="00EF09FC" w:rsidRPr="00120E8E" w:rsidRDefault="00EF09FC" w:rsidP="00EF09FC">
      <w:r w:rsidRPr="00120E8E">
        <w:t xml:space="preserve">Jedná se o legislativně-technickou změnu, kdy se mění odkazy v důsledku změn § 15 a 15ca. </w:t>
      </w:r>
    </w:p>
    <w:p w14:paraId="5E3206DF" w14:textId="421339D8" w:rsidR="00EF09FC" w:rsidRPr="00120E8E" w:rsidRDefault="0084726B" w:rsidP="00EF09FC">
      <w:pPr>
        <w:rPr>
          <w:b/>
          <w:bCs/>
          <w:u w:val="single"/>
        </w:rPr>
      </w:pPr>
      <w:r w:rsidRPr="00120E8E">
        <w:rPr>
          <w:b/>
          <w:bCs/>
          <w:u w:val="single"/>
        </w:rPr>
        <w:t xml:space="preserve">K bodu </w:t>
      </w:r>
      <w:r w:rsidR="00B73BB6" w:rsidRPr="00120E8E">
        <w:rPr>
          <w:b/>
          <w:bCs/>
          <w:u w:val="single"/>
        </w:rPr>
        <w:t>2</w:t>
      </w:r>
      <w:r w:rsidR="001D2B4D">
        <w:rPr>
          <w:b/>
          <w:bCs/>
          <w:u w:val="single"/>
        </w:rPr>
        <w:t>5</w:t>
      </w:r>
      <w:r w:rsidR="00B73BB6" w:rsidRPr="00120E8E">
        <w:rPr>
          <w:b/>
          <w:bCs/>
          <w:u w:val="single"/>
        </w:rPr>
        <w:t xml:space="preserve"> </w:t>
      </w:r>
      <w:r w:rsidRPr="00120E8E">
        <w:rPr>
          <w:b/>
          <w:bCs/>
          <w:u w:val="single"/>
        </w:rPr>
        <w:t xml:space="preserve">až </w:t>
      </w:r>
      <w:r w:rsidR="00B73BB6" w:rsidRPr="00120E8E">
        <w:rPr>
          <w:b/>
          <w:bCs/>
          <w:u w:val="single"/>
        </w:rPr>
        <w:t>2</w:t>
      </w:r>
      <w:r w:rsidR="001D2B4D">
        <w:rPr>
          <w:b/>
          <w:bCs/>
          <w:u w:val="single"/>
        </w:rPr>
        <w:t>7</w:t>
      </w:r>
      <w:r w:rsidR="00B73BB6" w:rsidRPr="00120E8E">
        <w:rPr>
          <w:b/>
          <w:bCs/>
          <w:u w:val="single"/>
        </w:rPr>
        <w:t xml:space="preserve"> </w:t>
      </w:r>
      <w:r w:rsidR="00EF09FC" w:rsidRPr="00120E8E">
        <w:rPr>
          <w:b/>
          <w:bCs/>
          <w:u w:val="single"/>
        </w:rPr>
        <w:t>(k § 16)</w:t>
      </w:r>
    </w:p>
    <w:p w14:paraId="403E928C" w14:textId="77777777" w:rsidR="00EF09FC" w:rsidRPr="00120E8E" w:rsidRDefault="00EF09FC" w:rsidP="00EF09FC">
      <w:r w:rsidRPr="00120E8E">
        <w:t>Jde o legislativně-technickou změnu reagující na změnu § 6 a zrušení § 6a.</w:t>
      </w:r>
    </w:p>
    <w:p w14:paraId="3B88D02A" w14:textId="769EE37D" w:rsidR="00EF09FC" w:rsidRPr="00120E8E" w:rsidRDefault="0084726B" w:rsidP="00EF09FC">
      <w:pPr>
        <w:rPr>
          <w:b/>
          <w:bCs/>
          <w:u w:val="single"/>
        </w:rPr>
      </w:pPr>
      <w:r w:rsidRPr="00120E8E">
        <w:rPr>
          <w:b/>
          <w:bCs/>
          <w:u w:val="single"/>
        </w:rPr>
        <w:t xml:space="preserve">K bodu </w:t>
      </w:r>
      <w:r w:rsidR="00B73BB6" w:rsidRPr="00120E8E">
        <w:rPr>
          <w:b/>
          <w:bCs/>
          <w:u w:val="single"/>
        </w:rPr>
        <w:t>2</w:t>
      </w:r>
      <w:r w:rsidR="001D2B4D">
        <w:rPr>
          <w:b/>
          <w:bCs/>
          <w:u w:val="single"/>
        </w:rPr>
        <w:t>8</w:t>
      </w:r>
      <w:r w:rsidR="00B73BB6" w:rsidRPr="00120E8E">
        <w:rPr>
          <w:b/>
          <w:bCs/>
          <w:u w:val="single"/>
        </w:rPr>
        <w:t xml:space="preserve"> </w:t>
      </w:r>
      <w:r w:rsidR="00EF09FC" w:rsidRPr="00120E8E">
        <w:rPr>
          <w:b/>
          <w:bCs/>
          <w:u w:val="single"/>
        </w:rPr>
        <w:t>(k § 16a)</w:t>
      </w:r>
    </w:p>
    <w:p w14:paraId="0AA6A3CB" w14:textId="77777777" w:rsidR="00EF09FC" w:rsidRPr="00120E8E" w:rsidRDefault="00EF09FC" w:rsidP="00EF09FC">
      <w:r w:rsidRPr="00120E8E">
        <w:t>Jedná se o opravu chybného odkazu.</w:t>
      </w:r>
    </w:p>
    <w:p w14:paraId="35E64FA1" w14:textId="1B144708" w:rsidR="00EF09FC" w:rsidRPr="00120E8E" w:rsidRDefault="0084726B" w:rsidP="00EF09FC">
      <w:pPr>
        <w:rPr>
          <w:b/>
          <w:bCs/>
          <w:u w:val="single"/>
        </w:rPr>
      </w:pPr>
      <w:r w:rsidRPr="00120E8E">
        <w:rPr>
          <w:b/>
          <w:bCs/>
          <w:u w:val="single"/>
        </w:rPr>
        <w:t xml:space="preserve">K bodu </w:t>
      </w:r>
      <w:r w:rsidR="00B73BB6" w:rsidRPr="00120E8E">
        <w:rPr>
          <w:b/>
          <w:bCs/>
          <w:u w:val="single"/>
        </w:rPr>
        <w:t>2</w:t>
      </w:r>
      <w:r w:rsidR="001D2B4D">
        <w:rPr>
          <w:b/>
          <w:bCs/>
          <w:u w:val="single"/>
        </w:rPr>
        <w:t>9</w:t>
      </w:r>
      <w:r w:rsidR="00B73BB6">
        <w:rPr>
          <w:b/>
          <w:bCs/>
          <w:u w:val="single"/>
        </w:rPr>
        <w:t xml:space="preserve"> </w:t>
      </w:r>
      <w:r w:rsidR="00EF09FC" w:rsidRPr="00120E8E">
        <w:rPr>
          <w:b/>
          <w:bCs/>
          <w:u w:val="single"/>
        </w:rPr>
        <w:t>(k § 18)</w:t>
      </w:r>
    </w:p>
    <w:p w14:paraId="5F89A5C2" w14:textId="77777777" w:rsidR="00EF09FC" w:rsidRPr="00120E8E" w:rsidRDefault="00EF09FC" w:rsidP="00EF09FC">
      <w:r w:rsidRPr="00120E8E">
        <w:t>Jde o legislativně-technickou změnu reagující na zrušení registrační povinnosti v případě další podnikatelské činnosti.</w:t>
      </w:r>
    </w:p>
    <w:p w14:paraId="3EA8EE40" w14:textId="6946D2C5" w:rsidR="00EF09FC" w:rsidRPr="00120E8E" w:rsidRDefault="0084726B" w:rsidP="00EF09FC">
      <w:pPr>
        <w:rPr>
          <w:b/>
          <w:bCs/>
          <w:u w:val="single"/>
        </w:rPr>
      </w:pPr>
      <w:r w:rsidRPr="00120E8E">
        <w:rPr>
          <w:b/>
          <w:bCs/>
          <w:u w:val="single"/>
        </w:rPr>
        <w:t xml:space="preserve">K bodu </w:t>
      </w:r>
      <w:r w:rsidR="001D2B4D">
        <w:rPr>
          <w:b/>
          <w:bCs/>
          <w:u w:val="single"/>
        </w:rPr>
        <w:t>30</w:t>
      </w:r>
      <w:r w:rsidR="00B73BB6" w:rsidRPr="00120E8E">
        <w:rPr>
          <w:b/>
          <w:bCs/>
          <w:u w:val="single"/>
        </w:rPr>
        <w:t xml:space="preserve"> </w:t>
      </w:r>
      <w:r w:rsidR="00EF09FC" w:rsidRPr="00120E8E">
        <w:rPr>
          <w:b/>
          <w:bCs/>
          <w:u w:val="single"/>
        </w:rPr>
        <w:t>(k § 30</w:t>
      </w:r>
      <w:r w:rsidRPr="00120E8E">
        <w:rPr>
          <w:b/>
          <w:bCs/>
          <w:u w:val="single"/>
        </w:rPr>
        <w:t xml:space="preserve"> a 198</w:t>
      </w:r>
      <w:r w:rsidR="00EF09FC" w:rsidRPr="00120E8E">
        <w:rPr>
          <w:b/>
          <w:bCs/>
          <w:u w:val="single"/>
        </w:rPr>
        <w:t>)</w:t>
      </w:r>
    </w:p>
    <w:p w14:paraId="71C8E0DE" w14:textId="0C99F00D" w:rsidR="00EF09FC" w:rsidRPr="00120E8E" w:rsidRDefault="00EF09FC" w:rsidP="00EF09FC">
      <w:pPr>
        <w:rPr>
          <w:b/>
          <w:bCs/>
          <w:u w:val="single"/>
        </w:rPr>
      </w:pPr>
      <w:r w:rsidRPr="00120E8E">
        <w:t>Požadavek svéprávnosti se ruší v důsledku snahy o snižování administrativní zátěže a</w:t>
      </w:r>
      <w:r w:rsidR="005F4048" w:rsidRPr="00120E8E">
        <w:t> </w:t>
      </w:r>
      <w:r w:rsidRPr="00120E8E">
        <w:t xml:space="preserve">odstraňování </w:t>
      </w:r>
      <w:proofErr w:type="spellStart"/>
      <w:r w:rsidRPr="00120E8E">
        <w:t>gold</w:t>
      </w:r>
      <w:r w:rsidR="00F67080" w:rsidRPr="00120E8E">
        <w:t>-</w:t>
      </w:r>
      <w:r w:rsidRPr="00120E8E">
        <w:t>platingu</w:t>
      </w:r>
      <w:proofErr w:type="spellEnd"/>
      <w:r w:rsidRPr="00120E8E">
        <w:t>. Unijní předpisy explicitně požadavek svéprávnosti neobsahují a</w:t>
      </w:r>
      <w:r w:rsidR="005F4048" w:rsidRPr="00120E8E">
        <w:t> </w:t>
      </w:r>
      <w:r w:rsidRPr="00120E8E">
        <w:t>v praxi se podle vyjádření ČNB žádosti nesvéprávných osob nevyskytují.</w:t>
      </w:r>
    </w:p>
    <w:p w14:paraId="426799C3" w14:textId="452D043F" w:rsidR="00EF09FC" w:rsidRPr="00120E8E" w:rsidRDefault="00CA35DF" w:rsidP="00EF09FC">
      <w:r w:rsidRPr="00120E8E">
        <w:rPr>
          <w:b/>
          <w:bCs/>
          <w:u w:val="single"/>
        </w:rPr>
        <w:t xml:space="preserve">K bodu </w:t>
      </w:r>
      <w:r w:rsidR="00B73BB6">
        <w:rPr>
          <w:b/>
          <w:bCs/>
          <w:u w:val="single"/>
        </w:rPr>
        <w:t>3</w:t>
      </w:r>
      <w:r w:rsidR="0053716C">
        <w:rPr>
          <w:b/>
          <w:bCs/>
          <w:u w:val="single"/>
        </w:rPr>
        <w:t>1</w:t>
      </w:r>
      <w:r w:rsidR="00B73BB6" w:rsidRPr="00120E8E">
        <w:rPr>
          <w:b/>
          <w:bCs/>
          <w:u w:val="single"/>
        </w:rPr>
        <w:t xml:space="preserve"> </w:t>
      </w:r>
      <w:r w:rsidR="00EF09FC" w:rsidRPr="00120E8E">
        <w:rPr>
          <w:b/>
          <w:bCs/>
          <w:u w:val="single"/>
        </w:rPr>
        <w:t>(k § 36</w:t>
      </w:r>
      <w:r w:rsidRPr="00120E8E">
        <w:rPr>
          <w:b/>
          <w:bCs/>
          <w:u w:val="single"/>
        </w:rPr>
        <w:t xml:space="preserve"> a 36a</w:t>
      </w:r>
      <w:r w:rsidR="00EF09FC" w:rsidRPr="00120E8E">
        <w:rPr>
          <w:b/>
          <w:bCs/>
          <w:u w:val="single"/>
        </w:rPr>
        <w:t>)</w:t>
      </w:r>
    </w:p>
    <w:p w14:paraId="1B82A416" w14:textId="551E1DB3" w:rsidR="00EF09FC" w:rsidRDefault="00EF09FC" w:rsidP="00EF09FC">
      <w:r w:rsidRPr="00120E8E">
        <w:lastRenderedPageBreak/>
        <w:t xml:space="preserve">Nařízení o prospektu v čl. 3 odst. 1 stanovuje obecnou povinnost při veřejné nabídce </w:t>
      </w:r>
      <w:r w:rsidR="00607CEF">
        <w:t>cenných papírů nebo jejich přijet</w:t>
      </w:r>
      <w:r w:rsidR="006223F0">
        <w:t>í</w:t>
      </w:r>
      <w:r w:rsidR="00607CEF">
        <w:t xml:space="preserve"> k obchodování na regulovaném trhu </w:t>
      </w:r>
      <w:r w:rsidRPr="00120E8E">
        <w:t>uveřejnit prospekt. Toto ustanovení je ovšem nutné číst v souvislosti s odst. 2</w:t>
      </w:r>
      <w:r w:rsidR="00224888">
        <w:t xml:space="preserve"> nařízení o prospektu</w:t>
      </w:r>
      <w:r w:rsidRPr="00120E8E">
        <w:t>, který stanovuje výjimku pro po</w:t>
      </w:r>
      <w:r w:rsidR="00224888">
        <w:t>vinnost z prospektu pro nabídky, k</w:t>
      </w:r>
      <w:r w:rsidRPr="00120E8E">
        <w:t>teré nepodléhají oznamovací povinnosti podle čl. 25 nařízení o prospektu</w:t>
      </w:r>
      <w:r w:rsidR="00607CEF">
        <w:t>,</w:t>
      </w:r>
      <w:r w:rsidRPr="00120E8E">
        <w:t xml:space="preserve"> stejně tak jako pro nabídky pod hranicí 12 000</w:t>
      </w:r>
      <w:r w:rsidR="00607CEF">
        <w:t> </w:t>
      </w:r>
      <w:r w:rsidRPr="00120E8E">
        <w:t>000</w:t>
      </w:r>
      <w:r w:rsidR="00607CEF">
        <w:t> </w:t>
      </w:r>
      <w:r w:rsidRPr="00120E8E">
        <w:t>EUR (tzv. hranice pro</w:t>
      </w:r>
      <w:r w:rsidR="005F4048" w:rsidRPr="00120E8E">
        <w:t> </w:t>
      </w:r>
      <w:r w:rsidRPr="00120E8E">
        <w:t>prospekt).</w:t>
      </w:r>
    </w:p>
    <w:p w14:paraId="1CB7E0DC" w14:textId="4AC4653D" w:rsidR="007E0E9D" w:rsidRPr="00120E8E" w:rsidRDefault="007E0E9D" w:rsidP="00EF09FC">
      <w:r>
        <w:t>Hranice pro prospekt byla revizí nařízení zvýšena ve snaze usnadnit SME přístup k financím prostřednictvím kapitálového trhu namísto bankovního financování. Zároveň došlo k odbourání pásma hranice pro prospekt, kdy doposud byla stanovena hranice 1 000 000 EUR, ale</w:t>
      </w:r>
      <w:r w:rsidR="009D039A">
        <w:t> </w:t>
      </w:r>
      <w:r>
        <w:t xml:space="preserve">diskrecí mohly členské státy určit libovolnou </w:t>
      </w:r>
      <w:r w:rsidR="00B903FB">
        <w:t xml:space="preserve">vyšší </w:t>
      </w:r>
      <w:r>
        <w:t xml:space="preserve">hranici </w:t>
      </w:r>
      <w:r w:rsidR="00B903FB">
        <w:t>až na 8 000 000 EUR. To vedlo k roztříštěnosti právní úpravy napříč členskými státy.</w:t>
      </w:r>
    </w:p>
    <w:p w14:paraId="18829BB2" w14:textId="03C8C39B" w:rsidR="00607CEF" w:rsidRDefault="00EF09FC" w:rsidP="00EF09FC">
      <w:r w:rsidRPr="00120E8E">
        <w:t xml:space="preserve">Nařízení o prospektu </w:t>
      </w:r>
      <w:r w:rsidR="006223F0">
        <w:t xml:space="preserve">tedy nově </w:t>
      </w:r>
      <w:r w:rsidRPr="00120E8E">
        <w:t>stanovuje obecnou hranici pro prospekt na 12 000 000 EUR</w:t>
      </w:r>
      <w:r w:rsidR="006223F0">
        <w:t>,</w:t>
      </w:r>
      <w:r w:rsidRPr="00120E8E">
        <w:t xml:space="preserve"> ovšem dovoluje členským státům tuto hranici snížit na</w:t>
      </w:r>
      <w:r w:rsidR="005F4048" w:rsidRPr="00120E8E">
        <w:t> </w:t>
      </w:r>
      <w:r w:rsidRPr="00120E8E">
        <w:t>5 000</w:t>
      </w:r>
      <w:r w:rsidR="005F4048" w:rsidRPr="00120E8E">
        <w:t> </w:t>
      </w:r>
      <w:r w:rsidRPr="00120E8E">
        <w:t>000</w:t>
      </w:r>
      <w:r w:rsidR="005F4048" w:rsidRPr="00120E8E">
        <w:t> </w:t>
      </w:r>
      <w:r w:rsidRPr="00120E8E">
        <w:t>EUR. Při využití této diskrece tak vzniká povinnost uveřejnit prospekt při</w:t>
      </w:r>
      <w:r w:rsidR="005F4048" w:rsidRPr="00120E8E">
        <w:t> </w:t>
      </w:r>
      <w:r w:rsidRPr="00120E8E">
        <w:t xml:space="preserve">celkovém souhrnném protiplnění v částce </w:t>
      </w:r>
      <w:r w:rsidR="00B903FB">
        <w:t>od</w:t>
      </w:r>
      <w:r w:rsidR="006C70ED">
        <w:t> </w:t>
      </w:r>
      <w:r w:rsidRPr="00120E8E">
        <w:t>5 000 000 EUR.</w:t>
      </w:r>
      <w:r w:rsidR="00FC5063">
        <w:t xml:space="preserve"> Celková souhrnn</w:t>
      </w:r>
      <w:r w:rsidR="007E0E9D">
        <w:t>á</w:t>
      </w:r>
      <w:r w:rsidR="00FC5063">
        <w:t xml:space="preserve"> hodnota cenných papírů </w:t>
      </w:r>
      <w:r w:rsidR="007E0E9D">
        <w:t>pro hranici prospektu je počítána podle čl. 3 odst. 2c nařízení o</w:t>
      </w:r>
      <w:r w:rsidR="009D039A">
        <w:t> </w:t>
      </w:r>
      <w:r w:rsidR="007E0E9D">
        <w:t>prospektu</w:t>
      </w:r>
      <w:r w:rsidR="00B903FB">
        <w:t xml:space="preserve"> a</w:t>
      </w:r>
      <w:r w:rsidR="007E0E9D">
        <w:t xml:space="preserve"> </w:t>
      </w:r>
      <w:r w:rsidR="00B903FB">
        <w:t xml:space="preserve">představuje </w:t>
      </w:r>
      <w:r w:rsidR="00FE5A71" w:rsidRPr="00FE5A71">
        <w:t>celkovou souhrnn</w:t>
      </w:r>
      <w:r w:rsidR="00FE5A71">
        <w:t>ou</w:t>
      </w:r>
      <w:r w:rsidR="00FE5A71" w:rsidRPr="00FE5A71">
        <w:t xml:space="preserve"> hodnot</w:t>
      </w:r>
      <w:r w:rsidR="00FE5A71">
        <w:t>u</w:t>
      </w:r>
      <w:r w:rsidR="00FE5A71" w:rsidRPr="00FE5A71">
        <w:t xml:space="preserve"> protiplnění za nabízené cenné papíry na emitenta nebo osobu nabízející cenné papíry</w:t>
      </w:r>
      <w:r w:rsidR="00FE5A71" w:rsidRPr="00686EA8">
        <w:t xml:space="preserve"> </w:t>
      </w:r>
      <w:r w:rsidR="00FE5A71" w:rsidRPr="00FE5A71">
        <w:t xml:space="preserve">v rámci </w:t>
      </w:r>
      <w:r w:rsidR="00686EA8">
        <w:t xml:space="preserve">všech </w:t>
      </w:r>
      <w:r w:rsidR="00686EA8" w:rsidRPr="00686EA8">
        <w:t xml:space="preserve">veřejných nabídek v </w:t>
      </w:r>
      <w:r w:rsidR="00FE5A71" w:rsidRPr="00FE5A71">
        <w:t xml:space="preserve">celé EU </w:t>
      </w:r>
      <w:r w:rsidR="00B903FB">
        <w:t>za</w:t>
      </w:r>
      <w:r w:rsidR="009D039A">
        <w:t> </w:t>
      </w:r>
      <w:r w:rsidR="00B903FB">
        <w:t>posledních 12 měsíců</w:t>
      </w:r>
      <w:r w:rsidR="00686EA8">
        <w:t xml:space="preserve"> </w:t>
      </w:r>
      <w:r w:rsidR="00686EA8" w:rsidRPr="00686EA8">
        <w:t>předcházejících dni zahájení nové veřejné nabídky cenných papírů</w:t>
      </w:r>
      <w:r w:rsidR="00B903FB">
        <w:t>, jde tedy o klouzavou lhůtu.</w:t>
      </w:r>
    </w:p>
    <w:p w14:paraId="7DDD9616" w14:textId="5037B997" w:rsidR="00EF09FC" w:rsidRPr="00120E8E" w:rsidRDefault="00EF09FC" w:rsidP="00EF09FC">
      <w:r w:rsidRPr="00120E8E">
        <w:t>S ohledem na</w:t>
      </w:r>
      <w:r w:rsidR="00607CEF">
        <w:t> </w:t>
      </w:r>
      <w:r w:rsidRPr="00120E8E">
        <w:t>dosavadní praxi, kdy</w:t>
      </w:r>
      <w:r w:rsidR="00224888">
        <w:t xml:space="preserve"> v ČR</w:t>
      </w:r>
      <w:r w:rsidRPr="00120E8E">
        <w:t xml:space="preserve"> povinnost uveřejnit prospekt vznik</w:t>
      </w:r>
      <w:r w:rsidR="00C71BF5">
        <w:t>ala</w:t>
      </w:r>
      <w:r w:rsidRPr="00120E8E">
        <w:t xml:space="preserve"> již při</w:t>
      </w:r>
      <w:r w:rsidR="006C70ED">
        <w:t> </w:t>
      </w:r>
      <w:r w:rsidRPr="00120E8E">
        <w:t>protiplnění ve výši 1 000 000 EUR a</w:t>
      </w:r>
      <w:r w:rsidR="005F4048" w:rsidRPr="00120E8E">
        <w:t> </w:t>
      </w:r>
      <w:r w:rsidRPr="00120E8E">
        <w:t>při</w:t>
      </w:r>
      <w:r w:rsidR="005F4048" w:rsidRPr="00120E8E">
        <w:t> </w:t>
      </w:r>
      <w:r w:rsidRPr="00120E8E">
        <w:t xml:space="preserve">zohlednění velikosti tuzemského kapitálového trhu, </w:t>
      </w:r>
      <w:r w:rsidR="004854A7">
        <w:t>ČR</w:t>
      </w:r>
      <w:r w:rsidRPr="00120E8E">
        <w:t xml:space="preserve"> </w:t>
      </w:r>
      <w:r w:rsidR="004854A7">
        <w:t xml:space="preserve">se </w:t>
      </w:r>
      <w:r w:rsidR="00224888">
        <w:t>rozhodla využít</w:t>
      </w:r>
      <w:r w:rsidRPr="00120E8E">
        <w:t xml:space="preserve"> diskreci plynoucí z nařízení o</w:t>
      </w:r>
      <w:r w:rsidR="005F4048" w:rsidRPr="00120E8E">
        <w:t> </w:t>
      </w:r>
      <w:r w:rsidRPr="00120E8E">
        <w:t>prospektu a stanovila hranici pro</w:t>
      </w:r>
      <w:r w:rsidR="009D039A">
        <w:t> </w:t>
      </w:r>
      <w:r w:rsidRPr="00120E8E">
        <w:t>prospekt</w:t>
      </w:r>
      <w:r w:rsidR="00C71BF5">
        <w:t xml:space="preserve"> na</w:t>
      </w:r>
      <w:r w:rsidRPr="00120E8E">
        <w:t xml:space="preserve"> 5 000 000 EUR. </w:t>
      </w:r>
    </w:p>
    <w:p w14:paraId="38D3CFBD" w14:textId="04D7A92E" w:rsidR="00EF09FC" w:rsidRPr="00120E8E" w:rsidRDefault="00EF09FC" w:rsidP="00EF09FC">
      <w:r w:rsidRPr="00120E8E">
        <w:t>Ustanovení § 36</w:t>
      </w:r>
      <w:r w:rsidR="006C70ED">
        <w:t xml:space="preserve"> v</w:t>
      </w:r>
      <w:r w:rsidRPr="00120E8E">
        <w:t xml:space="preserve"> tomto kontextu nelze vnímat jako ustanovení, které by omezovalo/rušilo přímo aplikovatelné výjimky v nařízení o prospektu; pouze stanovuje nižší </w:t>
      </w:r>
      <w:r w:rsidR="00C71BF5">
        <w:t xml:space="preserve">obecnou </w:t>
      </w:r>
      <w:r w:rsidRPr="00120E8E">
        <w:t>hranici pro</w:t>
      </w:r>
      <w:r w:rsidR="006C70ED">
        <w:t> </w:t>
      </w:r>
      <w:r w:rsidRPr="00120E8E">
        <w:t xml:space="preserve">prospekt. </w:t>
      </w:r>
    </w:p>
    <w:p w14:paraId="0610B3EA" w14:textId="316ABE5D" w:rsidR="00EF09FC" w:rsidRPr="00120E8E" w:rsidRDefault="00EF09FC" w:rsidP="00EF09FC">
      <w:r w:rsidRPr="00120E8E">
        <w:t>V případě veřejné nabídky nebo přijetí k obchodování cenných papírů, které by byly vyňaty z povinnosti uveřejnit prospekt pouze z toho důvodu, že celkové souhrnné protiplnění nedosahuje hranice pro prospekt, tj. nedosahuje částky 5 000 0000 EUR, je</w:t>
      </w:r>
      <w:r w:rsidR="003873F0" w:rsidRPr="00120E8E">
        <w:t> </w:t>
      </w:r>
      <w:r w:rsidRPr="00120E8E">
        <w:t xml:space="preserve">zavedena povinnost uveřejnit emisní dokument. </w:t>
      </w:r>
    </w:p>
    <w:p w14:paraId="49D2D779" w14:textId="74A115BE" w:rsidR="00EF09FC" w:rsidRPr="00120E8E" w:rsidRDefault="00EF09FC" w:rsidP="00EF09FC">
      <w:r w:rsidRPr="00120E8E">
        <w:t>Pod hranicí pro prospekt, která podle § 36 činí 5 000 000 EUR, mohou členské státy vyžadovat informace, jejichž rozsah nebude větší, než je rozsah shrnutí prospektu podle nařízení o</w:t>
      </w:r>
      <w:r w:rsidR="003873F0" w:rsidRPr="00120E8E">
        <w:t> </w:t>
      </w:r>
      <w:r w:rsidRPr="00120E8E">
        <w:t xml:space="preserve">prospektu. </w:t>
      </w:r>
      <w:r w:rsidR="00A13A46">
        <w:t>ČR</w:t>
      </w:r>
      <w:r w:rsidRPr="00120E8E">
        <w:t xml:space="preserve"> této možnosti využila</w:t>
      </w:r>
      <w:r w:rsidR="00C71BF5">
        <w:t xml:space="preserve"> (§ 36a)</w:t>
      </w:r>
      <w:r w:rsidRPr="00120E8E">
        <w:t xml:space="preserve">, a to i s ohledem na skutečnost, že </w:t>
      </w:r>
      <w:r w:rsidR="00066BC9">
        <w:t>doposud</w:t>
      </w:r>
      <w:r w:rsidRPr="00120E8E">
        <w:t xml:space="preserve"> byla hranice pro prospekt stanovena na 1 000 000 EUR. Nově budou takové veřejné nabídky/přijetí k obchodování podléhat pouze povinnosti uvést informace v rozsahu shrnutí prospektu, čímž dojde ke snížení administrativní zátěže. Zároveň bude zachována dostatečná informační povinnost, ze které </w:t>
      </w:r>
      <w:r w:rsidR="00224888">
        <w:t>mají výhodu</w:t>
      </w:r>
      <w:r w:rsidRPr="00120E8E">
        <w:t xml:space="preserve"> (potencionální) investoři při svém rozhodování. Toto poskytuje ochranu investora prostřednictvím poskytnutí dostatečného množství relevantních informací</w:t>
      </w:r>
      <w:r w:rsidR="0045743E">
        <w:t>, aniž by docházelo k informačnímu přehlcení</w:t>
      </w:r>
      <w:r w:rsidRPr="00120E8E">
        <w:t>. Povinnost uveřejnit emisní dokument,</w:t>
      </w:r>
      <w:r w:rsidR="007B65BB" w:rsidRPr="00120E8E">
        <w:t xml:space="preserve"> </w:t>
      </w:r>
      <w:r w:rsidRPr="00120E8E">
        <w:t xml:space="preserve">v rámci konzultací podpořila i většina </w:t>
      </w:r>
      <w:r w:rsidR="00146D56">
        <w:t>odpovídajících</w:t>
      </w:r>
      <w:r w:rsidRPr="00120E8E">
        <w:t xml:space="preserve"> subjektů.</w:t>
      </w:r>
    </w:p>
    <w:p w14:paraId="38A11107" w14:textId="70A09D87" w:rsidR="00EF09FC" w:rsidRDefault="00EF09FC" w:rsidP="00EF09FC">
      <w:r w:rsidRPr="00120E8E">
        <w:lastRenderedPageBreak/>
        <w:t xml:space="preserve">Je nutné vést v patrnosti, že </w:t>
      </w:r>
      <w:r w:rsidR="00146D56">
        <w:t xml:space="preserve">tato úprava se vztahuje na všechny cenné papíry, tedy jak na akcie, tak na dluhopisy. Ovšem je nutno zdůraznit, že pro dluhopisy nadále zůstává v platnosti požadavek na náležitosti emisních podmínek dluhopisu nabízeného v rámci podlimitní veřejné nabídky podle § 9a </w:t>
      </w:r>
      <w:proofErr w:type="spellStart"/>
      <w:r w:rsidR="00146D56">
        <w:t>ZoD</w:t>
      </w:r>
      <w:proofErr w:type="spellEnd"/>
      <w:r w:rsidR="000960B7">
        <w:t>, které</w:t>
      </w:r>
      <w:r w:rsidR="00146D56">
        <w:t xml:space="preserve"> bude </w:t>
      </w:r>
      <w:r w:rsidR="000960B7">
        <w:t>nadále</w:t>
      </w:r>
      <w:r w:rsidR="00146D56">
        <w:t xml:space="preserve"> platit na emise v rozmezí mezi 100 000 EUR a </w:t>
      </w:r>
      <w:r w:rsidR="00CF488F">
        <w:t> </w:t>
      </w:r>
      <w:r w:rsidR="00146D56">
        <w:t>1 000 000 EUR.</w:t>
      </w:r>
    </w:p>
    <w:p w14:paraId="1D8AE6CC" w14:textId="76B0D2E7" w:rsidR="007E0E9D" w:rsidRPr="002525A5" w:rsidRDefault="007E0E9D" w:rsidP="00EF09FC">
      <w:r w:rsidRPr="006C70ED">
        <w:t>Pro zvýšení atraktivity veřejných trhů Unie je nezbytné odstranit překážky způsobené délkou, složitostí a nákladností dokumentace k prospektu, a to jak v případech, kdy společnosti, včetně malých a středních podniků, usilují o přístup na veřejné trhy poprvé prostřednictvím počáteční veřejné nabídky, tak v případech, kdy společnosti vstupují na veřejné trhy za účelem sekundárních emisí kapitálových nebo nekapitálových cenných papírů. Ze stejného důvodu by</w:t>
      </w:r>
      <w:r w:rsidR="009D039A" w:rsidRPr="006C70ED">
        <w:t> </w:t>
      </w:r>
      <w:r w:rsidRPr="006C70ED">
        <w:t>se měla řešit také délka procesu kontroly a schvalování těchto prospektů příslušnými orgány a nedostatečné sbližování těchto procesů v Unii.</w:t>
      </w:r>
    </w:p>
    <w:p w14:paraId="16170BBE" w14:textId="0E190916" w:rsidR="00EF09FC" w:rsidRPr="00120E8E" w:rsidRDefault="007F0630" w:rsidP="00146D56">
      <w:pPr>
        <w:keepNext/>
        <w:rPr>
          <w:b/>
          <w:bCs/>
          <w:u w:val="single"/>
        </w:rPr>
      </w:pPr>
      <w:r w:rsidRPr="00120E8E">
        <w:rPr>
          <w:b/>
          <w:bCs/>
          <w:u w:val="single"/>
        </w:rPr>
        <w:t xml:space="preserve">K bodu </w:t>
      </w:r>
      <w:r w:rsidR="001A22F2" w:rsidRPr="00120E8E">
        <w:rPr>
          <w:b/>
          <w:bCs/>
          <w:u w:val="single"/>
        </w:rPr>
        <w:t>3</w:t>
      </w:r>
      <w:r w:rsidR="00334EBC">
        <w:rPr>
          <w:b/>
          <w:bCs/>
          <w:u w:val="single"/>
        </w:rPr>
        <w:t>2</w:t>
      </w:r>
      <w:r w:rsidR="001A22F2" w:rsidRPr="00120E8E">
        <w:rPr>
          <w:b/>
          <w:bCs/>
          <w:u w:val="single"/>
        </w:rPr>
        <w:t xml:space="preserve"> </w:t>
      </w:r>
      <w:r w:rsidRPr="00120E8E">
        <w:rPr>
          <w:b/>
          <w:bCs/>
          <w:u w:val="single"/>
        </w:rPr>
        <w:t xml:space="preserve">a </w:t>
      </w:r>
      <w:r w:rsidR="001A22F2" w:rsidRPr="00120E8E">
        <w:rPr>
          <w:b/>
          <w:bCs/>
          <w:u w:val="single"/>
        </w:rPr>
        <w:t>3</w:t>
      </w:r>
      <w:r w:rsidR="00334EBC">
        <w:rPr>
          <w:b/>
          <w:bCs/>
          <w:u w:val="single"/>
        </w:rPr>
        <w:t>3</w:t>
      </w:r>
      <w:r w:rsidR="001A22F2" w:rsidRPr="00120E8E">
        <w:rPr>
          <w:b/>
          <w:bCs/>
          <w:u w:val="single"/>
        </w:rPr>
        <w:t xml:space="preserve"> </w:t>
      </w:r>
      <w:r w:rsidR="00EF09FC" w:rsidRPr="00120E8E">
        <w:rPr>
          <w:b/>
          <w:bCs/>
          <w:u w:val="single"/>
        </w:rPr>
        <w:t>(k § 38)</w:t>
      </w:r>
    </w:p>
    <w:p w14:paraId="0D2A3578" w14:textId="4E9C3AC6" w:rsidR="00EF09FC" w:rsidRPr="00120E8E" w:rsidRDefault="00EF09FC" w:rsidP="00146D56">
      <w:pPr>
        <w:keepNext/>
      </w:pPr>
      <w:r w:rsidRPr="00120E8E">
        <w:t>Požadavek svéprávnosti se ruší v důsledku snahy o snižování administrativní zátěže a</w:t>
      </w:r>
      <w:r w:rsidR="003873F0" w:rsidRPr="00120E8E">
        <w:t> </w:t>
      </w:r>
      <w:r w:rsidRPr="00120E8E">
        <w:t xml:space="preserve">odstraňování </w:t>
      </w:r>
      <w:proofErr w:type="spellStart"/>
      <w:r w:rsidRPr="00120E8E">
        <w:t>gold</w:t>
      </w:r>
      <w:r w:rsidR="00F67080" w:rsidRPr="00120E8E">
        <w:t>-</w:t>
      </w:r>
      <w:r w:rsidRPr="00120E8E">
        <w:t>platingu</w:t>
      </w:r>
      <w:proofErr w:type="spellEnd"/>
      <w:r w:rsidRPr="00120E8E">
        <w:t>. Unijní předpisy explicitně požadavek svéprávnosti neobsahují a</w:t>
      </w:r>
      <w:r w:rsidR="003873F0" w:rsidRPr="00120E8E">
        <w:t> </w:t>
      </w:r>
      <w:r w:rsidRPr="00120E8E">
        <w:t>v praxi se podle vyjádření ČNB žádosti nesvéprávných osob nevyskytují.</w:t>
      </w:r>
    </w:p>
    <w:p w14:paraId="2751EDF9" w14:textId="6BDB4AA4" w:rsidR="00EF09FC" w:rsidRPr="00120E8E" w:rsidRDefault="00EF09FC" w:rsidP="00EF09FC">
      <w:pPr>
        <w:rPr>
          <w:b/>
          <w:bCs/>
          <w:u w:val="single"/>
        </w:rPr>
      </w:pPr>
      <w:r w:rsidRPr="00120E8E">
        <w:t>Ve snaze o snížení regulatorní zátěže došlo ke zrušení registrační povinnosti další činnosti organizátora regulovaného trhu</w:t>
      </w:r>
      <w:r w:rsidR="000960B7">
        <w:t xml:space="preserve"> obdobně jako u OCP</w:t>
      </w:r>
      <w:r w:rsidRPr="00120E8E">
        <w:t>. Za účelem zachování efektivního dohledu ČNB bylo přistoupeno k povinnosti informovat ČNB o dalších činnostech v žádosti o povolení k činnosti organizátora regulovaného trhu a tím i návazné povinnosti oznámit změny v činnosti podnikání. Jedná se o oznamovací povinnost, kdy je ovšem ČNB ponechána možnost přijmout vhodná opatření pro případy, kdy by ČNB seznala, že další činnost organizátora regulovaného trhu by</w:t>
      </w:r>
      <w:r w:rsidR="00B43038" w:rsidRPr="00120E8E">
        <w:t> </w:t>
      </w:r>
      <w:r w:rsidRPr="00120E8E">
        <w:t>představovala hrozbu pro finanční stabilitu organizátora regulovaného trhu nebo narušovala efektivní dohled ČNB nad daným subjektem.</w:t>
      </w:r>
    </w:p>
    <w:p w14:paraId="0D2337D6" w14:textId="3D1C1C84" w:rsidR="00EF09FC" w:rsidRPr="00120E8E" w:rsidRDefault="00B43038" w:rsidP="00EF09FC">
      <w:pPr>
        <w:rPr>
          <w:b/>
          <w:bCs/>
          <w:u w:val="single"/>
        </w:rPr>
      </w:pPr>
      <w:r w:rsidRPr="00120E8E">
        <w:rPr>
          <w:b/>
          <w:bCs/>
          <w:u w:val="single"/>
        </w:rPr>
        <w:t xml:space="preserve">K bodu </w:t>
      </w:r>
      <w:r w:rsidR="001A22F2" w:rsidRPr="00120E8E">
        <w:rPr>
          <w:b/>
          <w:bCs/>
          <w:u w:val="single"/>
        </w:rPr>
        <w:t>3</w:t>
      </w:r>
      <w:r w:rsidR="00334EBC">
        <w:rPr>
          <w:b/>
          <w:bCs/>
          <w:u w:val="single"/>
        </w:rPr>
        <w:t>4</w:t>
      </w:r>
      <w:r w:rsidR="001A22F2" w:rsidRPr="00120E8E">
        <w:rPr>
          <w:b/>
          <w:bCs/>
          <w:u w:val="single"/>
        </w:rPr>
        <w:t xml:space="preserve"> </w:t>
      </w:r>
      <w:r w:rsidR="00EF09FC" w:rsidRPr="00120E8E">
        <w:rPr>
          <w:b/>
          <w:bCs/>
          <w:u w:val="single"/>
        </w:rPr>
        <w:t>(k § 39)</w:t>
      </w:r>
    </w:p>
    <w:p w14:paraId="1B21C012" w14:textId="08252031" w:rsidR="00EF09FC" w:rsidRPr="00120E8E" w:rsidRDefault="00EF09FC" w:rsidP="00EF09FC">
      <w:r w:rsidRPr="00120E8E">
        <w:t>Zrušení ustanovení v důsledku snah o snížení regulatorní zátěže. Cílem je usnadnit činnost organizátora regulovaného trhu zrušením povinnosti registrace další podnikatelské činnosti. Postačí ponechání obecné povinnost řídit rizika ve spojení s notifikační povinností v žádosti o</w:t>
      </w:r>
      <w:r w:rsidR="003873F0" w:rsidRPr="00120E8E">
        <w:t> </w:t>
      </w:r>
      <w:r w:rsidRPr="00120E8E">
        <w:t>povolení organizátora regulovaného trhu podle § 3</w:t>
      </w:r>
      <w:r w:rsidR="000960B7">
        <w:t xml:space="preserve">8. </w:t>
      </w:r>
      <w:r w:rsidRPr="00120E8E">
        <w:t xml:space="preserve">ČNB bude posuzovat další činnost v rámci běžného výkonu dohledu nad finančním trhem. Zároveň se v zájmu větší svobody podnikání ruší i omezení okruhu další podnikatelských činností. Unijní právo omezení podnikatelských činností organizátora regulovaného trhu nevyžaduje, a mohou existovat činnosti, jež podpoří efektivní podnikání organizátorů trhu, a které stávající úprava nezná. </w:t>
      </w:r>
    </w:p>
    <w:p w14:paraId="78D23645" w14:textId="46D2DE44" w:rsidR="00EF09FC" w:rsidRPr="00120E8E" w:rsidRDefault="0076268D" w:rsidP="00EF09FC">
      <w:pPr>
        <w:rPr>
          <w:b/>
          <w:bCs/>
          <w:u w:val="single"/>
        </w:rPr>
      </w:pPr>
      <w:r w:rsidRPr="00120E8E">
        <w:rPr>
          <w:b/>
          <w:bCs/>
          <w:u w:val="single"/>
        </w:rPr>
        <w:t xml:space="preserve">K bodu </w:t>
      </w:r>
      <w:r w:rsidR="001A22F2" w:rsidRPr="00120E8E">
        <w:rPr>
          <w:b/>
          <w:bCs/>
          <w:u w:val="single"/>
        </w:rPr>
        <w:t>3</w:t>
      </w:r>
      <w:r w:rsidR="00334EBC">
        <w:rPr>
          <w:b/>
          <w:bCs/>
          <w:u w:val="single"/>
        </w:rPr>
        <w:t>5</w:t>
      </w:r>
      <w:r w:rsidR="001A22F2" w:rsidRPr="00120E8E">
        <w:rPr>
          <w:b/>
          <w:bCs/>
          <w:u w:val="single"/>
        </w:rPr>
        <w:t xml:space="preserve"> </w:t>
      </w:r>
      <w:r w:rsidR="00EF09FC" w:rsidRPr="00120E8E">
        <w:rPr>
          <w:b/>
          <w:bCs/>
          <w:u w:val="single"/>
        </w:rPr>
        <w:t>(k § 40)</w:t>
      </w:r>
    </w:p>
    <w:p w14:paraId="3378FD10" w14:textId="77777777" w:rsidR="00EF09FC" w:rsidRPr="00120E8E" w:rsidRDefault="00EF09FC" w:rsidP="00EF09FC">
      <w:pPr>
        <w:rPr>
          <w:b/>
          <w:bCs/>
          <w:u w:val="single"/>
        </w:rPr>
      </w:pPr>
      <w:r w:rsidRPr="00120E8E">
        <w:t>Jde o legislativně-technickou změnu reagující na změnu § 38 a zrušení § 39.</w:t>
      </w:r>
    </w:p>
    <w:p w14:paraId="43911C5D" w14:textId="22A5AA2D" w:rsidR="00EF09FC" w:rsidRPr="00120E8E" w:rsidRDefault="0076268D" w:rsidP="00EF09FC">
      <w:pPr>
        <w:rPr>
          <w:b/>
          <w:bCs/>
          <w:u w:val="single"/>
        </w:rPr>
      </w:pPr>
      <w:r w:rsidRPr="00120E8E">
        <w:rPr>
          <w:b/>
          <w:bCs/>
          <w:u w:val="single"/>
        </w:rPr>
        <w:t xml:space="preserve">K bodu </w:t>
      </w:r>
      <w:r w:rsidR="001A22F2" w:rsidRPr="00120E8E">
        <w:rPr>
          <w:b/>
          <w:bCs/>
          <w:u w:val="single"/>
        </w:rPr>
        <w:t>3</w:t>
      </w:r>
      <w:r w:rsidR="00334EBC">
        <w:rPr>
          <w:b/>
          <w:bCs/>
          <w:u w:val="single"/>
        </w:rPr>
        <w:t>6</w:t>
      </w:r>
      <w:r w:rsidR="001A22F2" w:rsidRPr="00120E8E">
        <w:rPr>
          <w:b/>
          <w:bCs/>
          <w:u w:val="single"/>
        </w:rPr>
        <w:t xml:space="preserve"> </w:t>
      </w:r>
      <w:r w:rsidR="00EF09FC" w:rsidRPr="00120E8E">
        <w:rPr>
          <w:b/>
          <w:bCs/>
          <w:u w:val="single"/>
        </w:rPr>
        <w:t>(</w:t>
      </w:r>
      <w:r w:rsidRPr="00120E8E">
        <w:rPr>
          <w:b/>
          <w:bCs/>
          <w:u w:val="single"/>
        </w:rPr>
        <w:t>k</w:t>
      </w:r>
      <w:r w:rsidR="00EF09FC" w:rsidRPr="00120E8E">
        <w:rPr>
          <w:b/>
          <w:bCs/>
          <w:u w:val="single"/>
        </w:rPr>
        <w:t xml:space="preserve"> § 42)</w:t>
      </w:r>
    </w:p>
    <w:p w14:paraId="30F9F58D" w14:textId="562243FA" w:rsidR="00EF09FC" w:rsidRPr="00120E8E" w:rsidRDefault="00EF09FC" w:rsidP="00EF09FC">
      <w:r w:rsidRPr="00120E8E">
        <w:t>Organizátor regulovaného trhu již nebude muset ČNB předem informovat o konání valné hromady a o jejím programu. O zásadních rozhodnutích valné hromady majících za následek podstatné změny obchodního plánu zůstane ČNB nadále informována v rámci notifikační povinnosti organizátora regulovaného trhu</w:t>
      </w:r>
      <w:r w:rsidR="000960B7">
        <w:t xml:space="preserve"> ve vztahu ke změnám podmínek pro výkon činnosti</w:t>
      </w:r>
      <w:r w:rsidRPr="00120E8E">
        <w:t xml:space="preserve">. </w:t>
      </w:r>
      <w:r w:rsidRPr="00120E8E">
        <w:lastRenderedPageBreak/>
        <w:t>ČNB nadále zůstává ponechána možnost účastnit se valných hromad. Cílem této změny je redukce administrativní zátěže.</w:t>
      </w:r>
    </w:p>
    <w:p w14:paraId="12DD18E4" w14:textId="4C210662" w:rsidR="00F47A66" w:rsidRPr="00120E8E" w:rsidRDefault="00F47A66" w:rsidP="00F47A66">
      <w:pPr>
        <w:rPr>
          <w:b/>
          <w:bCs/>
          <w:u w:val="single"/>
        </w:rPr>
      </w:pPr>
      <w:r>
        <w:rPr>
          <w:b/>
          <w:bCs/>
          <w:u w:val="single"/>
        </w:rPr>
        <w:t xml:space="preserve">K bodům </w:t>
      </w:r>
      <w:r w:rsidR="001A22F2">
        <w:rPr>
          <w:b/>
          <w:bCs/>
          <w:u w:val="single"/>
        </w:rPr>
        <w:t>3</w:t>
      </w:r>
      <w:r w:rsidR="00334EBC">
        <w:rPr>
          <w:b/>
          <w:bCs/>
          <w:u w:val="single"/>
        </w:rPr>
        <w:t>7</w:t>
      </w:r>
      <w:r w:rsidR="001A22F2">
        <w:rPr>
          <w:b/>
          <w:bCs/>
          <w:u w:val="single"/>
        </w:rPr>
        <w:t xml:space="preserve"> </w:t>
      </w:r>
      <w:r>
        <w:rPr>
          <w:b/>
          <w:bCs/>
          <w:u w:val="single"/>
        </w:rPr>
        <w:t xml:space="preserve">až </w:t>
      </w:r>
      <w:r w:rsidR="00400F7D">
        <w:rPr>
          <w:b/>
          <w:bCs/>
          <w:u w:val="single"/>
        </w:rPr>
        <w:t>39</w:t>
      </w:r>
      <w:r w:rsidR="001A22F2" w:rsidRPr="00120E8E">
        <w:rPr>
          <w:b/>
          <w:bCs/>
          <w:u w:val="single"/>
        </w:rPr>
        <w:t xml:space="preserve"> </w:t>
      </w:r>
      <w:r>
        <w:rPr>
          <w:b/>
          <w:bCs/>
          <w:u w:val="single"/>
        </w:rPr>
        <w:t xml:space="preserve">(k § 44, § 50, § </w:t>
      </w:r>
      <w:proofErr w:type="gramStart"/>
      <w:r>
        <w:rPr>
          <w:b/>
          <w:bCs/>
          <w:u w:val="single"/>
        </w:rPr>
        <w:t xml:space="preserve">54 </w:t>
      </w:r>
      <w:r w:rsidRPr="00120E8E">
        <w:rPr>
          <w:b/>
          <w:bCs/>
          <w:u w:val="single"/>
        </w:rPr>
        <w:t>)</w:t>
      </w:r>
      <w:proofErr w:type="gramEnd"/>
    </w:p>
    <w:p w14:paraId="6196716A" w14:textId="61F4D7B6" w:rsidR="00F47A66" w:rsidRPr="00400F7D" w:rsidRDefault="00F47A66" w:rsidP="00EF09FC">
      <w:pPr>
        <w:rPr>
          <w:bCs/>
        </w:rPr>
      </w:pPr>
      <w:r w:rsidRPr="00400F7D">
        <w:rPr>
          <w:bCs/>
        </w:rPr>
        <w:t>Jde o legislativně-technickou změnu reagující na zrušení § 39.</w:t>
      </w:r>
    </w:p>
    <w:p w14:paraId="004DECEE" w14:textId="2B968E65" w:rsidR="00EF09FC" w:rsidRPr="00120E8E" w:rsidRDefault="0076268D" w:rsidP="00EF09FC">
      <w:pPr>
        <w:rPr>
          <w:b/>
          <w:bCs/>
          <w:u w:val="single"/>
        </w:rPr>
      </w:pPr>
      <w:r w:rsidRPr="00120E8E">
        <w:rPr>
          <w:b/>
          <w:bCs/>
          <w:u w:val="single"/>
        </w:rPr>
        <w:t xml:space="preserve">K bodu </w:t>
      </w:r>
      <w:r w:rsidR="00400F7D">
        <w:rPr>
          <w:b/>
          <w:bCs/>
          <w:u w:val="single"/>
        </w:rPr>
        <w:t>40</w:t>
      </w:r>
      <w:r w:rsidR="00750812" w:rsidRPr="00120E8E">
        <w:rPr>
          <w:b/>
          <w:bCs/>
          <w:u w:val="single"/>
        </w:rPr>
        <w:t xml:space="preserve"> </w:t>
      </w:r>
      <w:r w:rsidR="00EF09FC" w:rsidRPr="00120E8E">
        <w:rPr>
          <w:b/>
          <w:bCs/>
          <w:u w:val="single"/>
        </w:rPr>
        <w:t>(k § 56)</w:t>
      </w:r>
    </w:p>
    <w:p w14:paraId="48871D9C" w14:textId="32AA0987" w:rsidR="00EF09FC" w:rsidRPr="00120E8E" w:rsidRDefault="00EF09FC" w:rsidP="00EF09FC">
      <w:r w:rsidRPr="00120E8E">
        <w:t xml:space="preserve">Odstavec 8 se zrušuje pro nadbytečnost, jde o deklaratorní ustanovení, neboť nařízení </w:t>
      </w:r>
      <w:r w:rsidR="00503C81">
        <w:t>EK</w:t>
      </w:r>
      <w:r w:rsidR="00503C81" w:rsidRPr="00120E8E">
        <w:t xml:space="preserve"> </w:t>
      </w:r>
      <w:r w:rsidRPr="00120E8E">
        <w:t>v</w:t>
      </w:r>
      <w:r w:rsidR="00400F7D">
        <w:t> </w:t>
      </w:r>
      <w:r w:rsidRPr="00120E8E">
        <w:t xml:space="preserve">přenesené pravomoci jsou přímo aplikovatelná. </w:t>
      </w:r>
    </w:p>
    <w:p w14:paraId="0287B787" w14:textId="4915A497" w:rsidR="00EF09FC" w:rsidRPr="00120E8E" w:rsidRDefault="008911FB" w:rsidP="00EF09FC">
      <w:pPr>
        <w:rPr>
          <w:b/>
          <w:bCs/>
          <w:u w:val="single"/>
        </w:rPr>
      </w:pPr>
      <w:r w:rsidRPr="00120E8E">
        <w:rPr>
          <w:b/>
          <w:bCs/>
          <w:u w:val="single"/>
        </w:rPr>
        <w:t xml:space="preserve">K bodu </w:t>
      </w:r>
      <w:r w:rsidR="00400F7D">
        <w:rPr>
          <w:b/>
          <w:bCs/>
          <w:u w:val="single"/>
        </w:rPr>
        <w:t>41</w:t>
      </w:r>
      <w:r w:rsidR="00750812" w:rsidRPr="00120E8E">
        <w:rPr>
          <w:b/>
          <w:bCs/>
          <w:u w:val="single"/>
        </w:rPr>
        <w:t xml:space="preserve"> </w:t>
      </w:r>
      <w:r w:rsidR="00EF09FC" w:rsidRPr="00120E8E">
        <w:rPr>
          <w:b/>
          <w:bCs/>
          <w:u w:val="single"/>
        </w:rPr>
        <w:t>(k § 57)</w:t>
      </w:r>
    </w:p>
    <w:p w14:paraId="416E9FC3" w14:textId="77777777" w:rsidR="00400F7D" w:rsidRDefault="00EF09FC" w:rsidP="00EF09FC">
      <w:r w:rsidRPr="00120E8E">
        <w:t xml:space="preserve">Jde o provedení transpozice nové právní úpravy ve směrnici </w:t>
      </w:r>
      <w:proofErr w:type="spellStart"/>
      <w:r w:rsidRPr="00120E8E">
        <w:t>MiFID</w:t>
      </w:r>
      <w:proofErr w:type="spellEnd"/>
      <w:r w:rsidRPr="00120E8E">
        <w:t xml:space="preserve"> II</w:t>
      </w:r>
      <w:r w:rsidR="000960B7">
        <w:t xml:space="preserve"> na základě směrnice </w:t>
      </w:r>
      <w:proofErr w:type="spellStart"/>
      <w:r w:rsidR="000960B7">
        <w:t>Listing</w:t>
      </w:r>
      <w:proofErr w:type="spellEnd"/>
      <w:r w:rsidR="000960B7">
        <w:t xml:space="preserve"> </w:t>
      </w:r>
      <w:proofErr w:type="spellStart"/>
      <w:r w:rsidR="000960B7">
        <w:t>Act</w:t>
      </w:r>
      <w:proofErr w:type="spellEnd"/>
      <w:r w:rsidR="000960B7">
        <w:t xml:space="preserve"> balíčku</w:t>
      </w:r>
      <w:r w:rsidRPr="00120E8E">
        <w:t xml:space="preserve">, která zavádí zvláštní pravidla pro přijetí k obchodování na regulovaném trhu. </w:t>
      </w:r>
    </w:p>
    <w:p w14:paraId="2B986D57" w14:textId="0E13DF09" w:rsidR="00EF09FC" w:rsidRPr="00120E8E" w:rsidRDefault="00EF09FC" w:rsidP="00EF09FC">
      <w:r w:rsidRPr="00120E8E">
        <w:t>Cílem ustanovení je zajištění dostatečné likvidity na regulovaném trhu a snížení rizika její fragmentace. Pro zajištění dostatečného free-</w:t>
      </w:r>
      <w:proofErr w:type="spellStart"/>
      <w:r w:rsidRPr="00120E8E">
        <w:t>float</w:t>
      </w:r>
      <w:proofErr w:type="spellEnd"/>
      <w:r w:rsidRPr="00120E8E">
        <w:t xml:space="preserve"> jsou v odstavci 3 stanoveny podmínky pro</w:t>
      </w:r>
      <w:r w:rsidR="000960B7">
        <w:t> </w:t>
      </w:r>
      <w:r w:rsidRPr="00120E8E">
        <w:t>přijetí akcie k</w:t>
      </w:r>
      <w:r w:rsidR="00847B01">
        <w:t> </w:t>
      </w:r>
      <w:r w:rsidRPr="00120E8E">
        <w:t>obchodování</w:t>
      </w:r>
      <w:r w:rsidR="00847B01">
        <w:t>, kdy pro účely zákona postačí splnění pouze jedné z nich, jedná se tedy o alternativní výčet</w:t>
      </w:r>
      <w:r w:rsidRPr="00120E8E">
        <w:t>. Je na uvážení organizátora regulovaného trhu, aby stanovil, která z daných podmínek musí být</w:t>
      </w:r>
      <w:r w:rsidR="003873F0" w:rsidRPr="00120E8E">
        <w:t> </w:t>
      </w:r>
      <w:r w:rsidRPr="00120E8E">
        <w:t xml:space="preserve">před přijetím akcie k obchodování splněna. </w:t>
      </w:r>
      <w:r w:rsidR="009B60AA">
        <w:t xml:space="preserve">Je vymezena obecná hranice 10 % akcií, je přijato k obchodování, co je možno brát jako pravidlo tzv. </w:t>
      </w:r>
      <w:proofErr w:type="spellStart"/>
      <w:r w:rsidR="009B60AA" w:rsidRPr="004170E9">
        <w:rPr>
          <w:i/>
        </w:rPr>
        <w:t>safe</w:t>
      </w:r>
      <w:proofErr w:type="spellEnd"/>
      <w:r w:rsidR="009B60AA" w:rsidRPr="004170E9">
        <w:rPr>
          <w:i/>
        </w:rPr>
        <w:t xml:space="preserve"> </w:t>
      </w:r>
      <w:proofErr w:type="spellStart"/>
      <w:r w:rsidR="009B60AA" w:rsidRPr="004170E9">
        <w:rPr>
          <w:i/>
        </w:rPr>
        <w:t>harbour</w:t>
      </w:r>
      <w:proofErr w:type="spellEnd"/>
      <w:r w:rsidR="009B60AA">
        <w:t xml:space="preserve">. </w:t>
      </w:r>
      <w:r w:rsidR="0033136E">
        <w:t>V případě nutnosti posouzení naplnění požadavku dostatečnosti (</w:t>
      </w:r>
      <w:r w:rsidR="001A7C86">
        <w:t xml:space="preserve">odst. </w:t>
      </w:r>
      <w:r w:rsidR="00A12F8E">
        <w:t>3</w:t>
      </w:r>
      <w:r w:rsidR="001A7C86">
        <w:t xml:space="preserve"> </w:t>
      </w:r>
      <w:r w:rsidR="0033136E">
        <w:t>písm. b), c) a d), je toto na volném uvážení organizátora regulovaného trhu</w:t>
      </w:r>
      <w:r w:rsidR="001A7C86">
        <w:t>. P</w:t>
      </w:r>
      <w:r w:rsidR="0033136E">
        <w:t xml:space="preserve">osouzení </w:t>
      </w:r>
      <w:r w:rsidR="00847B01">
        <w:t>se provádí</w:t>
      </w:r>
      <w:r w:rsidR="0033136E">
        <w:t xml:space="preserve"> na individuálním základě. </w:t>
      </w:r>
      <w:r w:rsidR="00A12F8E">
        <w:t>Splnění požadavku</w:t>
      </w:r>
      <w:r w:rsidR="00EC12F8">
        <w:t xml:space="preserve"> </w:t>
      </w:r>
      <w:r w:rsidR="00A12F8E">
        <w:t xml:space="preserve">podle odst. 3 </w:t>
      </w:r>
      <w:r w:rsidR="00EC12F8">
        <w:t xml:space="preserve">písm. b) až d) by </w:t>
      </w:r>
      <w:r w:rsidR="00A12F8E">
        <w:t>ovšem nemělo v praxi být složitější než splnění požadavku podle odst. 3 písm. a).</w:t>
      </w:r>
      <w:r w:rsidR="00EC12F8">
        <w:t xml:space="preserve"> </w:t>
      </w:r>
      <w:r w:rsidRPr="00120E8E">
        <w:t>Požadavek volně obchodovaného objemu by</w:t>
      </w:r>
      <w:r w:rsidR="003873F0" w:rsidRPr="00120E8E">
        <w:t> </w:t>
      </w:r>
      <w:r w:rsidRPr="00120E8E">
        <w:t>měl být naplněn v okamžiku přijetí k obchodování, nikoliv po celou dobu, kdy je cenný papír obchodován na</w:t>
      </w:r>
      <w:r w:rsidR="00400F7D">
        <w:t> </w:t>
      </w:r>
      <w:r w:rsidRPr="00120E8E">
        <w:t>regulovaném trhu.</w:t>
      </w:r>
      <w:r w:rsidR="0033136E">
        <w:t xml:space="preserve"> </w:t>
      </w:r>
    </w:p>
    <w:p w14:paraId="11A77E66" w14:textId="54BE7C84" w:rsidR="00EF09FC" w:rsidRPr="00120E8E" w:rsidRDefault="008911FB" w:rsidP="00EF09FC">
      <w:pPr>
        <w:rPr>
          <w:b/>
          <w:bCs/>
          <w:u w:val="single"/>
        </w:rPr>
      </w:pPr>
      <w:r w:rsidRPr="00120E8E">
        <w:rPr>
          <w:b/>
          <w:bCs/>
          <w:u w:val="single"/>
        </w:rPr>
        <w:t xml:space="preserve">K bodu </w:t>
      </w:r>
      <w:r w:rsidR="00525E12">
        <w:rPr>
          <w:b/>
          <w:bCs/>
          <w:u w:val="single"/>
        </w:rPr>
        <w:t>4</w:t>
      </w:r>
      <w:r w:rsidR="009B60AA">
        <w:rPr>
          <w:b/>
          <w:bCs/>
          <w:u w:val="single"/>
        </w:rPr>
        <w:t>2</w:t>
      </w:r>
      <w:r w:rsidR="00525E12" w:rsidRPr="00120E8E">
        <w:rPr>
          <w:b/>
          <w:bCs/>
          <w:u w:val="single"/>
        </w:rPr>
        <w:t xml:space="preserve"> </w:t>
      </w:r>
      <w:r w:rsidR="00EF09FC" w:rsidRPr="00120E8E">
        <w:rPr>
          <w:b/>
          <w:bCs/>
          <w:u w:val="single"/>
        </w:rPr>
        <w:t xml:space="preserve">(k § 73aa </w:t>
      </w:r>
      <w:r w:rsidR="002E5B83" w:rsidRPr="00120E8E">
        <w:rPr>
          <w:b/>
          <w:bCs/>
          <w:u w:val="single"/>
        </w:rPr>
        <w:t>včetně pozn. pod čarou č. 11</w:t>
      </w:r>
      <w:r w:rsidRPr="00120E8E">
        <w:rPr>
          <w:b/>
          <w:bCs/>
          <w:u w:val="single"/>
        </w:rPr>
        <w:t>3</w:t>
      </w:r>
      <w:r w:rsidR="00EF09FC" w:rsidRPr="00120E8E">
        <w:rPr>
          <w:b/>
          <w:bCs/>
          <w:u w:val="single"/>
        </w:rPr>
        <w:t>)</w:t>
      </w:r>
    </w:p>
    <w:p w14:paraId="61A8C6BA" w14:textId="0BE97BC4" w:rsidR="00EF09FC" w:rsidRPr="00120E8E" w:rsidRDefault="00EF09FC" w:rsidP="00EF09FC">
      <w:pPr>
        <w:pStyle w:val="Nadpis5"/>
        <w:rPr>
          <w:rFonts w:cs="Times New Roman"/>
          <w:b w:val="0"/>
          <w:bCs/>
          <w:i w:val="0"/>
          <w:iCs/>
        </w:rPr>
      </w:pPr>
      <w:r w:rsidRPr="00120E8E">
        <w:rPr>
          <w:rFonts w:cs="Times New Roman"/>
          <w:b w:val="0"/>
          <w:bCs/>
          <w:i w:val="0"/>
          <w:iCs/>
        </w:rPr>
        <w:t xml:space="preserve">Navrhované ustanovení promítá požadavky čl. 3 odst. 4 a čl. 5 </w:t>
      </w:r>
      <w:r w:rsidR="000960B7">
        <w:rPr>
          <w:rFonts w:cs="Times New Roman"/>
          <w:b w:val="0"/>
          <w:bCs/>
          <w:i w:val="0"/>
          <w:iCs/>
        </w:rPr>
        <w:t xml:space="preserve">směrnice </w:t>
      </w:r>
      <w:r w:rsidRPr="00120E8E">
        <w:rPr>
          <w:rFonts w:cs="Times New Roman"/>
          <w:b w:val="0"/>
          <w:bCs/>
          <w:i w:val="0"/>
          <w:iCs/>
        </w:rPr>
        <w:t xml:space="preserve">MVSD. </w:t>
      </w:r>
    </w:p>
    <w:p w14:paraId="22DCA5D7" w14:textId="2F7984D2" w:rsidR="00EF09FC" w:rsidRPr="00120E8E" w:rsidRDefault="00EF09FC" w:rsidP="00EF09FC">
      <w:pPr>
        <w:pStyle w:val="Nadpis5"/>
        <w:rPr>
          <w:rFonts w:cs="Times New Roman"/>
          <w:b w:val="0"/>
          <w:bCs/>
          <w:i w:val="0"/>
          <w:iCs/>
        </w:rPr>
      </w:pPr>
      <w:r w:rsidRPr="00120E8E">
        <w:rPr>
          <w:rFonts w:cs="Times New Roman"/>
          <w:b w:val="0"/>
          <w:bCs/>
          <w:i w:val="0"/>
          <w:iCs/>
        </w:rPr>
        <w:t>Vydání akcií s rozdílnou vahou hlasů je v akciové společnosti výslovně umožněno § 276 odst. 5</w:t>
      </w:r>
      <w:r w:rsidR="003873F0" w:rsidRPr="00120E8E">
        <w:rPr>
          <w:rFonts w:cs="Times New Roman"/>
          <w:b w:val="0"/>
          <w:bCs/>
          <w:i w:val="0"/>
          <w:iCs/>
        </w:rPr>
        <w:t> </w:t>
      </w:r>
      <w:r w:rsidRPr="00120E8E">
        <w:rPr>
          <w:rFonts w:cs="Times New Roman"/>
          <w:b w:val="0"/>
          <w:bCs/>
          <w:i w:val="0"/>
          <w:iCs/>
        </w:rPr>
        <w:t xml:space="preserve">ZOK. Za dosavadní právní úpravy však není vyloučeno, aby provozovatel mnohostranného obchodního systému odmítl přijmout k obchodování investiční nástroje z důvodu, že jejich emitent vydal akcie s rozdílnou vahou hlasů. Nově je povinností členských států podle čl. 3 odst. 4 </w:t>
      </w:r>
      <w:r w:rsidR="000960B7">
        <w:rPr>
          <w:rFonts w:cs="Times New Roman"/>
          <w:b w:val="0"/>
          <w:bCs/>
          <w:i w:val="0"/>
          <w:iCs/>
        </w:rPr>
        <w:t xml:space="preserve">směrnice </w:t>
      </w:r>
      <w:r w:rsidRPr="00120E8E">
        <w:rPr>
          <w:rFonts w:cs="Times New Roman"/>
          <w:b w:val="0"/>
          <w:bCs/>
          <w:i w:val="0"/>
          <w:iCs/>
        </w:rPr>
        <w:t xml:space="preserve">MVSD zabránit takovému omezení emitentů akcií s rozdílnou vahou hlasů. Proto se v odstavci 1 navrhuje výslovně zakázat provozovatelům mnohostranných obchodních systémů odmítnout přijetí investičních nástrojů emitenta z tohoto důvodu. </w:t>
      </w:r>
    </w:p>
    <w:p w14:paraId="05D2DB89" w14:textId="30A000A1" w:rsidR="00EF09FC" w:rsidRPr="00120E8E" w:rsidRDefault="00EF09FC" w:rsidP="00EF09FC">
      <w:r w:rsidRPr="00120E8E">
        <w:t xml:space="preserve">Odstavce 2 až 5 upravují požadavky na transparentnost, které doprovází přijetí </w:t>
      </w:r>
      <w:r w:rsidR="009B60AA">
        <w:t>akcií</w:t>
      </w:r>
      <w:r w:rsidRPr="00120E8E">
        <w:t xml:space="preserve"> emitenta, který vydal akcie s rozdílnou vahou hlasů, k obchodování v mnohostranném obchodním systému. Smyslem je zajištění ochrany investorů a efektivnosti trhu díky umožnění informovaného rozhodování o investicích. </w:t>
      </w:r>
    </w:p>
    <w:p w14:paraId="053CD39D" w14:textId="76A33F38" w:rsidR="00EF09FC" w:rsidRPr="00120E8E" w:rsidRDefault="00EF09FC" w:rsidP="00EF09FC">
      <w:r w:rsidRPr="00120E8E">
        <w:t xml:space="preserve">Relevantní informace vyjmenované v odst. 2 uvede emitent v první řadě v dokumentu doprovázejícímu přijetí jeho </w:t>
      </w:r>
      <w:r w:rsidR="009B60AA">
        <w:t>akcií</w:t>
      </w:r>
      <w:r w:rsidRPr="00120E8E">
        <w:t xml:space="preserve"> k obchodování v mnohostranném obchodním systému, </w:t>
      </w:r>
      <w:r w:rsidRPr="00120E8E">
        <w:lastRenderedPageBreak/>
        <w:t>obvykle v prospektu. V případě změny těchto informací v průběhu obchodování uvede emitent aktualizované informace ve své pravidelné výroční finanční zprávě, pokud ji zpracovává</w:t>
      </w:r>
      <w:r w:rsidR="00002278">
        <w:t>, povinnost emitent při obchodování na mnohostranném obchodním systému podle § 118 ZPKT nemá</w:t>
      </w:r>
      <w:r w:rsidRPr="00120E8E">
        <w:t xml:space="preserve">. Jedná se o transpozici čl. 5 odst. 1 a 2 </w:t>
      </w:r>
      <w:r w:rsidR="00002278">
        <w:t xml:space="preserve">směrnice </w:t>
      </w:r>
      <w:r w:rsidRPr="00120E8E">
        <w:t xml:space="preserve">MVSD. </w:t>
      </w:r>
    </w:p>
    <w:p w14:paraId="098EF465" w14:textId="3CDF0DE4" w:rsidR="00EF09FC" w:rsidRPr="00120E8E" w:rsidRDefault="00002278" w:rsidP="003873F0">
      <w:r>
        <w:t>Akcie</w:t>
      </w:r>
      <w:r w:rsidR="00EF09FC" w:rsidRPr="00120E8E">
        <w:t xml:space="preserve"> emitenta, který vydal akcie s rozdílnou vahou hlasů, pak musí být v souladu s čl. 5 odst. 4 </w:t>
      </w:r>
      <w:r>
        <w:t xml:space="preserve">směrnice </w:t>
      </w:r>
      <w:r w:rsidR="00EF09FC" w:rsidRPr="00120E8E">
        <w:t xml:space="preserve">MVSD jasně označeny. Proto je emitent povinen provozovatele mnohostranného obchodního systému o vydání akcií s rozdílnou vahou hlasů vyrozumět (viz odst. 4) a provozovatel je povinen jeho </w:t>
      </w:r>
      <w:r w:rsidR="009B60AA">
        <w:t>akcie</w:t>
      </w:r>
      <w:r w:rsidR="00EF09FC" w:rsidRPr="00120E8E">
        <w:t xml:space="preserve"> označit (viz odst. 5). Detaily týkající se</w:t>
      </w:r>
      <w:r w:rsidR="003873F0" w:rsidRPr="00120E8E">
        <w:t> </w:t>
      </w:r>
      <w:r w:rsidR="00EF09FC" w:rsidRPr="00120E8E">
        <w:t xml:space="preserve">tohoto označení upraví </w:t>
      </w:r>
      <w:r w:rsidR="00503C81">
        <w:t>EK</w:t>
      </w:r>
      <w:r w:rsidR="00EF09FC" w:rsidRPr="00120E8E">
        <w:t xml:space="preserve"> ve svém nařízení v přenesené pravomoci vydaném na</w:t>
      </w:r>
      <w:r w:rsidR="003873F0" w:rsidRPr="00120E8E">
        <w:t> </w:t>
      </w:r>
      <w:r w:rsidR="00EF09FC" w:rsidRPr="00120E8E">
        <w:t xml:space="preserve">základě návrhu regulačních technických norem, který by měl vypracovat Evropský orgán pro cenné papíry </w:t>
      </w:r>
      <w:r>
        <w:t xml:space="preserve">(ESMA) </w:t>
      </w:r>
      <w:r w:rsidR="00EF09FC" w:rsidRPr="00120E8E">
        <w:t>a</w:t>
      </w:r>
      <w:r w:rsidR="009B60AA">
        <w:t> </w:t>
      </w:r>
      <w:r w:rsidR="00EF09FC" w:rsidRPr="00120E8E">
        <w:t xml:space="preserve">předložit jej </w:t>
      </w:r>
      <w:r w:rsidR="00503C81">
        <w:t>EK</w:t>
      </w:r>
      <w:r w:rsidR="00EF09FC" w:rsidRPr="00120E8E">
        <w:t xml:space="preserve"> do 5. prosince 2025. </w:t>
      </w:r>
    </w:p>
    <w:p w14:paraId="4C428FAC" w14:textId="7057BE4F" w:rsidR="00EF09FC" w:rsidRPr="00120E8E" w:rsidRDefault="008911FB" w:rsidP="00EF09FC">
      <w:pPr>
        <w:rPr>
          <w:b/>
          <w:bCs/>
          <w:u w:val="single"/>
        </w:rPr>
      </w:pPr>
      <w:r w:rsidRPr="00120E8E">
        <w:rPr>
          <w:b/>
          <w:bCs/>
          <w:u w:val="single"/>
        </w:rPr>
        <w:t xml:space="preserve">K bodu </w:t>
      </w:r>
      <w:r w:rsidR="009B60AA">
        <w:rPr>
          <w:b/>
          <w:bCs/>
          <w:u w:val="single"/>
        </w:rPr>
        <w:t>43</w:t>
      </w:r>
      <w:r w:rsidR="00525E12" w:rsidRPr="00120E8E">
        <w:rPr>
          <w:b/>
          <w:bCs/>
          <w:u w:val="single"/>
        </w:rPr>
        <w:t xml:space="preserve"> </w:t>
      </w:r>
      <w:r w:rsidRPr="00120E8E">
        <w:rPr>
          <w:b/>
          <w:bCs/>
          <w:u w:val="single"/>
        </w:rPr>
        <w:t xml:space="preserve">až </w:t>
      </w:r>
      <w:r w:rsidR="00525E12">
        <w:rPr>
          <w:b/>
          <w:bCs/>
          <w:u w:val="single"/>
        </w:rPr>
        <w:t>4</w:t>
      </w:r>
      <w:r w:rsidR="009B60AA">
        <w:rPr>
          <w:b/>
          <w:bCs/>
          <w:u w:val="single"/>
        </w:rPr>
        <w:t>9</w:t>
      </w:r>
      <w:r w:rsidR="00525E12" w:rsidRPr="00120E8E">
        <w:rPr>
          <w:b/>
          <w:bCs/>
          <w:u w:val="single"/>
        </w:rPr>
        <w:t xml:space="preserve"> </w:t>
      </w:r>
      <w:r w:rsidR="00EF09FC" w:rsidRPr="00120E8E">
        <w:rPr>
          <w:b/>
          <w:bCs/>
          <w:u w:val="single"/>
        </w:rPr>
        <w:t>(k § 73b)</w:t>
      </w:r>
    </w:p>
    <w:p w14:paraId="683DEE41" w14:textId="19B0F874" w:rsidR="00EF09FC" w:rsidRPr="00120E8E" w:rsidRDefault="00002278" w:rsidP="00EF09FC">
      <w:r>
        <w:t xml:space="preserve">V souvislosti se směrnici </w:t>
      </w:r>
      <w:proofErr w:type="spellStart"/>
      <w:r>
        <w:t>Listing</w:t>
      </w:r>
      <w:proofErr w:type="spellEnd"/>
      <w:r>
        <w:t xml:space="preserve"> </w:t>
      </w:r>
      <w:proofErr w:type="spellStart"/>
      <w:r>
        <w:t>Act</w:t>
      </w:r>
      <w:proofErr w:type="spellEnd"/>
      <w:r>
        <w:t xml:space="preserve"> balíčku se mění § 73b. Nově je </w:t>
      </w:r>
      <w:r w:rsidR="00EF09FC" w:rsidRPr="00120E8E">
        <w:t xml:space="preserve">výslovně uvedeno, že trhem </w:t>
      </w:r>
      <w:r w:rsidR="006C27F7" w:rsidRPr="00120E8E">
        <w:t xml:space="preserve">pro růst </w:t>
      </w:r>
      <w:r w:rsidR="00EF09FC" w:rsidRPr="00120E8E">
        <w:t>malých a středních podniků nemusí být pouze celý mnohostranný obchodní systém, ale</w:t>
      </w:r>
      <w:r w:rsidR="003873F0" w:rsidRPr="00120E8E">
        <w:t> </w:t>
      </w:r>
      <w:r w:rsidR="00EF09FC" w:rsidRPr="00120E8E">
        <w:t>i jeho část</w:t>
      </w:r>
      <w:r w:rsidR="00446858" w:rsidRPr="00120E8E">
        <w:t>,</w:t>
      </w:r>
      <w:r w:rsidR="00CF5D58" w:rsidRPr="00120E8E">
        <w:t xml:space="preserve"> </w:t>
      </w:r>
      <w:r w:rsidR="00EF09FC" w:rsidRPr="00120E8E">
        <w:t>je-li dostatečně oddělena od zbytku mnohostranného obchodního systému. Jedná se o upřesnění, jehož cílem je zvýšit právní jistotu, zlepšit viditelnost a profil trhů specializovaných na obchodování s cennými papíry malých a</w:t>
      </w:r>
      <w:r w:rsidR="003873F0" w:rsidRPr="00120E8E">
        <w:t> </w:t>
      </w:r>
      <w:r w:rsidR="00EF09FC" w:rsidRPr="00120E8E">
        <w:t>středních podniků a podpořit rozvoj společných unijních norem pro tyto podniky.</w:t>
      </w:r>
    </w:p>
    <w:p w14:paraId="2AEA20A3" w14:textId="3483C02B" w:rsidR="00EF09FC" w:rsidRPr="00120E8E" w:rsidRDefault="00EF09FC" w:rsidP="00EF09FC">
      <w:r w:rsidRPr="00120E8E">
        <w:t xml:space="preserve">Odstavec 2 písm. i) stanovuje dodatečné podmínky, pro zapsání části mnohostranného obchodního systému do seznamu trhu </w:t>
      </w:r>
      <w:r w:rsidR="006C27F7" w:rsidRPr="00120E8E">
        <w:t xml:space="preserve">pro růst </w:t>
      </w:r>
      <w:r w:rsidRPr="00120E8E">
        <w:t xml:space="preserve">malých a středních podniků, které musí být splněni nad rámec podmínek stanovených v odstavci 2 písm. a) až h). Tyto požadavky vyplývají z čl. 33 odst. 3a směrnice </w:t>
      </w:r>
      <w:proofErr w:type="spellStart"/>
      <w:r w:rsidRPr="00120E8E">
        <w:t>MiFID</w:t>
      </w:r>
      <w:proofErr w:type="spellEnd"/>
      <w:r w:rsidR="00984687" w:rsidRPr="00120E8E">
        <w:t xml:space="preserve"> II</w:t>
      </w:r>
      <w:r w:rsidRPr="00120E8E">
        <w:t xml:space="preserve">. Identifikačním číslem trhu se rozumí čtyřznakový alfanumerický kód podle normy ISO 10383, který jednoznačně identifikuje burzy, obchodní platformy, regulované i neregulované trhy, nebo </w:t>
      </w:r>
      <w:proofErr w:type="spellStart"/>
      <w:r w:rsidRPr="00120E8E">
        <w:t>reportovací</w:t>
      </w:r>
      <w:proofErr w:type="spellEnd"/>
      <w:r w:rsidRPr="00120E8E">
        <w:t xml:space="preserve"> mechanismy. Tento kód přiděluje SWIFT na základě žádosti a stejně tak vede oficiální seznam všech subjektů, jimž byl přidělen.</w:t>
      </w:r>
    </w:p>
    <w:p w14:paraId="72F2CBB4" w14:textId="77777777" w:rsidR="00EF09FC" w:rsidRPr="00120E8E" w:rsidRDefault="00EF09FC" w:rsidP="00EF09FC">
      <w:r w:rsidRPr="00120E8E">
        <w:t xml:space="preserve">Odstavec 5 se zrušuje pro nadbytečnost, jde o deklaratorní ustanovení, neboť nařízení Komise v přenesené pravomoci jsou přímo aplikovatelná. </w:t>
      </w:r>
    </w:p>
    <w:p w14:paraId="677DA4F6" w14:textId="506677D4" w:rsidR="00EF09FC" w:rsidRPr="00120E8E" w:rsidRDefault="00BE56D2" w:rsidP="00EF09FC">
      <w:pPr>
        <w:rPr>
          <w:b/>
          <w:bCs/>
          <w:u w:val="single"/>
        </w:rPr>
      </w:pPr>
      <w:r w:rsidRPr="00120E8E">
        <w:rPr>
          <w:b/>
          <w:bCs/>
          <w:u w:val="single"/>
        </w:rPr>
        <w:t xml:space="preserve">K bodu </w:t>
      </w:r>
      <w:r w:rsidR="00990133">
        <w:rPr>
          <w:b/>
          <w:bCs/>
          <w:u w:val="single"/>
        </w:rPr>
        <w:t>50</w:t>
      </w:r>
      <w:r w:rsidR="00E2598F" w:rsidRPr="00120E8E">
        <w:rPr>
          <w:b/>
          <w:bCs/>
          <w:u w:val="single"/>
        </w:rPr>
        <w:t xml:space="preserve"> </w:t>
      </w:r>
      <w:r w:rsidRPr="00120E8E">
        <w:rPr>
          <w:b/>
          <w:bCs/>
          <w:u w:val="single"/>
        </w:rPr>
        <w:t xml:space="preserve">až </w:t>
      </w:r>
      <w:r w:rsidR="00E2598F">
        <w:rPr>
          <w:b/>
          <w:bCs/>
          <w:u w:val="single"/>
        </w:rPr>
        <w:t>5</w:t>
      </w:r>
      <w:r w:rsidR="00990133">
        <w:rPr>
          <w:b/>
          <w:bCs/>
          <w:u w:val="single"/>
        </w:rPr>
        <w:t>2</w:t>
      </w:r>
      <w:r w:rsidR="00E2598F" w:rsidRPr="00120E8E">
        <w:rPr>
          <w:b/>
          <w:bCs/>
          <w:u w:val="single"/>
        </w:rPr>
        <w:t xml:space="preserve"> </w:t>
      </w:r>
      <w:r w:rsidR="00EF09FC" w:rsidRPr="00120E8E">
        <w:rPr>
          <w:b/>
          <w:bCs/>
          <w:u w:val="single"/>
        </w:rPr>
        <w:t>(k § 73c)</w:t>
      </w:r>
    </w:p>
    <w:p w14:paraId="5A2E52D9" w14:textId="7284682A" w:rsidR="00EF09FC" w:rsidRPr="00120E8E" w:rsidRDefault="00EF09FC" w:rsidP="00EF09FC">
      <w:r w:rsidRPr="00120E8E">
        <w:t xml:space="preserve">V odstavci 1 a 3 se jedná o technicistní změnu reagující na skutečnost, že trhem </w:t>
      </w:r>
      <w:r w:rsidR="006C27F7" w:rsidRPr="00120E8E">
        <w:t xml:space="preserve">pro růst </w:t>
      </w:r>
      <w:r w:rsidRPr="00120E8E">
        <w:t>malých a středních podniků může být i pouze část mnohostranného obchodního systému.</w:t>
      </w:r>
    </w:p>
    <w:p w14:paraId="3E2D34BC" w14:textId="275BD5D3" w:rsidR="00EF09FC" w:rsidRPr="00120E8E" w:rsidRDefault="00EF09FC" w:rsidP="00EF09FC">
      <w:r w:rsidRPr="00120E8E">
        <w:t xml:space="preserve">Odstavec 2 reaguje na změnu podmínek, za kterých je možné přijmout investiční nástroj emitenta obchodovaný na trhu </w:t>
      </w:r>
      <w:r w:rsidR="006C27F7" w:rsidRPr="00120E8E">
        <w:t xml:space="preserve">pro růst </w:t>
      </w:r>
      <w:r w:rsidRPr="00120E8E">
        <w:t xml:space="preserve">malých a středních podniků k obchodování v jiném obchodním systému. Pokud má být takovým jiným obchodním systémem jiný trh </w:t>
      </w:r>
      <w:r w:rsidR="006C27F7" w:rsidRPr="00120E8E">
        <w:t xml:space="preserve">pro růst </w:t>
      </w:r>
      <w:r w:rsidRPr="00120E8E">
        <w:t xml:space="preserve">malých a středních podniků, je možné tak učinit pouze pokud byl emitent o tomto předem informován. Investiční nástroj může být takto přijat k obchodování i bez souhlasu emitenta, pakliže zákon stejně jako směrnice stanoví jako podmínku absenci nesouhlasu ze strany emitenta. Na emitenta se v případě přijetí k obchodování na jiném trhu </w:t>
      </w:r>
      <w:r w:rsidR="006C27F7" w:rsidRPr="00120E8E">
        <w:t xml:space="preserve">pro růst </w:t>
      </w:r>
      <w:r w:rsidRPr="00120E8E">
        <w:t xml:space="preserve">malých a středních podniků nevztahují žádné požadavky tohoto jiného trhu týkající se správy a řízení společnosti nebo počátečního, průběžného nebo jednorázového zveřejňování informací tohoto jiného trhu </w:t>
      </w:r>
      <w:r w:rsidR="006C27F7" w:rsidRPr="00120E8E">
        <w:t xml:space="preserve">pro růst </w:t>
      </w:r>
      <w:r w:rsidRPr="00120E8E">
        <w:t xml:space="preserve">malých a středních podniků, a nemusí být tedy o nich informován. Naopak pokud by měl být investiční nástroj emitenta přijat k obchodování v jiném obchodním systému, </w:t>
      </w:r>
      <w:r w:rsidRPr="00120E8E">
        <w:lastRenderedPageBreak/>
        <w:t xml:space="preserve">který není trhem </w:t>
      </w:r>
      <w:r w:rsidR="006C27F7" w:rsidRPr="00120E8E">
        <w:t xml:space="preserve">pro růst </w:t>
      </w:r>
      <w:r w:rsidRPr="00120E8E">
        <w:t xml:space="preserve">malých a středních podniků, musí být emitent informován o veškerých povinnostech, které se na něj budou vztahovat v oblasti správy a řízení společnosti nebo </w:t>
      </w:r>
      <w:r w:rsidR="0079768C">
        <w:t> </w:t>
      </w:r>
      <w:r w:rsidRPr="00120E8E">
        <w:t>počátečního, průběžného nebo jednorázového zveřejňování informací ve vztahu k tomuto jinému obchodnímu systému. Pro přijetí k obchodování investičního nástroje emitenta v tomto jiném obchodním systému opět stačí absence nesouhlasu emitenta.</w:t>
      </w:r>
    </w:p>
    <w:p w14:paraId="674CEB55" w14:textId="77777777" w:rsidR="00EF09FC" w:rsidRPr="00120E8E" w:rsidRDefault="00EF09FC" w:rsidP="00EF09FC">
      <w:r w:rsidRPr="00120E8E">
        <w:t>Ustanovení § 73c je speciální k § 127 ZPKT.</w:t>
      </w:r>
    </w:p>
    <w:p w14:paraId="5D265F69" w14:textId="2FBCDFD7" w:rsidR="00BD1CC7" w:rsidRPr="00120E8E" w:rsidRDefault="00E34074" w:rsidP="00EF09FC">
      <w:pPr>
        <w:rPr>
          <w:b/>
          <w:bCs/>
          <w:u w:val="single"/>
        </w:rPr>
      </w:pPr>
      <w:r w:rsidRPr="00120E8E">
        <w:rPr>
          <w:b/>
          <w:bCs/>
          <w:u w:val="single"/>
        </w:rPr>
        <w:t xml:space="preserve">K bodu </w:t>
      </w:r>
      <w:r w:rsidR="003A0DD2">
        <w:rPr>
          <w:b/>
          <w:bCs/>
          <w:u w:val="single"/>
        </w:rPr>
        <w:t>5</w:t>
      </w:r>
      <w:r w:rsidR="00990133">
        <w:rPr>
          <w:b/>
          <w:bCs/>
          <w:u w:val="single"/>
        </w:rPr>
        <w:t>3</w:t>
      </w:r>
      <w:r w:rsidR="003A0DD2" w:rsidRPr="00120E8E">
        <w:rPr>
          <w:b/>
          <w:bCs/>
          <w:u w:val="single"/>
        </w:rPr>
        <w:t xml:space="preserve"> </w:t>
      </w:r>
      <w:r w:rsidR="00BD1CC7" w:rsidRPr="00120E8E">
        <w:rPr>
          <w:b/>
          <w:bCs/>
          <w:u w:val="single"/>
        </w:rPr>
        <w:t>(k § 83)</w:t>
      </w:r>
    </w:p>
    <w:p w14:paraId="028DFF85" w14:textId="25D15B07" w:rsidR="00BD1CC7" w:rsidRPr="00120E8E" w:rsidRDefault="00BD1CC7" w:rsidP="00BD1CC7">
      <w:pPr>
        <w:spacing w:before="120"/>
      </w:pPr>
      <w:r w:rsidRPr="00120E8E">
        <w:t>Doplňuje se nově definice způsobilé ústřední protistrany, která je již v </w:t>
      </w:r>
      <w:r w:rsidR="000F76CA">
        <w:t>ZPKT</w:t>
      </w:r>
      <w:r w:rsidRPr="00120E8E">
        <w:t xml:space="preserve"> použita v ustanovení § 152.</w:t>
      </w:r>
    </w:p>
    <w:p w14:paraId="0CED1052" w14:textId="00E68B60" w:rsidR="00EF09FC" w:rsidRPr="00120E8E" w:rsidRDefault="004540A7" w:rsidP="00EF09FC">
      <w:pPr>
        <w:rPr>
          <w:b/>
          <w:bCs/>
          <w:u w:val="single"/>
        </w:rPr>
      </w:pPr>
      <w:r w:rsidRPr="00120E8E">
        <w:rPr>
          <w:b/>
          <w:bCs/>
          <w:u w:val="single"/>
        </w:rPr>
        <w:t xml:space="preserve">K bodům </w:t>
      </w:r>
      <w:r w:rsidR="003A0DD2">
        <w:rPr>
          <w:b/>
          <w:bCs/>
          <w:u w:val="single"/>
        </w:rPr>
        <w:t>5</w:t>
      </w:r>
      <w:r w:rsidR="00990133">
        <w:rPr>
          <w:b/>
          <w:bCs/>
          <w:u w:val="single"/>
        </w:rPr>
        <w:t>4</w:t>
      </w:r>
      <w:r w:rsidR="003A0DD2" w:rsidRPr="00120E8E">
        <w:rPr>
          <w:b/>
          <w:bCs/>
          <w:u w:val="single"/>
        </w:rPr>
        <w:t xml:space="preserve"> </w:t>
      </w:r>
      <w:r w:rsidRPr="00120E8E">
        <w:rPr>
          <w:b/>
          <w:bCs/>
          <w:u w:val="single"/>
        </w:rPr>
        <w:t xml:space="preserve">a </w:t>
      </w:r>
      <w:r w:rsidR="003A0DD2">
        <w:rPr>
          <w:b/>
          <w:bCs/>
          <w:u w:val="single"/>
        </w:rPr>
        <w:t>5</w:t>
      </w:r>
      <w:r w:rsidR="00990133">
        <w:rPr>
          <w:b/>
          <w:bCs/>
          <w:u w:val="single"/>
        </w:rPr>
        <w:t>5</w:t>
      </w:r>
      <w:r w:rsidR="003A0DD2" w:rsidRPr="00120E8E">
        <w:rPr>
          <w:b/>
          <w:bCs/>
          <w:u w:val="single"/>
        </w:rPr>
        <w:t xml:space="preserve"> </w:t>
      </w:r>
      <w:r w:rsidR="00EF09FC" w:rsidRPr="00120E8E">
        <w:rPr>
          <w:b/>
          <w:bCs/>
          <w:u w:val="single"/>
        </w:rPr>
        <w:t>(k § 87)</w:t>
      </w:r>
    </w:p>
    <w:p w14:paraId="45372987" w14:textId="12054E5B" w:rsidR="00EF09FC" w:rsidRPr="00120E8E" w:rsidRDefault="00EF09FC" w:rsidP="00EF09FC">
      <w:r w:rsidRPr="00120E8E">
        <w:t>Účelem je snížení regulatorní zátěže. Povinnost předchozího souhlasu se změnami pravidel vypořádacího systému je nahrazena notifikační povinností. V návaznosti na zrušení povinnosti předchozího souhlasu se ruší odstavec 2 upravující řízení o něm ze strany ČNB.</w:t>
      </w:r>
    </w:p>
    <w:p w14:paraId="7041002C" w14:textId="7DF7F61A" w:rsidR="00EF09FC" w:rsidRPr="00120E8E" w:rsidRDefault="004540A7" w:rsidP="00EF09FC">
      <w:pPr>
        <w:shd w:val="clear" w:color="auto" w:fill="FFFFFF"/>
        <w:spacing w:after="0"/>
        <w:jc w:val="left"/>
        <w:rPr>
          <w:b/>
          <w:bCs/>
          <w:color w:val="232323"/>
          <w:szCs w:val="24"/>
          <w:u w:val="single"/>
        </w:rPr>
      </w:pPr>
      <w:r w:rsidRPr="00120E8E">
        <w:rPr>
          <w:b/>
          <w:bCs/>
          <w:color w:val="232323"/>
          <w:szCs w:val="24"/>
          <w:u w:val="single"/>
        </w:rPr>
        <w:t xml:space="preserve">K bodu </w:t>
      </w:r>
      <w:r w:rsidR="003A0DD2">
        <w:rPr>
          <w:b/>
          <w:bCs/>
          <w:color w:val="232323"/>
          <w:szCs w:val="24"/>
          <w:u w:val="single"/>
        </w:rPr>
        <w:t>5</w:t>
      </w:r>
      <w:r w:rsidR="00990133">
        <w:rPr>
          <w:b/>
          <w:bCs/>
          <w:color w:val="232323"/>
          <w:szCs w:val="24"/>
          <w:u w:val="single"/>
        </w:rPr>
        <w:t>6</w:t>
      </w:r>
      <w:r w:rsidR="003A0DD2" w:rsidRPr="00120E8E">
        <w:rPr>
          <w:b/>
          <w:bCs/>
          <w:color w:val="232323"/>
          <w:szCs w:val="24"/>
          <w:u w:val="single"/>
        </w:rPr>
        <w:t xml:space="preserve"> </w:t>
      </w:r>
      <w:r w:rsidR="00EF09FC" w:rsidRPr="00120E8E">
        <w:rPr>
          <w:b/>
          <w:bCs/>
          <w:color w:val="232323"/>
          <w:szCs w:val="24"/>
          <w:u w:val="single"/>
        </w:rPr>
        <w:t>(k § 90g)</w:t>
      </w:r>
    </w:p>
    <w:p w14:paraId="08B099EA" w14:textId="77777777" w:rsidR="00EF09FC" w:rsidRPr="00120E8E" w:rsidRDefault="00EF09FC" w:rsidP="00EF09FC">
      <w:r w:rsidRPr="00120E8E">
        <w:t>Jedná se o technicistní změnu v odkazu v důsledku změny § 87.</w:t>
      </w:r>
    </w:p>
    <w:p w14:paraId="3BDB533A" w14:textId="7316BA53" w:rsidR="00CA429B" w:rsidRDefault="00CA429B" w:rsidP="00EF09FC">
      <w:pPr>
        <w:rPr>
          <w:b/>
          <w:bCs/>
          <w:u w:val="single"/>
        </w:rPr>
      </w:pPr>
      <w:r>
        <w:rPr>
          <w:b/>
          <w:bCs/>
          <w:u w:val="single"/>
        </w:rPr>
        <w:t xml:space="preserve">K bodu </w:t>
      </w:r>
      <w:r w:rsidR="003A0DD2">
        <w:rPr>
          <w:b/>
          <w:bCs/>
          <w:u w:val="single"/>
        </w:rPr>
        <w:t>5</w:t>
      </w:r>
      <w:r w:rsidR="00990133">
        <w:rPr>
          <w:b/>
          <w:bCs/>
          <w:u w:val="single"/>
        </w:rPr>
        <w:t>7</w:t>
      </w:r>
      <w:r>
        <w:rPr>
          <w:b/>
          <w:bCs/>
          <w:u w:val="single"/>
        </w:rPr>
        <w:t xml:space="preserve"> (k § 100)</w:t>
      </w:r>
    </w:p>
    <w:p w14:paraId="7A1EA2CB" w14:textId="7D78DAFF" w:rsidR="00CA429B" w:rsidRPr="00946C30" w:rsidRDefault="00CA429B" w:rsidP="00EF09FC">
      <w:r>
        <w:t xml:space="preserve">V souladu se snahami o </w:t>
      </w:r>
      <w:r w:rsidR="00C2186A">
        <w:t xml:space="preserve">snížení regulatorní zátěže se ruší povinnost označení </w:t>
      </w:r>
      <w:r w:rsidR="00946C30">
        <w:t xml:space="preserve">(zahraničního) </w:t>
      </w:r>
      <w:r w:rsidR="00C2186A">
        <w:t xml:space="preserve">centrálního depozitáře jako centrálního depozitáře cenných papírů v obchodním rejstříku. Tato povinnost se mění na možnost centrálního depozitáře používat označení centrálního depozitáře cenných papírů. Zároveň jiné subjekty než </w:t>
      </w:r>
      <w:r w:rsidR="00946C30">
        <w:t xml:space="preserve">(zahraniční) </w:t>
      </w:r>
      <w:r w:rsidR="00C2186A">
        <w:t xml:space="preserve">centrální depozitář nesmí v obchodní firmě obsahovat označení centrálního depozitáře cenných papírů, ani obdobné označení nebo </w:t>
      </w:r>
      <w:r w:rsidR="0079768C">
        <w:t> </w:t>
      </w:r>
      <w:r w:rsidR="00946C30">
        <w:t xml:space="preserve">jeho </w:t>
      </w:r>
      <w:r w:rsidR="00C2186A">
        <w:t>jazykové mutace.</w:t>
      </w:r>
      <w:r w:rsidR="00946C30">
        <w:t xml:space="preserve"> Cílem je ochrana označení centrálního depozitáře, aby toto nemohlo být používáno zavádějícím nebo klamavým způsobem, vyvolávající mylnou domněnku o povaze subjektu. </w:t>
      </w:r>
      <w:r w:rsidR="008D7133">
        <w:t xml:space="preserve">Zároveň novou textací dochází ke sladění s obdobnou úpravou označování bank podle </w:t>
      </w:r>
      <w:proofErr w:type="spellStart"/>
      <w:r w:rsidR="00EC5364">
        <w:t>ZoB</w:t>
      </w:r>
      <w:proofErr w:type="spellEnd"/>
      <w:r w:rsidR="008D7133">
        <w:t xml:space="preserve">. </w:t>
      </w:r>
    </w:p>
    <w:p w14:paraId="7A0D5848" w14:textId="0DC4259F" w:rsidR="00EF09FC" w:rsidRPr="00120E8E" w:rsidRDefault="009C3B8B" w:rsidP="00EF09FC">
      <w:pPr>
        <w:rPr>
          <w:b/>
          <w:bCs/>
          <w:u w:val="single"/>
        </w:rPr>
      </w:pPr>
      <w:r w:rsidRPr="00120E8E">
        <w:rPr>
          <w:b/>
          <w:bCs/>
          <w:u w:val="single"/>
        </w:rPr>
        <w:t xml:space="preserve">K bodu </w:t>
      </w:r>
      <w:r w:rsidR="003A0DD2">
        <w:rPr>
          <w:b/>
          <w:bCs/>
          <w:u w:val="single"/>
        </w:rPr>
        <w:t>5</w:t>
      </w:r>
      <w:r w:rsidR="00990133">
        <w:rPr>
          <w:b/>
          <w:bCs/>
          <w:u w:val="single"/>
        </w:rPr>
        <w:t>8</w:t>
      </w:r>
      <w:r w:rsidR="003A0DD2" w:rsidRPr="00120E8E">
        <w:rPr>
          <w:b/>
          <w:bCs/>
          <w:u w:val="single"/>
        </w:rPr>
        <w:t xml:space="preserve"> </w:t>
      </w:r>
      <w:r w:rsidR="00EF09FC" w:rsidRPr="00120E8E">
        <w:rPr>
          <w:b/>
          <w:bCs/>
          <w:u w:val="single"/>
        </w:rPr>
        <w:t>(k § 127)</w:t>
      </w:r>
    </w:p>
    <w:p w14:paraId="6D00BDC9" w14:textId="43379C01" w:rsidR="00EF09FC" w:rsidRPr="00120E8E" w:rsidRDefault="00EF09FC" w:rsidP="00EF09FC">
      <w:r w:rsidRPr="00120E8E">
        <w:t xml:space="preserve">Jedná se o využití diskrece poskytnuté členským státům v čl. 17 odst. 4 druhém pododstavci </w:t>
      </w:r>
      <w:r w:rsidR="000F76CA">
        <w:t xml:space="preserve">nařízení </w:t>
      </w:r>
      <w:r w:rsidRPr="00120E8E">
        <w:t>MAR. Cílem je snížení administrativní zátěže povinných subjektů při zachování dostatečných nástrojů ČN</w:t>
      </w:r>
      <w:r w:rsidR="00C66330" w:rsidRPr="00120E8E">
        <w:t>B</w:t>
      </w:r>
      <w:r w:rsidRPr="00120E8E">
        <w:t xml:space="preserve"> při její dohledové činnosti. </w:t>
      </w:r>
    </w:p>
    <w:p w14:paraId="1446CF66" w14:textId="4FBEE523" w:rsidR="00A55822" w:rsidRPr="00120E8E" w:rsidRDefault="009C3B8B" w:rsidP="00A55822">
      <w:pPr>
        <w:rPr>
          <w:b/>
          <w:bCs/>
          <w:u w:val="single"/>
        </w:rPr>
      </w:pPr>
      <w:r w:rsidRPr="00120E8E">
        <w:rPr>
          <w:b/>
          <w:bCs/>
          <w:u w:val="single"/>
        </w:rPr>
        <w:t xml:space="preserve">K bodu </w:t>
      </w:r>
      <w:r w:rsidR="003A0DD2">
        <w:rPr>
          <w:b/>
          <w:bCs/>
          <w:u w:val="single"/>
        </w:rPr>
        <w:t>5</w:t>
      </w:r>
      <w:r w:rsidR="00990133">
        <w:rPr>
          <w:b/>
          <w:bCs/>
          <w:u w:val="single"/>
        </w:rPr>
        <w:t>9</w:t>
      </w:r>
      <w:r w:rsidR="003A0DD2" w:rsidRPr="00120E8E">
        <w:rPr>
          <w:b/>
          <w:bCs/>
          <w:u w:val="single"/>
        </w:rPr>
        <w:t xml:space="preserve"> </w:t>
      </w:r>
      <w:r w:rsidR="00A55822" w:rsidRPr="00120E8E">
        <w:rPr>
          <w:b/>
          <w:bCs/>
          <w:u w:val="single"/>
        </w:rPr>
        <w:t>(k § 135a)</w:t>
      </w:r>
    </w:p>
    <w:p w14:paraId="6571F95E" w14:textId="69694E92" w:rsidR="00A55822" w:rsidRPr="00120E8E" w:rsidRDefault="00A55822" w:rsidP="00A55822">
      <w:pPr>
        <w:spacing w:before="120"/>
      </w:pPr>
      <w:r w:rsidRPr="00120E8E">
        <w:t xml:space="preserve">Obdobně jako v § 25c </w:t>
      </w:r>
      <w:proofErr w:type="spellStart"/>
      <w:r w:rsidRPr="00120E8E">
        <w:t>ZoB</w:t>
      </w:r>
      <w:proofErr w:type="spellEnd"/>
      <w:r w:rsidRPr="00120E8E">
        <w:t xml:space="preserve"> se zakotvují dohledové pravomoci </w:t>
      </w:r>
      <w:r w:rsidR="004B3660">
        <w:t>ČNB</w:t>
      </w:r>
      <w:r w:rsidRPr="00120E8E">
        <w:t xml:space="preserve"> ve vztahu k dohledu nad</w:t>
      </w:r>
      <w:r w:rsidR="00990133">
        <w:t> </w:t>
      </w:r>
      <w:r w:rsidRPr="00120E8E">
        <w:t xml:space="preserve">řízením postupů a cílů, které se nově pro </w:t>
      </w:r>
      <w:r w:rsidR="00654B40">
        <w:t>OCP</w:t>
      </w:r>
      <w:r w:rsidRPr="00120E8E">
        <w:t xml:space="preserve"> zavádějí.</w:t>
      </w:r>
    </w:p>
    <w:p w14:paraId="507DBD22" w14:textId="79AE41AB" w:rsidR="00EF09FC" w:rsidRPr="00120E8E" w:rsidRDefault="009C3B8B" w:rsidP="00EF09FC">
      <w:pPr>
        <w:rPr>
          <w:b/>
          <w:bCs/>
          <w:u w:val="single"/>
        </w:rPr>
      </w:pPr>
      <w:r w:rsidRPr="00120E8E">
        <w:rPr>
          <w:b/>
          <w:bCs/>
          <w:u w:val="single"/>
        </w:rPr>
        <w:t xml:space="preserve">K bodu </w:t>
      </w:r>
      <w:r w:rsidR="00990133">
        <w:rPr>
          <w:b/>
          <w:bCs/>
          <w:u w:val="single"/>
        </w:rPr>
        <w:t>60</w:t>
      </w:r>
      <w:r w:rsidR="003A0DD2" w:rsidRPr="00120E8E">
        <w:rPr>
          <w:b/>
          <w:bCs/>
          <w:u w:val="single"/>
        </w:rPr>
        <w:t xml:space="preserve"> </w:t>
      </w:r>
      <w:r w:rsidR="00EF09FC" w:rsidRPr="00120E8E">
        <w:rPr>
          <w:b/>
          <w:bCs/>
          <w:u w:val="single"/>
        </w:rPr>
        <w:t>(k § 135c)</w:t>
      </w:r>
    </w:p>
    <w:p w14:paraId="02CD9799" w14:textId="4613C251" w:rsidR="00EF09FC" w:rsidRPr="00120E8E" w:rsidRDefault="00EF09FC" w:rsidP="00EF09FC">
      <w:r w:rsidRPr="00120E8E">
        <w:t xml:space="preserve">Jedná se o legislativně technickou opravu odkazu. Materie podmínek uložení dodatečného kapitálového požadavku je pak upravena v § 137a </w:t>
      </w:r>
      <w:r w:rsidR="000F76CA">
        <w:t>ZPKT</w:t>
      </w:r>
      <w:r w:rsidRPr="00120E8E">
        <w:t>.</w:t>
      </w:r>
    </w:p>
    <w:p w14:paraId="243D7EAF" w14:textId="10F66687" w:rsidR="00EF09FC" w:rsidRPr="00120E8E" w:rsidRDefault="009C3B8B" w:rsidP="00EF09FC">
      <w:r w:rsidRPr="00120E8E">
        <w:rPr>
          <w:b/>
          <w:bCs/>
          <w:u w:val="single"/>
        </w:rPr>
        <w:t xml:space="preserve">K bodům </w:t>
      </w:r>
      <w:r w:rsidR="003A0DD2">
        <w:rPr>
          <w:b/>
          <w:bCs/>
          <w:u w:val="single"/>
        </w:rPr>
        <w:t>6</w:t>
      </w:r>
      <w:r w:rsidR="00990133">
        <w:rPr>
          <w:b/>
          <w:bCs/>
          <w:u w:val="single"/>
        </w:rPr>
        <w:t>1</w:t>
      </w:r>
      <w:r w:rsidR="003A0DD2" w:rsidRPr="00120E8E">
        <w:rPr>
          <w:b/>
          <w:bCs/>
          <w:u w:val="single"/>
        </w:rPr>
        <w:t xml:space="preserve"> </w:t>
      </w:r>
      <w:r w:rsidRPr="00120E8E">
        <w:rPr>
          <w:b/>
          <w:bCs/>
          <w:u w:val="single"/>
        </w:rPr>
        <w:t xml:space="preserve">až </w:t>
      </w:r>
      <w:r w:rsidR="003A0DD2">
        <w:rPr>
          <w:b/>
          <w:bCs/>
          <w:u w:val="single"/>
        </w:rPr>
        <w:t>6</w:t>
      </w:r>
      <w:r w:rsidR="00990133">
        <w:rPr>
          <w:b/>
          <w:bCs/>
          <w:u w:val="single"/>
        </w:rPr>
        <w:t>4</w:t>
      </w:r>
      <w:r w:rsidR="003A0DD2" w:rsidRPr="00120E8E">
        <w:rPr>
          <w:b/>
          <w:bCs/>
          <w:u w:val="single"/>
        </w:rPr>
        <w:t xml:space="preserve"> </w:t>
      </w:r>
      <w:r w:rsidR="00EF09FC" w:rsidRPr="00120E8E">
        <w:rPr>
          <w:b/>
          <w:bCs/>
          <w:u w:val="single"/>
        </w:rPr>
        <w:t>(k § 136)</w:t>
      </w:r>
    </w:p>
    <w:p w14:paraId="6631B898" w14:textId="52777BE2" w:rsidR="00EF09FC" w:rsidRPr="00120E8E" w:rsidRDefault="00EF09FC" w:rsidP="00EF09FC">
      <w:r w:rsidRPr="00120E8E">
        <w:t xml:space="preserve">S ohledem na změny v čl. 30 nařízení MAR provedené nařízením </w:t>
      </w:r>
      <w:proofErr w:type="spellStart"/>
      <w:r w:rsidR="000F76CA">
        <w:t>Listing</w:t>
      </w:r>
      <w:proofErr w:type="spellEnd"/>
      <w:r w:rsidR="000F76CA">
        <w:t xml:space="preserve"> </w:t>
      </w:r>
      <w:proofErr w:type="spellStart"/>
      <w:r w:rsidR="000F76CA">
        <w:t>Act</w:t>
      </w:r>
      <w:proofErr w:type="spellEnd"/>
      <w:r w:rsidR="000F76CA">
        <w:t xml:space="preserve"> balíčku</w:t>
      </w:r>
      <w:r w:rsidRPr="00120E8E">
        <w:t xml:space="preserve"> a</w:t>
      </w:r>
      <w:r w:rsidR="00990133">
        <w:t> </w:t>
      </w:r>
      <w:r w:rsidRPr="00120E8E">
        <w:t>na</w:t>
      </w:r>
      <w:r w:rsidR="00990133">
        <w:t> </w:t>
      </w:r>
      <w:r w:rsidRPr="00120E8E">
        <w:t>změny v čl.</w:t>
      </w:r>
      <w:r w:rsidR="00A93A13" w:rsidRPr="00120E8E">
        <w:t> </w:t>
      </w:r>
      <w:r w:rsidRPr="00120E8E">
        <w:t xml:space="preserve">41 BMR provedené změnovým </w:t>
      </w:r>
      <w:r w:rsidRPr="000F76CA">
        <w:t>nařízením</w:t>
      </w:r>
      <w:r w:rsidRPr="00120E8E">
        <w:t xml:space="preserve"> </w:t>
      </w:r>
      <w:r w:rsidR="000F76CA" w:rsidRPr="000F76CA">
        <w:t xml:space="preserve">Evropského parlamentu a Rady </w:t>
      </w:r>
      <w:r w:rsidR="000F76CA" w:rsidRPr="000F76CA">
        <w:lastRenderedPageBreak/>
        <w:t xml:space="preserve">(EU) 2025/914 ze dne 7. května 2025, kterým se mění nařízení (EU) 2016/1011, pokud jde o </w:t>
      </w:r>
      <w:r w:rsidR="0079768C">
        <w:t> </w:t>
      </w:r>
      <w:r w:rsidR="000F76CA" w:rsidRPr="000F76CA">
        <w:t>oblast působnosti pravidel pro referenční hodnoty, používání referenčních hodnot, které poskytuje administrátor nacházející se ve třetí zemi, v Unii a některé požadavky na podávání zpráv</w:t>
      </w:r>
      <w:r w:rsidR="006C2EC2">
        <w:t xml:space="preserve">, </w:t>
      </w:r>
      <w:r w:rsidRPr="00120E8E">
        <w:t>dochází k úpravě opatření k nápravě, které ČNB může uložit.</w:t>
      </w:r>
    </w:p>
    <w:p w14:paraId="19ACEEEC" w14:textId="60EF3560" w:rsidR="00892EB3" w:rsidRPr="00120E8E" w:rsidRDefault="00892EB3" w:rsidP="00892EB3">
      <w:pPr>
        <w:spacing w:before="120"/>
      </w:pPr>
      <w:r w:rsidRPr="00120E8E">
        <w:t>Přidává se opatření k nápravě navazující na povinnosti, které plynou z transpozice směrnice</w:t>
      </w:r>
      <w:r w:rsidR="001814C2" w:rsidRPr="00120E8E">
        <w:t xml:space="preserve"> EMIR</w:t>
      </w:r>
      <w:r w:rsidR="00BC7608" w:rsidRPr="00120E8E">
        <w:t xml:space="preserve"> 3</w:t>
      </w:r>
      <w:r w:rsidRPr="00120E8E">
        <w:t>.</w:t>
      </w:r>
    </w:p>
    <w:p w14:paraId="7F8ACF49" w14:textId="4E66F23B" w:rsidR="00EF09FC" w:rsidRPr="00120E8E" w:rsidRDefault="007776E7" w:rsidP="00EF09FC">
      <w:pPr>
        <w:rPr>
          <w:b/>
          <w:bCs/>
          <w:u w:val="single"/>
        </w:rPr>
      </w:pPr>
      <w:r w:rsidRPr="00120E8E">
        <w:rPr>
          <w:b/>
          <w:bCs/>
          <w:u w:val="single"/>
        </w:rPr>
        <w:t xml:space="preserve">K bodům </w:t>
      </w:r>
      <w:r w:rsidR="003A0DD2">
        <w:rPr>
          <w:b/>
          <w:bCs/>
          <w:u w:val="single"/>
        </w:rPr>
        <w:t>6</w:t>
      </w:r>
      <w:r w:rsidR="00990133">
        <w:rPr>
          <w:b/>
          <w:bCs/>
          <w:u w:val="single"/>
        </w:rPr>
        <w:t>5</w:t>
      </w:r>
      <w:r w:rsidR="003A0DD2" w:rsidRPr="00120E8E">
        <w:rPr>
          <w:b/>
          <w:bCs/>
          <w:u w:val="single"/>
        </w:rPr>
        <w:t xml:space="preserve"> </w:t>
      </w:r>
      <w:r w:rsidRPr="00120E8E">
        <w:rPr>
          <w:b/>
          <w:bCs/>
          <w:u w:val="single"/>
        </w:rPr>
        <w:t xml:space="preserve">až </w:t>
      </w:r>
      <w:r w:rsidR="003A0DD2">
        <w:rPr>
          <w:b/>
          <w:bCs/>
          <w:u w:val="single"/>
        </w:rPr>
        <w:t>6</w:t>
      </w:r>
      <w:r w:rsidR="00990133">
        <w:rPr>
          <w:b/>
          <w:bCs/>
          <w:u w:val="single"/>
        </w:rPr>
        <w:t xml:space="preserve">7 </w:t>
      </w:r>
      <w:r w:rsidR="00EF09FC" w:rsidRPr="00120E8E">
        <w:rPr>
          <w:b/>
          <w:bCs/>
          <w:u w:val="single"/>
        </w:rPr>
        <w:t>(k § 137a</w:t>
      </w:r>
      <w:r w:rsidR="007A7196">
        <w:rPr>
          <w:b/>
          <w:bCs/>
          <w:u w:val="single"/>
        </w:rPr>
        <w:t xml:space="preserve"> a</w:t>
      </w:r>
      <w:r w:rsidRPr="00120E8E">
        <w:rPr>
          <w:b/>
          <w:bCs/>
          <w:u w:val="single"/>
        </w:rPr>
        <w:t xml:space="preserve"> 137c</w:t>
      </w:r>
      <w:r w:rsidR="00EF09FC" w:rsidRPr="00120E8E">
        <w:rPr>
          <w:b/>
          <w:bCs/>
          <w:u w:val="single"/>
        </w:rPr>
        <w:t>)</w:t>
      </w:r>
    </w:p>
    <w:p w14:paraId="0B3F0E4C" w14:textId="77777777" w:rsidR="00EF09FC" w:rsidRPr="00120E8E" w:rsidRDefault="00EF09FC" w:rsidP="00EF09FC">
      <w:r w:rsidRPr="00120E8E">
        <w:t>Jedná se o opravu chybných odkazů.</w:t>
      </w:r>
    </w:p>
    <w:p w14:paraId="3ED1461D" w14:textId="0FF3F5E1" w:rsidR="00EF09FC" w:rsidRPr="00120E8E" w:rsidRDefault="007776E7" w:rsidP="00EF09FC">
      <w:pPr>
        <w:rPr>
          <w:b/>
          <w:bCs/>
          <w:u w:val="single"/>
        </w:rPr>
      </w:pPr>
      <w:r w:rsidRPr="00120E8E">
        <w:rPr>
          <w:b/>
          <w:bCs/>
          <w:u w:val="single"/>
        </w:rPr>
        <w:t xml:space="preserve">K bodu </w:t>
      </w:r>
      <w:r w:rsidR="003A0DD2">
        <w:rPr>
          <w:b/>
          <w:bCs/>
          <w:u w:val="single"/>
        </w:rPr>
        <w:t>6</w:t>
      </w:r>
      <w:r w:rsidR="00990133">
        <w:rPr>
          <w:b/>
          <w:bCs/>
          <w:u w:val="single"/>
        </w:rPr>
        <w:t>8</w:t>
      </w:r>
      <w:r w:rsidR="003A0DD2" w:rsidRPr="00120E8E">
        <w:rPr>
          <w:b/>
          <w:bCs/>
          <w:u w:val="single"/>
        </w:rPr>
        <w:t xml:space="preserve"> </w:t>
      </w:r>
      <w:r w:rsidRPr="00120E8E">
        <w:rPr>
          <w:b/>
          <w:bCs/>
          <w:u w:val="single"/>
        </w:rPr>
        <w:t xml:space="preserve">a </w:t>
      </w:r>
      <w:r w:rsidR="003A0DD2">
        <w:rPr>
          <w:b/>
          <w:bCs/>
          <w:u w:val="single"/>
        </w:rPr>
        <w:t>6</w:t>
      </w:r>
      <w:r w:rsidR="00990133">
        <w:rPr>
          <w:b/>
          <w:bCs/>
          <w:u w:val="single"/>
        </w:rPr>
        <w:t>9</w:t>
      </w:r>
      <w:r w:rsidR="003A0DD2" w:rsidRPr="00120E8E">
        <w:rPr>
          <w:b/>
          <w:bCs/>
          <w:u w:val="single"/>
        </w:rPr>
        <w:t xml:space="preserve"> </w:t>
      </w:r>
      <w:r w:rsidR="00EF09FC" w:rsidRPr="00120E8E">
        <w:rPr>
          <w:b/>
          <w:bCs/>
          <w:u w:val="single"/>
        </w:rPr>
        <w:t>(k § 145)</w:t>
      </w:r>
    </w:p>
    <w:p w14:paraId="7D7B9C66" w14:textId="77777777" w:rsidR="00EF09FC" w:rsidRPr="00120E8E" w:rsidRDefault="00EF09FC" w:rsidP="00EF09FC">
      <w:r w:rsidRPr="00120E8E">
        <w:t>Písm. c) se ruší v důsledku zrušení povinnosti registrace další podnikatelské činnosti.</w:t>
      </w:r>
    </w:p>
    <w:p w14:paraId="0A2BFB68" w14:textId="2617AC4F" w:rsidR="00EF09FC" w:rsidRPr="00120E8E" w:rsidRDefault="007776E7" w:rsidP="00EF09FC">
      <w:pPr>
        <w:rPr>
          <w:b/>
          <w:bCs/>
          <w:u w:val="single"/>
        </w:rPr>
      </w:pPr>
      <w:r w:rsidRPr="00120E8E">
        <w:rPr>
          <w:b/>
          <w:bCs/>
          <w:u w:val="single"/>
        </w:rPr>
        <w:t xml:space="preserve">K bodu </w:t>
      </w:r>
      <w:r w:rsidR="00990133">
        <w:rPr>
          <w:b/>
          <w:bCs/>
          <w:u w:val="single"/>
        </w:rPr>
        <w:t>70</w:t>
      </w:r>
      <w:r w:rsidR="007A7196" w:rsidRPr="00120E8E">
        <w:rPr>
          <w:b/>
          <w:bCs/>
          <w:u w:val="single"/>
        </w:rPr>
        <w:t xml:space="preserve"> </w:t>
      </w:r>
      <w:r w:rsidR="00EF09FC" w:rsidRPr="00120E8E">
        <w:rPr>
          <w:b/>
          <w:bCs/>
          <w:u w:val="single"/>
        </w:rPr>
        <w:t>(k § 150)</w:t>
      </w:r>
    </w:p>
    <w:p w14:paraId="54586C1E" w14:textId="77777777" w:rsidR="00EF09FC" w:rsidRPr="00120E8E" w:rsidRDefault="00EF09FC" w:rsidP="00EF09FC">
      <w:r w:rsidRPr="00120E8E">
        <w:t>Jedná se o opravu chybného odkazu.</w:t>
      </w:r>
    </w:p>
    <w:p w14:paraId="5F38A299" w14:textId="11647B5B" w:rsidR="00EF09FC" w:rsidRPr="00120E8E" w:rsidRDefault="007776E7" w:rsidP="00EF09FC">
      <w:pPr>
        <w:rPr>
          <w:b/>
          <w:bCs/>
          <w:u w:val="single"/>
        </w:rPr>
      </w:pPr>
      <w:r w:rsidRPr="00120E8E">
        <w:rPr>
          <w:b/>
          <w:bCs/>
          <w:u w:val="single"/>
        </w:rPr>
        <w:t xml:space="preserve">K bodu </w:t>
      </w:r>
      <w:r w:rsidR="007A7196">
        <w:rPr>
          <w:b/>
          <w:bCs/>
          <w:u w:val="single"/>
        </w:rPr>
        <w:t>7</w:t>
      </w:r>
      <w:r w:rsidR="00990133">
        <w:rPr>
          <w:b/>
          <w:bCs/>
          <w:u w:val="single"/>
        </w:rPr>
        <w:t>1</w:t>
      </w:r>
      <w:r w:rsidR="007A7196" w:rsidRPr="00120E8E">
        <w:rPr>
          <w:b/>
          <w:bCs/>
          <w:u w:val="single"/>
        </w:rPr>
        <w:t xml:space="preserve"> </w:t>
      </w:r>
      <w:r w:rsidRPr="00120E8E">
        <w:rPr>
          <w:b/>
          <w:bCs/>
          <w:u w:val="single"/>
        </w:rPr>
        <w:t xml:space="preserve">a </w:t>
      </w:r>
      <w:r w:rsidR="007A7196">
        <w:rPr>
          <w:b/>
          <w:bCs/>
          <w:u w:val="single"/>
        </w:rPr>
        <w:t>7</w:t>
      </w:r>
      <w:r w:rsidR="00990133">
        <w:rPr>
          <w:b/>
          <w:bCs/>
          <w:u w:val="single"/>
        </w:rPr>
        <w:t>2</w:t>
      </w:r>
      <w:r w:rsidR="007A7196" w:rsidRPr="00120E8E">
        <w:rPr>
          <w:b/>
          <w:bCs/>
          <w:u w:val="single"/>
        </w:rPr>
        <w:t xml:space="preserve"> </w:t>
      </w:r>
      <w:r w:rsidR="00EF09FC" w:rsidRPr="00120E8E">
        <w:rPr>
          <w:b/>
          <w:bCs/>
          <w:u w:val="single"/>
        </w:rPr>
        <w:t>(k § 153)</w:t>
      </w:r>
    </w:p>
    <w:p w14:paraId="1AC2B069" w14:textId="7F1270BE" w:rsidR="00EF09FC" w:rsidRPr="00120E8E" w:rsidRDefault="00EF09FC" w:rsidP="00EF09FC">
      <w:pPr>
        <w:rPr>
          <w:b/>
          <w:bCs/>
          <w:u w:val="single"/>
        </w:rPr>
      </w:pPr>
      <w:r w:rsidRPr="00120E8E">
        <w:t>Jedná se o legislativně technickou opravu odkazu na normativní úpravu dohledového nástroje dodatečného kapitálového požadavku. Dodatečný kapitálový požadavek je jedním ze</w:t>
      </w:r>
      <w:r w:rsidR="00A93A13" w:rsidRPr="00120E8E">
        <w:t> </w:t>
      </w:r>
      <w:r w:rsidRPr="00120E8E">
        <w:t xml:space="preserve">specifických kapitálových požadavků, taxativně vymezených v § 136 odst. 2 </w:t>
      </w:r>
      <w:r w:rsidR="006C2EC2">
        <w:t>ZPKT</w:t>
      </w:r>
      <w:r w:rsidRPr="00120E8E">
        <w:t xml:space="preserve">, které může příslušný orgán dohledu (tedy ČNB) uložit </w:t>
      </w:r>
      <w:r w:rsidR="00654B40">
        <w:t>OCP</w:t>
      </w:r>
      <w:r w:rsidRPr="00120E8E">
        <w:t xml:space="preserve"> v případě porušení povinnosti podle nařízení Evropského parlamentu a Rady (EU) 2019/2033 (IFR), </w:t>
      </w:r>
      <w:r w:rsidR="006C2EC2">
        <w:t>ZPKT</w:t>
      </w:r>
      <w:r w:rsidRPr="00120E8E">
        <w:t xml:space="preserve">, právního předpisu jej provádějícího, rozhodnutí vydaného podle </w:t>
      </w:r>
      <w:r w:rsidR="006C2EC2">
        <w:t>ZPKT</w:t>
      </w:r>
      <w:r w:rsidRPr="00120E8E">
        <w:t xml:space="preserve"> nebo opatření obecné povahy vydaného podle </w:t>
      </w:r>
      <w:r w:rsidR="006C2EC2">
        <w:t>ZPKT</w:t>
      </w:r>
      <w:r w:rsidRPr="00120E8E">
        <w:t>. Samotná materie podmínek uložení dodatečného kapitálového požadavku je pak upravena v</w:t>
      </w:r>
      <w:r w:rsidR="00A93A13" w:rsidRPr="00120E8E">
        <w:t> </w:t>
      </w:r>
      <w:r w:rsidRPr="00120E8E">
        <w:t>§</w:t>
      </w:r>
      <w:r w:rsidR="00A93A13" w:rsidRPr="00120E8E">
        <w:t> </w:t>
      </w:r>
      <w:r w:rsidRPr="00120E8E">
        <w:t xml:space="preserve">137a </w:t>
      </w:r>
      <w:r w:rsidR="006C2EC2">
        <w:t>ZPKT</w:t>
      </w:r>
      <w:r w:rsidRPr="00120E8E">
        <w:t>.</w:t>
      </w:r>
      <w:r w:rsidRPr="00120E8E" w:rsidDel="00132331">
        <w:t xml:space="preserve"> </w:t>
      </w:r>
    </w:p>
    <w:p w14:paraId="39F6640B" w14:textId="77777777" w:rsidR="00EF09FC" w:rsidRPr="00120E8E" w:rsidRDefault="00EF09FC" w:rsidP="00EF09FC">
      <w:r w:rsidRPr="00120E8E">
        <w:t xml:space="preserve">Nová úprava lépe odpovídá koeficientu přepočtu CZK k EUR. </w:t>
      </w:r>
    </w:p>
    <w:p w14:paraId="13858CA3" w14:textId="6EC3B251" w:rsidR="00C5691B" w:rsidRPr="00120E8E" w:rsidRDefault="007776E7" w:rsidP="00EF09FC">
      <w:pPr>
        <w:rPr>
          <w:b/>
          <w:bCs/>
          <w:u w:val="single"/>
        </w:rPr>
      </w:pPr>
      <w:r w:rsidRPr="00120E8E">
        <w:rPr>
          <w:b/>
          <w:bCs/>
          <w:u w:val="single"/>
        </w:rPr>
        <w:t xml:space="preserve">K bodu </w:t>
      </w:r>
      <w:r w:rsidR="007A7196">
        <w:rPr>
          <w:b/>
          <w:bCs/>
          <w:u w:val="single"/>
        </w:rPr>
        <w:t>7</w:t>
      </w:r>
      <w:r w:rsidR="00E6278F">
        <w:rPr>
          <w:b/>
          <w:bCs/>
          <w:u w:val="single"/>
        </w:rPr>
        <w:t>3</w:t>
      </w:r>
      <w:r w:rsidR="007A7196" w:rsidRPr="00120E8E">
        <w:rPr>
          <w:b/>
          <w:bCs/>
          <w:u w:val="single"/>
        </w:rPr>
        <w:t xml:space="preserve"> </w:t>
      </w:r>
      <w:r w:rsidRPr="00120E8E">
        <w:rPr>
          <w:b/>
          <w:bCs/>
          <w:u w:val="single"/>
        </w:rPr>
        <w:t xml:space="preserve">až </w:t>
      </w:r>
      <w:r w:rsidR="007A7196">
        <w:rPr>
          <w:b/>
          <w:bCs/>
          <w:u w:val="single"/>
        </w:rPr>
        <w:t>7</w:t>
      </w:r>
      <w:r w:rsidR="00E6278F">
        <w:rPr>
          <w:b/>
          <w:bCs/>
          <w:u w:val="single"/>
        </w:rPr>
        <w:t xml:space="preserve">5 </w:t>
      </w:r>
      <w:r w:rsidR="00C5691B" w:rsidRPr="00120E8E">
        <w:rPr>
          <w:b/>
          <w:bCs/>
          <w:u w:val="single"/>
        </w:rPr>
        <w:t>(k § 160</w:t>
      </w:r>
      <w:r w:rsidRPr="00120E8E">
        <w:rPr>
          <w:b/>
          <w:bCs/>
          <w:u w:val="single"/>
        </w:rPr>
        <w:t xml:space="preserve"> a 177</w:t>
      </w:r>
      <w:r w:rsidR="00C5691B" w:rsidRPr="00120E8E">
        <w:rPr>
          <w:b/>
          <w:bCs/>
          <w:u w:val="single"/>
        </w:rPr>
        <w:t>)</w:t>
      </w:r>
    </w:p>
    <w:p w14:paraId="2150A3E5" w14:textId="77777777" w:rsidR="007776E7" w:rsidRPr="00120E8E" w:rsidRDefault="00C5691B" w:rsidP="00EF09FC">
      <w:r w:rsidRPr="00120E8E">
        <w:t>Upravují se maximální možné výše pokut tak, aby jejich výše lépe odpovídaly koeficientu přepočtu CZK k EUR.</w:t>
      </w:r>
      <w:r w:rsidR="00710B08" w:rsidRPr="00120E8E">
        <w:t xml:space="preserve"> </w:t>
      </w:r>
    </w:p>
    <w:p w14:paraId="0119E80A" w14:textId="6AB25776" w:rsidR="007776E7" w:rsidRPr="00120E8E" w:rsidRDefault="007776E7" w:rsidP="00EF09FC">
      <w:pPr>
        <w:rPr>
          <w:b/>
          <w:bCs/>
          <w:u w:val="single"/>
        </w:rPr>
      </w:pPr>
      <w:r w:rsidRPr="00120E8E">
        <w:rPr>
          <w:b/>
          <w:bCs/>
          <w:u w:val="single"/>
        </w:rPr>
        <w:t xml:space="preserve">K bodu </w:t>
      </w:r>
      <w:r w:rsidR="007A7196" w:rsidRPr="00120E8E">
        <w:rPr>
          <w:b/>
          <w:bCs/>
          <w:u w:val="single"/>
        </w:rPr>
        <w:t>7</w:t>
      </w:r>
      <w:r w:rsidR="00E6278F">
        <w:rPr>
          <w:b/>
          <w:bCs/>
          <w:u w:val="single"/>
        </w:rPr>
        <w:t>6</w:t>
      </w:r>
      <w:r w:rsidR="007A7196" w:rsidRPr="00120E8E">
        <w:rPr>
          <w:b/>
          <w:bCs/>
          <w:u w:val="single"/>
        </w:rPr>
        <w:t xml:space="preserve"> </w:t>
      </w:r>
      <w:r w:rsidRPr="00120E8E">
        <w:rPr>
          <w:b/>
          <w:bCs/>
          <w:u w:val="single"/>
        </w:rPr>
        <w:t>(k § 160)</w:t>
      </w:r>
    </w:p>
    <w:p w14:paraId="7D406D60" w14:textId="401426A9" w:rsidR="00C5691B" w:rsidRPr="00120E8E" w:rsidRDefault="00710B08" w:rsidP="00EF09FC">
      <w:r w:rsidRPr="00120E8E">
        <w:t xml:space="preserve">V souvislosti s požadavkem </w:t>
      </w:r>
      <w:r w:rsidR="000F76CA">
        <w:t xml:space="preserve">nařízení </w:t>
      </w:r>
      <w:r w:rsidRPr="00120E8E">
        <w:t>MAR na sankce za opakované porušení čl.</w:t>
      </w:r>
      <w:r w:rsidR="00A93A13" w:rsidRPr="00120E8E">
        <w:t> </w:t>
      </w:r>
      <w:r w:rsidRPr="00120E8E">
        <w:t xml:space="preserve">14 nebo 15 může ČNB pozastavit výkonu funkce člena řídícího orgánu. </w:t>
      </w:r>
    </w:p>
    <w:p w14:paraId="3C68C0CE" w14:textId="48FBA06E" w:rsidR="00EF09FC" w:rsidRPr="00120E8E" w:rsidRDefault="007776E7" w:rsidP="00EF09FC">
      <w:r w:rsidRPr="00120E8E">
        <w:rPr>
          <w:b/>
          <w:bCs/>
          <w:u w:val="single"/>
        </w:rPr>
        <w:t xml:space="preserve">K bodu </w:t>
      </w:r>
      <w:r w:rsidR="007A7196">
        <w:rPr>
          <w:b/>
          <w:bCs/>
          <w:u w:val="single"/>
        </w:rPr>
        <w:t>7</w:t>
      </w:r>
      <w:r w:rsidR="00E6278F">
        <w:rPr>
          <w:b/>
          <w:bCs/>
          <w:u w:val="single"/>
        </w:rPr>
        <w:t>7</w:t>
      </w:r>
      <w:r w:rsidR="007A7196" w:rsidRPr="00120E8E">
        <w:rPr>
          <w:b/>
          <w:bCs/>
          <w:u w:val="single"/>
        </w:rPr>
        <w:t xml:space="preserve"> </w:t>
      </w:r>
      <w:r w:rsidR="00EF09FC" w:rsidRPr="00120E8E">
        <w:rPr>
          <w:b/>
          <w:bCs/>
          <w:u w:val="single"/>
        </w:rPr>
        <w:t>(k § 161b</w:t>
      </w:r>
      <w:r w:rsidRPr="00120E8E">
        <w:rPr>
          <w:b/>
          <w:bCs/>
          <w:u w:val="single"/>
        </w:rPr>
        <w:t xml:space="preserve"> a 183</w:t>
      </w:r>
      <w:r w:rsidR="00EF09FC" w:rsidRPr="00120E8E">
        <w:rPr>
          <w:b/>
          <w:bCs/>
          <w:u w:val="single"/>
        </w:rPr>
        <w:t>)</w:t>
      </w:r>
    </w:p>
    <w:p w14:paraId="1FD40EF2" w14:textId="6B373FA3" w:rsidR="009F437A" w:rsidRPr="00120E8E" w:rsidRDefault="00EF09FC" w:rsidP="009F437A">
      <w:r w:rsidRPr="00120E8E">
        <w:t>Jedná se o technicistní úpravy odkazů reagující na změny v souvislosti s novou úpravou nařízení o prospektu</w:t>
      </w:r>
      <w:r w:rsidR="006C2EC2">
        <w:t xml:space="preserve"> danou nařízení </w:t>
      </w:r>
      <w:proofErr w:type="spellStart"/>
      <w:r w:rsidR="006C2EC2">
        <w:t>Listing</w:t>
      </w:r>
      <w:proofErr w:type="spellEnd"/>
      <w:r w:rsidR="006C2EC2">
        <w:t xml:space="preserve"> </w:t>
      </w:r>
      <w:proofErr w:type="spellStart"/>
      <w:r w:rsidR="006C2EC2">
        <w:t>Act</w:t>
      </w:r>
      <w:proofErr w:type="spellEnd"/>
      <w:r w:rsidR="006C2EC2">
        <w:t xml:space="preserve"> balíčku</w:t>
      </w:r>
      <w:r w:rsidRPr="00120E8E">
        <w:t>.</w:t>
      </w:r>
    </w:p>
    <w:p w14:paraId="7954CDAA" w14:textId="2B1DBFD6" w:rsidR="00EF09FC" w:rsidRPr="00120E8E" w:rsidRDefault="007776E7" w:rsidP="009F437A">
      <w:pPr>
        <w:rPr>
          <w:u w:val="single"/>
        </w:rPr>
      </w:pPr>
      <w:r w:rsidRPr="00120E8E">
        <w:rPr>
          <w:b/>
          <w:bCs/>
          <w:szCs w:val="24"/>
          <w:u w:val="single"/>
        </w:rPr>
        <w:t xml:space="preserve">K bodu </w:t>
      </w:r>
      <w:r w:rsidR="007A7196">
        <w:rPr>
          <w:b/>
          <w:bCs/>
          <w:szCs w:val="24"/>
          <w:u w:val="single"/>
        </w:rPr>
        <w:t>7</w:t>
      </w:r>
      <w:r w:rsidR="00E6278F">
        <w:rPr>
          <w:b/>
          <w:bCs/>
          <w:szCs w:val="24"/>
          <w:u w:val="single"/>
        </w:rPr>
        <w:t>8</w:t>
      </w:r>
      <w:r w:rsidR="007A7196" w:rsidRPr="00120E8E">
        <w:rPr>
          <w:b/>
          <w:bCs/>
          <w:szCs w:val="24"/>
          <w:u w:val="single"/>
        </w:rPr>
        <w:t xml:space="preserve"> </w:t>
      </w:r>
      <w:r w:rsidR="00EF09FC" w:rsidRPr="00120E8E">
        <w:rPr>
          <w:b/>
          <w:bCs/>
          <w:szCs w:val="24"/>
          <w:u w:val="single"/>
        </w:rPr>
        <w:t>(k § 170)</w:t>
      </w:r>
    </w:p>
    <w:p w14:paraId="4562FB47" w14:textId="5D30C685" w:rsidR="00EF09FC" w:rsidRPr="00120E8E" w:rsidRDefault="009F437A" w:rsidP="00EF09FC">
      <w:r w:rsidRPr="00120E8E">
        <w:t>Jedná se o technicistní úpravy odkazů reagující na změnu § 87.</w:t>
      </w:r>
    </w:p>
    <w:p w14:paraId="717B531C" w14:textId="283E6423" w:rsidR="00E6278F" w:rsidRPr="00120E8E" w:rsidRDefault="00E6278F" w:rsidP="00E6278F">
      <w:pPr>
        <w:rPr>
          <w:u w:val="single"/>
        </w:rPr>
      </w:pPr>
      <w:r w:rsidRPr="00120E8E">
        <w:rPr>
          <w:b/>
          <w:bCs/>
          <w:szCs w:val="24"/>
          <w:u w:val="single"/>
        </w:rPr>
        <w:t xml:space="preserve">K bodu </w:t>
      </w:r>
      <w:r>
        <w:rPr>
          <w:b/>
          <w:bCs/>
          <w:szCs w:val="24"/>
          <w:u w:val="single"/>
        </w:rPr>
        <w:t>79</w:t>
      </w:r>
      <w:r w:rsidRPr="00120E8E">
        <w:rPr>
          <w:b/>
          <w:bCs/>
          <w:szCs w:val="24"/>
          <w:u w:val="single"/>
        </w:rPr>
        <w:t xml:space="preserve"> </w:t>
      </w:r>
      <w:r>
        <w:rPr>
          <w:b/>
          <w:bCs/>
          <w:szCs w:val="24"/>
          <w:u w:val="single"/>
        </w:rPr>
        <w:t>(k § 172</w:t>
      </w:r>
      <w:r w:rsidRPr="00120E8E">
        <w:rPr>
          <w:b/>
          <w:bCs/>
          <w:szCs w:val="24"/>
          <w:u w:val="single"/>
        </w:rPr>
        <w:t>)</w:t>
      </w:r>
    </w:p>
    <w:p w14:paraId="233045E5" w14:textId="2C19E74C" w:rsidR="00E6278F" w:rsidRPr="00120E8E" w:rsidRDefault="00E6278F" w:rsidP="00E6278F">
      <w:r>
        <w:lastRenderedPageBreak/>
        <w:t>Zavádí se skutková podstata na novou povinnost uveřejnění emisního dokumentu podle § 36a ZPKT, naplnění skutkové podstaty dojde i když emisní dokument nebude obsahovat údaje, které podle zákona obsahovat má a to podle čl.</w:t>
      </w:r>
      <w:r w:rsidRPr="00891660">
        <w:rPr>
          <w:bCs/>
          <w:u w:val="single"/>
        </w:rPr>
        <w:t xml:space="preserve"> </w:t>
      </w:r>
      <w:r w:rsidRPr="00B05592">
        <w:rPr>
          <w:bCs/>
        </w:rPr>
        <w:t>7 odst. 3 až 10 a 12 nařízení o prospektu</w:t>
      </w:r>
      <w:r w:rsidRPr="00120E8E">
        <w:t>.</w:t>
      </w:r>
    </w:p>
    <w:p w14:paraId="014EAAD6" w14:textId="194A92D4" w:rsidR="00EF09FC" w:rsidRPr="00120E8E" w:rsidRDefault="007776E7" w:rsidP="00EF09FC">
      <w:pPr>
        <w:rPr>
          <w:b/>
          <w:bCs/>
          <w:u w:val="single"/>
        </w:rPr>
      </w:pPr>
      <w:r w:rsidRPr="00120E8E">
        <w:rPr>
          <w:b/>
          <w:bCs/>
          <w:u w:val="single"/>
        </w:rPr>
        <w:t xml:space="preserve">K bodu </w:t>
      </w:r>
      <w:r w:rsidR="00B05592">
        <w:rPr>
          <w:b/>
          <w:bCs/>
          <w:u w:val="single"/>
        </w:rPr>
        <w:t>80</w:t>
      </w:r>
      <w:r w:rsidR="007A7196" w:rsidRPr="00120E8E">
        <w:rPr>
          <w:b/>
          <w:bCs/>
          <w:u w:val="single"/>
        </w:rPr>
        <w:t xml:space="preserve"> </w:t>
      </w:r>
      <w:r w:rsidR="006A5F2A" w:rsidRPr="00120E8E">
        <w:rPr>
          <w:b/>
          <w:bCs/>
          <w:u w:val="single"/>
        </w:rPr>
        <w:t xml:space="preserve">až </w:t>
      </w:r>
      <w:r w:rsidR="00B05592">
        <w:rPr>
          <w:b/>
          <w:bCs/>
          <w:u w:val="single"/>
        </w:rPr>
        <w:t>90</w:t>
      </w:r>
      <w:r w:rsidR="007A7196" w:rsidRPr="00120E8E">
        <w:rPr>
          <w:b/>
          <w:bCs/>
          <w:u w:val="single"/>
        </w:rPr>
        <w:t xml:space="preserve"> </w:t>
      </w:r>
      <w:r w:rsidR="00EF09FC" w:rsidRPr="00120E8E">
        <w:rPr>
          <w:b/>
          <w:bCs/>
          <w:u w:val="single"/>
        </w:rPr>
        <w:t>(k § 177</w:t>
      </w:r>
      <w:r w:rsidR="00465F78" w:rsidRPr="00120E8E">
        <w:rPr>
          <w:b/>
          <w:bCs/>
          <w:u w:val="single"/>
        </w:rPr>
        <w:t xml:space="preserve"> včetně pozn. pod čarou č. 11</w:t>
      </w:r>
      <w:r w:rsidR="006A5F2A" w:rsidRPr="00120E8E">
        <w:rPr>
          <w:b/>
          <w:bCs/>
          <w:u w:val="single"/>
        </w:rPr>
        <w:t>4</w:t>
      </w:r>
      <w:r w:rsidR="00EF09FC" w:rsidRPr="00120E8E">
        <w:rPr>
          <w:b/>
          <w:bCs/>
          <w:u w:val="single"/>
        </w:rPr>
        <w:t>)</w:t>
      </w:r>
    </w:p>
    <w:p w14:paraId="41FC97A1" w14:textId="017C28A1" w:rsidR="00EF09FC" w:rsidRPr="00120E8E" w:rsidRDefault="00EF09FC" w:rsidP="00EF09FC">
      <w:r w:rsidRPr="00120E8E">
        <w:t xml:space="preserve">Jedná se o úpravy reagující na změny v souvislosti s novou úpravou nařízení MAR, kdy dochází k úpravě sankcí, a to ve světle lepší proporcionality vůči </w:t>
      </w:r>
      <w:proofErr w:type="spellStart"/>
      <w:r w:rsidRPr="00120E8E">
        <w:t>SMEs</w:t>
      </w:r>
      <w:proofErr w:type="spellEnd"/>
      <w:r w:rsidRPr="00120E8E">
        <w:t xml:space="preserve">. Dále se </w:t>
      </w:r>
      <w:r w:rsidR="005E594A">
        <w:t>ve světle snah o</w:t>
      </w:r>
      <w:r w:rsidR="00A071E0">
        <w:t> </w:t>
      </w:r>
      <w:r w:rsidR="005E594A">
        <w:t xml:space="preserve">odstraňování </w:t>
      </w:r>
      <w:proofErr w:type="spellStart"/>
      <w:r w:rsidR="005E594A">
        <w:t>gold-platingu</w:t>
      </w:r>
      <w:proofErr w:type="spellEnd"/>
      <w:r w:rsidR="005E594A">
        <w:t xml:space="preserve"> </w:t>
      </w:r>
      <w:r w:rsidRPr="00120E8E">
        <w:t xml:space="preserve">upravují maximální možné výše pokut tak, aby jejich výše lépe odpovídaly koeficientu přepočtu CZK </w:t>
      </w:r>
      <w:proofErr w:type="spellStart"/>
      <w:r w:rsidRPr="00120E8E">
        <w:t>kEUR</w:t>
      </w:r>
      <w:proofErr w:type="spellEnd"/>
      <w:r w:rsidR="005E594A">
        <w:t xml:space="preserve"> k 2. červenci 2014</w:t>
      </w:r>
      <w:r w:rsidR="00B502FE">
        <w:t>.</w:t>
      </w:r>
      <w:r w:rsidR="005E594A">
        <w:t xml:space="preserve"> </w:t>
      </w:r>
      <w:r w:rsidR="00B502FE">
        <w:t>D</w:t>
      </w:r>
      <w:r w:rsidR="005E594A">
        <w:t>osavadní národní úprava byla ve vztahu k sankcím přísnější</w:t>
      </w:r>
      <w:r w:rsidRPr="00120E8E">
        <w:t>.</w:t>
      </w:r>
    </w:p>
    <w:p w14:paraId="1251C4B3" w14:textId="56B29807" w:rsidR="00EF09FC" w:rsidRPr="00120E8E" w:rsidRDefault="00EF09FC" w:rsidP="00EF09FC">
      <w:r w:rsidRPr="00120E8E">
        <w:t xml:space="preserve">V souvislosti s požadavkem </w:t>
      </w:r>
      <w:r w:rsidR="000F76CA">
        <w:t xml:space="preserve">nařízení </w:t>
      </w:r>
      <w:r w:rsidRPr="00120E8E">
        <w:t xml:space="preserve">MAR na sankce za opakované porušení čl. 14 nebo 15 může ČNB pozastavit výkonu funkce člena řídícího orgánu. </w:t>
      </w:r>
    </w:p>
    <w:p w14:paraId="38B57B3B" w14:textId="67FE66E5" w:rsidR="00B44012" w:rsidRPr="00120E8E" w:rsidRDefault="006A5F2A" w:rsidP="00EF09FC">
      <w:pPr>
        <w:rPr>
          <w:b/>
          <w:bCs/>
          <w:u w:val="single"/>
        </w:rPr>
      </w:pPr>
      <w:r w:rsidRPr="00120E8E">
        <w:rPr>
          <w:b/>
          <w:bCs/>
          <w:u w:val="single"/>
        </w:rPr>
        <w:t xml:space="preserve">K bodu </w:t>
      </w:r>
      <w:r w:rsidR="00B05592">
        <w:rPr>
          <w:b/>
          <w:bCs/>
          <w:u w:val="single"/>
        </w:rPr>
        <w:t>91</w:t>
      </w:r>
      <w:r w:rsidR="007A7196" w:rsidRPr="00120E8E">
        <w:rPr>
          <w:b/>
          <w:bCs/>
          <w:u w:val="single"/>
        </w:rPr>
        <w:t xml:space="preserve"> </w:t>
      </w:r>
      <w:r w:rsidR="00B44012" w:rsidRPr="00120E8E">
        <w:rPr>
          <w:b/>
          <w:bCs/>
          <w:u w:val="single"/>
        </w:rPr>
        <w:t>(k § 184)</w:t>
      </w:r>
    </w:p>
    <w:p w14:paraId="4AD14B3F" w14:textId="132F68DB" w:rsidR="00B44012" w:rsidRPr="00120E8E" w:rsidRDefault="006B437B" w:rsidP="00EF09FC">
      <w:r w:rsidRPr="00120E8E">
        <w:t xml:space="preserve">Jedná se o </w:t>
      </w:r>
      <w:r w:rsidR="00017FF1">
        <w:t>legislativně technickou</w:t>
      </w:r>
      <w:r w:rsidR="00017FF1" w:rsidRPr="00120E8E">
        <w:t xml:space="preserve"> </w:t>
      </w:r>
      <w:r w:rsidR="00124023" w:rsidRPr="00120E8E">
        <w:t xml:space="preserve">úpravu – </w:t>
      </w:r>
      <w:r w:rsidRPr="00120E8E">
        <w:t>doplnění chybějícího odkazu.</w:t>
      </w:r>
    </w:p>
    <w:p w14:paraId="126531CF" w14:textId="4BE0868B" w:rsidR="00017FF1" w:rsidRPr="00120E8E" w:rsidRDefault="00017FF1" w:rsidP="00017FF1">
      <w:pPr>
        <w:rPr>
          <w:b/>
          <w:bCs/>
          <w:u w:val="single"/>
        </w:rPr>
      </w:pPr>
      <w:r w:rsidRPr="00120E8E">
        <w:rPr>
          <w:b/>
          <w:bCs/>
          <w:u w:val="single"/>
        </w:rPr>
        <w:t xml:space="preserve">K bodu </w:t>
      </w:r>
      <w:r w:rsidR="00B05592">
        <w:rPr>
          <w:b/>
          <w:bCs/>
          <w:u w:val="single"/>
        </w:rPr>
        <w:t>92</w:t>
      </w:r>
      <w:r w:rsidR="007A7196" w:rsidRPr="00120E8E">
        <w:rPr>
          <w:b/>
          <w:bCs/>
          <w:u w:val="single"/>
        </w:rPr>
        <w:t xml:space="preserve"> </w:t>
      </w:r>
      <w:r w:rsidRPr="00120E8E">
        <w:rPr>
          <w:b/>
          <w:bCs/>
          <w:u w:val="single"/>
        </w:rPr>
        <w:t>(k § 19</w:t>
      </w:r>
      <w:r>
        <w:rPr>
          <w:b/>
          <w:bCs/>
          <w:u w:val="single"/>
        </w:rPr>
        <w:t>2</w:t>
      </w:r>
      <w:r w:rsidRPr="00120E8E">
        <w:rPr>
          <w:b/>
          <w:bCs/>
          <w:u w:val="single"/>
        </w:rPr>
        <w:t>a)</w:t>
      </w:r>
    </w:p>
    <w:p w14:paraId="4F348ED1" w14:textId="15BDBC22" w:rsidR="00017FF1" w:rsidRDefault="00017FF1" w:rsidP="00017FF1">
      <w:r w:rsidRPr="0067136C">
        <w:t xml:space="preserve">Navrhuje se, aby </w:t>
      </w:r>
      <w:r>
        <w:t>ČNB</w:t>
      </w:r>
      <w:r w:rsidRPr="0067136C">
        <w:t xml:space="preserve"> vykonávala působnost příslušného orgánu podle nařízení o ESG ratingu. </w:t>
      </w:r>
      <w:r w:rsidR="004B3660">
        <w:t>ČNB</w:t>
      </w:r>
      <w:r w:rsidRPr="0067136C">
        <w:t xml:space="preserve"> je v </w:t>
      </w:r>
      <w:r w:rsidR="00C42E08">
        <w:t>ČR</w:t>
      </w:r>
      <w:r w:rsidRPr="0067136C">
        <w:t xml:space="preserve"> orgánem vykonávajícím dohled nad finančním trhem. Roli příslušného orgánu má </w:t>
      </w:r>
      <w:r w:rsidR="004B3660">
        <w:t>ČNB</w:t>
      </w:r>
      <w:r w:rsidRPr="0067136C">
        <w:t xml:space="preserve"> i podle adaptace obdobného nařízení</w:t>
      </w:r>
      <w:r>
        <w:t xml:space="preserve"> </w:t>
      </w:r>
      <w:r w:rsidR="00C42E08">
        <w:t>CRA</w:t>
      </w:r>
      <w:r w:rsidRPr="0067136C">
        <w:t>.</w:t>
      </w:r>
    </w:p>
    <w:p w14:paraId="34B858F4" w14:textId="6D9531E2" w:rsidR="00202744" w:rsidRPr="0067136C" w:rsidRDefault="00202744" w:rsidP="00017FF1">
      <w:r w:rsidRPr="0077600C">
        <w:t>Primárním dohledovým orgánem stanovuje nařízení o ESG ratingu orgán ESMA. Role příslušného orgánu na národní úrovni je druhotná. ESMA může po konzultaci příslušný orgán pověřit výkonem konkrétních úkolů dohledu, jako</w:t>
      </w:r>
      <w:r>
        <w:t xml:space="preserve"> např.</w:t>
      </w:r>
      <w:r w:rsidRPr="0077600C">
        <w:t xml:space="preserve"> provést šetření a kontroly </w:t>
      </w:r>
      <w:r>
        <w:t>n</w:t>
      </w:r>
      <w:r w:rsidRPr="0077600C">
        <w:t>a místě</w:t>
      </w:r>
      <w:r>
        <w:t xml:space="preserve"> nebo</w:t>
      </w:r>
      <w:r w:rsidRPr="0077600C">
        <w:t xml:space="preserve"> žádat </w:t>
      </w:r>
      <w:r>
        <w:t xml:space="preserve">o </w:t>
      </w:r>
      <w:r w:rsidRPr="0077600C">
        <w:t xml:space="preserve">informace. Za </w:t>
      </w:r>
      <w:r>
        <w:t xml:space="preserve">výkon činností na základě </w:t>
      </w:r>
      <w:r w:rsidRPr="0077600C">
        <w:t>takové</w:t>
      </w:r>
      <w:r>
        <w:t>ho</w:t>
      </w:r>
      <w:r w:rsidRPr="0077600C">
        <w:t xml:space="preserve"> pověření </w:t>
      </w:r>
      <w:r>
        <w:t xml:space="preserve">by ČNB </w:t>
      </w:r>
      <w:r w:rsidRPr="0077600C">
        <w:t>nálež</w:t>
      </w:r>
      <w:r>
        <w:t>ela</w:t>
      </w:r>
      <w:r w:rsidRPr="0077600C">
        <w:t xml:space="preserve"> náhrada nákladů </w:t>
      </w:r>
      <w:r>
        <w:t>od</w:t>
      </w:r>
      <w:r w:rsidRPr="0077600C">
        <w:t xml:space="preserve"> ESMA.</w:t>
      </w:r>
    </w:p>
    <w:p w14:paraId="6C52D625" w14:textId="370D05D6" w:rsidR="00EF09FC" w:rsidRPr="00120E8E" w:rsidRDefault="006A5F2A" w:rsidP="00EF09FC">
      <w:pPr>
        <w:rPr>
          <w:b/>
          <w:bCs/>
          <w:u w:val="single"/>
        </w:rPr>
      </w:pPr>
      <w:r w:rsidRPr="00120E8E">
        <w:rPr>
          <w:b/>
          <w:bCs/>
          <w:u w:val="single"/>
        </w:rPr>
        <w:t xml:space="preserve">K bodu </w:t>
      </w:r>
      <w:r w:rsidR="00994E88">
        <w:rPr>
          <w:b/>
          <w:bCs/>
          <w:u w:val="single"/>
        </w:rPr>
        <w:t>9</w:t>
      </w:r>
      <w:r w:rsidR="00B05592">
        <w:rPr>
          <w:b/>
          <w:bCs/>
          <w:u w:val="single"/>
        </w:rPr>
        <w:t>3</w:t>
      </w:r>
      <w:r w:rsidR="00994E88" w:rsidRPr="00120E8E">
        <w:rPr>
          <w:b/>
          <w:bCs/>
          <w:u w:val="single"/>
        </w:rPr>
        <w:t xml:space="preserve"> </w:t>
      </w:r>
      <w:r w:rsidR="00EF09FC" w:rsidRPr="00120E8E">
        <w:rPr>
          <w:b/>
          <w:bCs/>
          <w:u w:val="single"/>
        </w:rPr>
        <w:t>(k § 198a)</w:t>
      </w:r>
    </w:p>
    <w:p w14:paraId="40EE37A9" w14:textId="77777777" w:rsidR="00EF09FC" w:rsidRPr="00120E8E" w:rsidRDefault="00EF09FC" w:rsidP="00EF09FC">
      <w:r w:rsidRPr="00120E8E">
        <w:t>Jedná se o opravu chybného odkazu.</w:t>
      </w:r>
    </w:p>
    <w:p w14:paraId="0DDA2FBB" w14:textId="14F94AFA" w:rsidR="00EF09FC" w:rsidRPr="00120E8E" w:rsidRDefault="006A5F2A" w:rsidP="00EF09FC">
      <w:pPr>
        <w:shd w:val="clear" w:color="auto" w:fill="FFFFFF"/>
        <w:spacing w:after="0" w:line="240" w:lineRule="auto"/>
        <w:jc w:val="left"/>
        <w:rPr>
          <w:b/>
          <w:bCs/>
          <w:szCs w:val="24"/>
          <w:u w:val="single"/>
        </w:rPr>
      </w:pPr>
      <w:r w:rsidRPr="00120E8E">
        <w:rPr>
          <w:b/>
          <w:bCs/>
          <w:szCs w:val="24"/>
          <w:u w:val="single"/>
        </w:rPr>
        <w:t xml:space="preserve">K bodu </w:t>
      </w:r>
      <w:r w:rsidR="00994E88">
        <w:rPr>
          <w:b/>
          <w:bCs/>
          <w:szCs w:val="24"/>
          <w:u w:val="single"/>
        </w:rPr>
        <w:t>9</w:t>
      </w:r>
      <w:r w:rsidR="00B05592">
        <w:rPr>
          <w:b/>
          <w:bCs/>
          <w:szCs w:val="24"/>
          <w:u w:val="single"/>
        </w:rPr>
        <w:t>4</w:t>
      </w:r>
      <w:r w:rsidR="00994E88" w:rsidRPr="00120E8E">
        <w:rPr>
          <w:b/>
          <w:bCs/>
          <w:szCs w:val="24"/>
          <w:u w:val="single"/>
        </w:rPr>
        <w:t xml:space="preserve"> </w:t>
      </w:r>
      <w:r w:rsidR="00EF09FC" w:rsidRPr="00120E8E">
        <w:rPr>
          <w:b/>
          <w:bCs/>
          <w:szCs w:val="24"/>
          <w:u w:val="single"/>
        </w:rPr>
        <w:t>(k § 198b)</w:t>
      </w:r>
    </w:p>
    <w:p w14:paraId="0665CA8A" w14:textId="561F288E" w:rsidR="00EF09FC" w:rsidRPr="00120E8E" w:rsidRDefault="00715D3D" w:rsidP="00EF09FC">
      <w:r w:rsidRPr="00120E8E">
        <w:t>Vzhledem k to</w:t>
      </w:r>
      <w:r w:rsidR="009D7358" w:rsidRPr="00120E8E">
        <w:t>m</w:t>
      </w:r>
      <w:r w:rsidRPr="00120E8E">
        <w:t>u, že dochází ke zrušení požadavku registrace další podnikatelské činnosti v případě organizátora regulovaného trhu, bylo přistoupeno ve stejném duchu i ke zrušení registrační povinnosti pro další podnikatelskou činnost komoditních burz a zrušení odkazu na</w:t>
      </w:r>
      <w:r w:rsidR="00A93A13" w:rsidRPr="00120E8E">
        <w:t> </w:t>
      </w:r>
      <w:r w:rsidRPr="00120E8E">
        <w:t>rušený § 39.</w:t>
      </w:r>
    </w:p>
    <w:p w14:paraId="0A17CD0E" w14:textId="5F93F49F" w:rsidR="00EF09FC" w:rsidRPr="00120E8E" w:rsidRDefault="006A5F2A" w:rsidP="00EF09FC">
      <w:pPr>
        <w:rPr>
          <w:b/>
          <w:bCs/>
          <w:u w:val="single"/>
        </w:rPr>
      </w:pPr>
      <w:r w:rsidRPr="00120E8E">
        <w:rPr>
          <w:b/>
          <w:bCs/>
          <w:u w:val="single"/>
        </w:rPr>
        <w:t xml:space="preserve">K bodům </w:t>
      </w:r>
      <w:r w:rsidR="00994E88">
        <w:rPr>
          <w:b/>
          <w:bCs/>
          <w:u w:val="single"/>
        </w:rPr>
        <w:t>9</w:t>
      </w:r>
      <w:r w:rsidR="00B05592">
        <w:rPr>
          <w:b/>
          <w:bCs/>
          <w:u w:val="single"/>
        </w:rPr>
        <w:t>5</w:t>
      </w:r>
      <w:r w:rsidR="00994E88" w:rsidRPr="00120E8E">
        <w:rPr>
          <w:b/>
          <w:bCs/>
          <w:u w:val="single"/>
        </w:rPr>
        <w:t xml:space="preserve"> </w:t>
      </w:r>
      <w:r w:rsidRPr="00120E8E">
        <w:rPr>
          <w:b/>
          <w:bCs/>
          <w:u w:val="single"/>
        </w:rPr>
        <w:t xml:space="preserve">a </w:t>
      </w:r>
      <w:r w:rsidR="00994E88">
        <w:rPr>
          <w:b/>
          <w:bCs/>
          <w:u w:val="single"/>
        </w:rPr>
        <w:t>9</w:t>
      </w:r>
      <w:r w:rsidR="00B05592">
        <w:rPr>
          <w:b/>
          <w:bCs/>
          <w:u w:val="single"/>
        </w:rPr>
        <w:t>6</w:t>
      </w:r>
      <w:r w:rsidR="00994E88" w:rsidRPr="00120E8E">
        <w:rPr>
          <w:b/>
          <w:bCs/>
          <w:u w:val="single"/>
        </w:rPr>
        <w:t xml:space="preserve"> </w:t>
      </w:r>
      <w:r w:rsidR="00EF09FC" w:rsidRPr="00120E8E">
        <w:rPr>
          <w:b/>
          <w:bCs/>
          <w:u w:val="single"/>
        </w:rPr>
        <w:t>(k § 199)</w:t>
      </w:r>
    </w:p>
    <w:p w14:paraId="4E22390C" w14:textId="205C6213" w:rsidR="00EF09FC" w:rsidRPr="00120E8E" w:rsidRDefault="00EF09FC" w:rsidP="00EF09FC">
      <w:r w:rsidRPr="00120E8E">
        <w:t xml:space="preserve">Úprava </w:t>
      </w:r>
      <w:r w:rsidR="000F76CA">
        <w:t xml:space="preserve">nařízení </w:t>
      </w:r>
      <w:r w:rsidRPr="00120E8E">
        <w:t xml:space="preserve">MAR navýšila prahovou hodnotu povolených manažerských obchodů z 5 000 </w:t>
      </w:r>
      <w:r w:rsidR="0079768C">
        <w:t> </w:t>
      </w:r>
      <w:r w:rsidRPr="00120E8E">
        <w:t>EUR na</w:t>
      </w:r>
      <w:r w:rsidR="00A93A13" w:rsidRPr="00120E8E">
        <w:t> </w:t>
      </w:r>
      <w:r w:rsidRPr="00120E8E">
        <w:t>20</w:t>
      </w:r>
      <w:r w:rsidR="00A93A13" w:rsidRPr="00120E8E">
        <w:t> </w:t>
      </w:r>
      <w:r w:rsidRPr="00120E8E">
        <w:t>000</w:t>
      </w:r>
      <w:r w:rsidR="00A93A13" w:rsidRPr="00120E8E">
        <w:t xml:space="preserve"> EUR</w:t>
      </w:r>
      <w:r w:rsidRPr="00120E8E">
        <w:t xml:space="preserve">, zároveň ovšem v čl. 19 odst. 9 </w:t>
      </w:r>
      <w:r w:rsidR="000F76CA">
        <w:t xml:space="preserve">nařízení </w:t>
      </w:r>
      <w:r w:rsidRPr="00120E8E">
        <w:t>MAR stanovila pravomoc národním orgánům tuto prahovou hodnotu snížit na 10 000 EUR, stejně tak jako zvýšit na</w:t>
      </w:r>
      <w:r w:rsidR="006C2EC2">
        <w:t> </w:t>
      </w:r>
      <w:r w:rsidRPr="00120E8E">
        <w:t xml:space="preserve">50 000 EUR. Ve světle nové úpravy bylo do § 199 odst. 9 ZPKT vloženo zmocnění pro ČNB opatřením obecné povahy zvýšit nebo snížit prahovou hodnotu manažerských obchodů. V případě vydání opatření obecné povahy podle § 199 odst. 9 musí být zachovány podmínky stanovené v čl. 19 odst. 9 </w:t>
      </w:r>
      <w:r w:rsidR="000F76CA">
        <w:t xml:space="preserve">nařízení </w:t>
      </w:r>
      <w:r w:rsidRPr="00120E8E">
        <w:t>MAR, tj.</w:t>
      </w:r>
      <w:r w:rsidR="00A93A13" w:rsidRPr="00120E8E">
        <w:t> </w:t>
      </w:r>
      <w:r w:rsidRPr="00120E8E">
        <w:t>informovat ESMA o rozhodnutí vydat opatření obecné povahy včetně důvodech, které k jeho přijetí vedly, spolu s konkrétním odkazem na</w:t>
      </w:r>
      <w:r w:rsidR="006C2EC2">
        <w:t> </w:t>
      </w:r>
      <w:r w:rsidRPr="00120E8E">
        <w:t>tržní podmínky.</w:t>
      </w:r>
    </w:p>
    <w:p w14:paraId="4AE1F818" w14:textId="74A98071" w:rsidR="006A5F2A" w:rsidRPr="00120E8E" w:rsidRDefault="006A5F2A" w:rsidP="00F35B15">
      <w:pPr>
        <w:pStyle w:val="Nadpis3"/>
        <w:rPr>
          <w:rFonts w:cs="Times New Roman"/>
        </w:rPr>
      </w:pPr>
      <w:r w:rsidRPr="00120E8E">
        <w:rPr>
          <w:rFonts w:cs="Times New Roman"/>
        </w:rPr>
        <w:lastRenderedPageBreak/>
        <w:t>K článku II (přechodn</w:t>
      </w:r>
      <w:r w:rsidR="0015675A" w:rsidRPr="00120E8E">
        <w:rPr>
          <w:rFonts w:cs="Times New Roman"/>
        </w:rPr>
        <w:t>é</w:t>
      </w:r>
      <w:r w:rsidRPr="00120E8E">
        <w:rPr>
          <w:rFonts w:cs="Times New Roman"/>
        </w:rPr>
        <w:t xml:space="preserve"> ustanovení)</w:t>
      </w:r>
    </w:p>
    <w:p w14:paraId="72147D6A" w14:textId="2B2EFF25" w:rsidR="00FD284F" w:rsidRDefault="00C22C61" w:rsidP="00FD284F">
      <w:r w:rsidRPr="00120E8E">
        <w:t>Zavádí se přechodné ustanovení k § 73aa</w:t>
      </w:r>
      <w:r w:rsidR="0015675A" w:rsidRPr="00120E8E">
        <w:t xml:space="preserve"> ZPKT</w:t>
      </w:r>
      <w:r w:rsidRPr="00120E8E">
        <w:t>.</w:t>
      </w:r>
    </w:p>
    <w:p w14:paraId="1B5A4CC7" w14:textId="77777777" w:rsidR="00403CDA" w:rsidRDefault="00403CDA" w:rsidP="00403CDA">
      <w:r>
        <w:t>V souladu s čl. 1 odst. 2 směrnice MVSD se povinné označení akcií společností (emitentů), které vydaly akcie s rozdílnou vahou hlasů, uplatní i na společnosti (emitenty), jejichž akcie byly přijaty k obchodování v mnohostranném obchodním systému před nabytím účinnosti zákona, kterým se provádí směrnice MVSD. Z toho důvodu je nezbytné stanovit přechodným ustanovením oznamovací povinnost emitenta a odpovídající povinnost provozovatele mnohostranného obchodního systému i ve vztahu k těmto emitentům. Rozhodným okamžikem v tomto případě nebude okamžik vydání akcií s rozdílnou vahou hlasů, nýbrž okamžik nabytí účinnosti zákona, kterým se provádí směrnice MVSD.</w:t>
      </w:r>
    </w:p>
    <w:p w14:paraId="44FF032F" w14:textId="14C8FEA1" w:rsidR="00403CDA" w:rsidRPr="00120E8E" w:rsidRDefault="00403CDA" w:rsidP="00FD284F">
      <w:r>
        <w:t>Směrnice MVSD nepožaduje, aby informace podle § 73aa odst. 3 uveřejňovali i emitenti, kteří vydali akcie s rozdílnou vahou hlasů a jejichž akcie byly přijaty k obchodování v mnohostranném obchodním systému již před nabytím účinnosti zákona, kterým se provádí směrnice MVSD. Pro vyloučení pochybností je vhodné výslovně stanovit, že se na tyto emitenty § 73aa odst. 3 neuplatní.</w:t>
      </w:r>
    </w:p>
    <w:p w14:paraId="258ADA28" w14:textId="0A5950A3" w:rsidR="00F35B15" w:rsidRPr="00120E8E" w:rsidRDefault="00F35B15" w:rsidP="00F35B15">
      <w:pPr>
        <w:pStyle w:val="Nadpis3"/>
        <w:rPr>
          <w:rFonts w:cs="Times New Roman"/>
        </w:rPr>
      </w:pPr>
      <w:r w:rsidRPr="00120E8E">
        <w:rPr>
          <w:rFonts w:cs="Times New Roman"/>
        </w:rPr>
        <w:t xml:space="preserve">K článku </w:t>
      </w:r>
      <w:r w:rsidR="00C22C61" w:rsidRPr="00120E8E">
        <w:rPr>
          <w:rFonts w:cs="Times New Roman"/>
        </w:rPr>
        <w:t>III</w:t>
      </w:r>
      <w:r w:rsidRPr="00120E8E">
        <w:rPr>
          <w:rFonts w:cs="Times New Roman"/>
        </w:rPr>
        <w:t xml:space="preserve"> (změna zákona o bankách)</w:t>
      </w:r>
    </w:p>
    <w:p w14:paraId="2FDACE86" w14:textId="77777777" w:rsidR="007923FF" w:rsidRPr="00120E8E" w:rsidRDefault="007923FF" w:rsidP="007923FF">
      <w:pPr>
        <w:rPr>
          <w:b/>
          <w:bCs/>
          <w:u w:val="single"/>
        </w:rPr>
      </w:pPr>
      <w:r w:rsidRPr="00120E8E">
        <w:rPr>
          <w:b/>
          <w:bCs/>
          <w:u w:val="single"/>
        </w:rPr>
        <w:t>K bodu 1 (k poznámce pod čarou č. 1)</w:t>
      </w:r>
    </w:p>
    <w:p w14:paraId="60177634" w14:textId="77777777" w:rsidR="008F1C42" w:rsidRPr="00120E8E" w:rsidRDefault="00C22C61" w:rsidP="00C46D9A">
      <w:r w:rsidRPr="00120E8E">
        <w:t>Aktualizuje se odkaz v důsledku transpozice změnové směrnice EMIR 3.</w:t>
      </w:r>
    </w:p>
    <w:p w14:paraId="6C677FB3" w14:textId="7C5B92B0" w:rsidR="00C46D9A" w:rsidRPr="00120E8E" w:rsidRDefault="007923FF" w:rsidP="00C46D9A">
      <w:pPr>
        <w:rPr>
          <w:b/>
          <w:bCs/>
          <w:u w:val="single"/>
        </w:rPr>
      </w:pPr>
      <w:r w:rsidRPr="00120E8E">
        <w:rPr>
          <w:b/>
          <w:bCs/>
          <w:u w:val="single"/>
        </w:rPr>
        <w:t xml:space="preserve">K bodu 2 </w:t>
      </w:r>
      <w:r w:rsidR="00C46D9A" w:rsidRPr="00120E8E">
        <w:rPr>
          <w:b/>
          <w:bCs/>
          <w:u w:val="single"/>
        </w:rPr>
        <w:t>(k § 3b)</w:t>
      </w:r>
    </w:p>
    <w:p w14:paraId="515798CF" w14:textId="5887D153" w:rsidR="00C46D9A" w:rsidRPr="00120E8E" w:rsidRDefault="00C46D9A" w:rsidP="00C46D9A">
      <w:pPr>
        <w:spacing w:before="120"/>
      </w:pPr>
      <w:r w:rsidRPr="00120E8E">
        <w:t xml:space="preserve">Navrhuje se doplnit definici ústřední protistrany odkazem na nařízení </w:t>
      </w:r>
      <w:r w:rsidR="00CA2FED" w:rsidRPr="00120E8E">
        <w:t>EMIR</w:t>
      </w:r>
      <w:r w:rsidR="00BB30D1" w:rsidRPr="00120E8E">
        <w:t>, aby bylo nade</w:t>
      </w:r>
      <w:r w:rsidR="0079768C">
        <w:t xml:space="preserve"> </w:t>
      </w:r>
      <w:proofErr w:type="gramStart"/>
      <w:r w:rsidR="0079768C">
        <w:t>v</w:t>
      </w:r>
      <w:r w:rsidRPr="00120E8E">
        <w:t>š</w:t>
      </w:r>
      <w:r w:rsidR="0079768C">
        <w:t>í</w:t>
      </w:r>
      <w:proofErr w:type="gramEnd"/>
      <w:r w:rsidRPr="00120E8E">
        <w:t xml:space="preserve"> pochybnost</w:t>
      </w:r>
      <w:r w:rsidR="00CA2FED" w:rsidRPr="00120E8E">
        <w:t xml:space="preserve"> jasné</w:t>
      </w:r>
      <w:r w:rsidRPr="00120E8E">
        <w:t>, kdo spadá pod pojem ústřední protistrana.</w:t>
      </w:r>
    </w:p>
    <w:p w14:paraId="7EFDF861" w14:textId="5C43D5D0" w:rsidR="00C46D9A" w:rsidRPr="00120E8E" w:rsidRDefault="007923FF" w:rsidP="00C46D9A">
      <w:pPr>
        <w:rPr>
          <w:b/>
          <w:bCs/>
          <w:u w:val="single"/>
        </w:rPr>
      </w:pPr>
      <w:r w:rsidRPr="00120E8E">
        <w:rPr>
          <w:b/>
          <w:bCs/>
          <w:u w:val="single"/>
        </w:rPr>
        <w:t xml:space="preserve">K bodům 3 a 4 </w:t>
      </w:r>
      <w:r w:rsidR="00C46D9A" w:rsidRPr="00120E8E">
        <w:rPr>
          <w:b/>
          <w:bCs/>
          <w:u w:val="single"/>
        </w:rPr>
        <w:t>(k § 8b)</w:t>
      </w:r>
    </w:p>
    <w:p w14:paraId="0B146E44" w14:textId="60167D77" w:rsidR="00C46D9A" w:rsidRPr="00120E8E" w:rsidRDefault="00C46D9A" w:rsidP="00C46D9A">
      <w:pPr>
        <w:spacing w:before="120"/>
      </w:pPr>
      <w:r w:rsidRPr="00120E8E">
        <w:t xml:space="preserve">S přijetím revize nařízení EMIR nařízením EMIR 3 se zvyšují požadavky na řízení rizika koncentrace ve vztahu k ústředním protistranám. Zvláště pak se zavádí požadavek na aktivní účet u ústředních protistran, které mají povolení v EU, což je dále reflektováno ve směrnici </w:t>
      </w:r>
      <w:r w:rsidR="00107729" w:rsidRPr="00120E8E">
        <w:rPr>
          <w:bCs/>
        </w:rPr>
        <w:t>EMIR 3</w:t>
      </w:r>
      <w:r w:rsidRPr="00120E8E">
        <w:rPr>
          <w:bCs/>
        </w:rPr>
        <w:t>. Těmto změnám</w:t>
      </w:r>
      <w:r w:rsidRPr="00120E8E">
        <w:t xml:space="preserve"> by měl odpovídat i </w:t>
      </w:r>
      <w:proofErr w:type="spellStart"/>
      <w:r w:rsidR="006B4C06" w:rsidRPr="00120E8E">
        <w:t>ZoB</w:t>
      </w:r>
      <w:proofErr w:type="spellEnd"/>
      <w:r w:rsidR="006B4C06" w:rsidRPr="00120E8E">
        <w:t xml:space="preserve"> </w:t>
      </w:r>
      <w:r w:rsidRPr="00120E8E">
        <w:t>v řídícím a kontrolním systému banky, kde</w:t>
      </w:r>
      <w:r w:rsidR="0003312B" w:rsidRPr="00120E8E">
        <w:t> </w:t>
      </w:r>
      <w:r w:rsidRPr="00120E8E">
        <w:t>by</w:t>
      </w:r>
      <w:r w:rsidR="0003312B" w:rsidRPr="00120E8E">
        <w:t> </w:t>
      </w:r>
      <w:r w:rsidRPr="00120E8E">
        <w:t>mělo být zakotveno řízení rizika koncentrace.</w:t>
      </w:r>
    </w:p>
    <w:p w14:paraId="29D6EE56" w14:textId="77777777" w:rsidR="00C46D9A" w:rsidRPr="00120E8E" w:rsidRDefault="00C46D9A" w:rsidP="00C46D9A">
      <w:pPr>
        <w:spacing w:before="120"/>
      </w:pPr>
      <w:r w:rsidRPr="00120E8E">
        <w:t xml:space="preserve">Pro tyto účely si má banka i stanovit postupy a cíle, jak bude plnit požadavky na aktivní účet, pokud se na ni tento požadavek vztahuje podle podmínek stanovených nařízením EMIR, respektive nařízením EMIR 3. Spojení „podstatného významu“ je potřeba vykládat i v souladu s čl. 25 nařízení EMIR, tedy vztahuje se to zvláště na ústřední protistrany ze třetích zemí, které jsou kvalifikovány jako tzv. </w:t>
      </w:r>
      <w:proofErr w:type="spellStart"/>
      <w:r w:rsidRPr="00120E8E">
        <w:t>tier</w:t>
      </w:r>
      <w:proofErr w:type="spellEnd"/>
      <w:r w:rsidRPr="00120E8E">
        <w:t xml:space="preserve"> 2 resp. </w:t>
      </w:r>
      <w:proofErr w:type="spellStart"/>
      <w:r w:rsidRPr="00120E8E">
        <w:t>tier</w:t>
      </w:r>
      <w:proofErr w:type="spellEnd"/>
      <w:r w:rsidRPr="00120E8E">
        <w:t xml:space="preserve"> 2+.</w:t>
      </w:r>
    </w:p>
    <w:p w14:paraId="0A973F8F" w14:textId="62E87644" w:rsidR="00E97B51" w:rsidRPr="008F39E9" w:rsidRDefault="00E97B51" w:rsidP="00E97B51">
      <w:pPr>
        <w:spacing w:before="120"/>
        <w:rPr>
          <w:b/>
          <w:bCs/>
          <w:u w:val="single"/>
        </w:rPr>
      </w:pPr>
      <w:r>
        <w:rPr>
          <w:b/>
          <w:bCs/>
          <w:u w:val="single"/>
        </w:rPr>
        <w:t>K bodu 5 (§ 12ah odst. 2 a § 36h odst. 4 písm. i))</w:t>
      </w:r>
    </w:p>
    <w:p w14:paraId="676E1894" w14:textId="0B0DF0CA" w:rsidR="00E97B51" w:rsidRPr="00E20D49" w:rsidRDefault="00E97B51" w:rsidP="00E97B51">
      <w:pPr>
        <w:pStyle w:val="Dvodovzprva"/>
        <w:rPr>
          <w:rFonts w:ascii="Times New Roman" w:hAnsi="Times New Roman"/>
          <w:color w:val="auto"/>
          <w:sz w:val="24"/>
        </w:rPr>
      </w:pPr>
      <w:r>
        <w:rPr>
          <w:rFonts w:ascii="Times New Roman" w:hAnsi="Times New Roman"/>
          <w:color w:val="auto"/>
          <w:sz w:val="24"/>
        </w:rPr>
        <w:t xml:space="preserve">Navrhují se legislativně-technické změny související s přečíslováním odstavců v § 26 v návaznosti na vložení nového odstavce 6 (opatření k nápravě </w:t>
      </w:r>
      <w:r w:rsidRPr="00E20D49">
        <w:rPr>
          <w:rFonts w:ascii="Times New Roman" w:hAnsi="Times New Roman"/>
          <w:color w:val="auto"/>
          <w:sz w:val="24"/>
        </w:rPr>
        <w:t xml:space="preserve">udělující pravomoc </w:t>
      </w:r>
      <w:r w:rsidR="004B3660">
        <w:rPr>
          <w:rFonts w:ascii="Times New Roman" w:hAnsi="Times New Roman"/>
          <w:color w:val="auto"/>
          <w:sz w:val="24"/>
        </w:rPr>
        <w:t>ČNB</w:t>
      </w:r>
      <w:r w:rsidRPr="00E20D49">
        <w:rPr>
          <w:rFonts w:ascii="Times New Roman" w:hAnsi="Times New Roman"/>
          <w:color w:val="auto"/>
          <w:sz w:val="24"/>
        </w:rPr>
        <w:t xml:space="preserve"> nařídit bance změnu auditora</w:t>
      </w:r>
      <w:r>
        <w:rPr>
          <w:rFonts w:ascii="Times New Roman" w:hAnsi="Times New Roman"/>
          <w:color w:val="auto"/>
          <w:sz w:val="24"/>
        </w:rPr>
        <w:t>).</w:t>
      </w:r>
    </w:p>
    <w:p w14:paraId="35C70601" w14:textId="251B4B37" w:rsidR="00C46D9A" w:rsidRPr="00120E8E" w:rsidRDefault="007923FF" w:rsidP="00FF5EF3">
      <w:pPr>
        <w:keepNext/>
        <w:spacing w:before="120"/>
        <w:rPr>
          <w:b/>
          <w:bCs/>
          <w:u w:val="single"/>
        </w:rPr>
      </w:pPr>
      <w:r w:rsidRPr="00120E8E">
        <w:rPr>
          <w:b/>
          <w:bCs/>
          <w:u w:val="single"/>
        </w:rPr>
        <w:lastRenderedPageBreak/>
        <w:t xml:space="preserve">K bodu </w:t>
      </w:r>
      <w:r w:rsidR="002F6633">
        <w:rPr>
          <w:b/>
          <w:bCs/>
          <w:u w:val="single"/>
        </w:rPr>
        <w:t>6</w:t>
      </w:r>
      <w:r w:rsidR="002F6633" w:rsidRPr="00120E8E">
        <w:rPr>
          <w:b/>
          <w:bCs/>
          <w:u w:val="single"/>
        </w:rPr>
        <w:t xml:space="preserve"> </w:t>
      </w:r>
      <w:r w:rsidR="00F53843" w:rsidRPr="00120E8E">
        <w:rPr>
          <w:b/>
          <w:bCs/>
          <w:u w:val="single"/>
        </w:rPr>
        <w:t>(k § 25c)</w:t>
      </w:r>
    </w:p>
    <w:p w14:paraId="5063708C" w14:textId="33BFD69A" w:rsidR="00F53843" w:rsidRPr="00120E8E" w:rsidRDefault="00446CBA" w:rsidP="00FF5EF3">
      <w:pPr>
        <w:keepNext/>
        <w:spacing w:before="120"/>
      </w:pPr>
      <w:r w:rsidRPr="00120E8E">
        <w:t xml:space="preserve">Změnová směrnice EMIR 3 </w:t>
      </w:r>
      <w:r w:rsidR="00F53843" w:rsidRPr="00120E8E">
        <w:t xml:space="preserve">v čl. 2 odst. 3 předpokládá pravomoci dohledu kontrolovat postup banky ve vztahu k řízení rizika koncentrace vůči ústředním </w:t>
      </w:r>
      <w:r w:rsidR="0003312B" w:rsidRPr="00120E8E">
        <w:t>protistranám,</w:t>
      </w:r>
      <w:r w:rsidR="00F53843" w:rsidRPr="00120E8E">
        <w:t xml:space="preserve"> a i dalších povinností, zvláště plnění cílů aktivních účtů, pokud se povinnost aktivního účtu na banku vztahuje podle čl. 7a nařízení EMIR.</w:t>
      </w:r>
    </w:p>
    <w:p w14:paraId="4968BF92" w14:textId="77777777" w:rsidR="00F03391" w:rsidRDefault="00F03391" w:rsidP="00F03391">
      <w:pPr>
        <w:spacing w:before="120"/>
        <w:rPr>
          <w:b/>
          <w:bCs/>
          <w:u w:val="single"/>
        </w:rPr>
      </w:pPr>
      <w:r>
        <w:rPr>
          <w:b/>
          <w:bCs/>
          <w:u w:val="single"/>
        </w:rPr>
        <w:t>K bodu 7 (§ 25d odst. 1)</w:t>
      </w:r>
    </w:p>
    <w:p w14:paraId="528A30E9" w14:textId="09AA1FF6" w:rsidR="00F03391" w:rsidRPr="00AC6673" w:rsidRDefault="00F03391" w:rsidP="00F03391">
      <w:pPr>
        <w:spacing w:before="120"/>
      </w:pPr>
      <w:r>
        <w:t>V souvislosti s přezkumem transpozice CRD</w:t>
      </w:r>
      <w:r w:rsidR="001E3FD8">
        <w:t xml:space="preserve"> </w:t>
      </w:r>
      <w:r>
        <w:t xml:space="preserve">V </w:t>
      </w:r>
      <w:proofErr w:type="spellStart"/>
      <w:r>
        <w:t>v</w:t>
      </w:r>
      <w:proofErr w:type="spellEnd"/>
      <w:r>
        <w:t xml:space="preserve"> rámci pilotního řízení </w:t>
      </w:r>
      <w:r w:rsidR="00503C81">
        <w:t>EK</w:t>
      </w:r>
      <w:r>
        <w:t xml:space="preserve"> dochází k doplnění transpozice článku 1 odst. 28 písm. c) směrnice CRD</w:t>
      </w:r>
      <w:r w:rsidR="001E3FD8">
        <w:t xml:space="preserve"> </w:t>
      </w:r>
      <w:r>
        <w:t>V (článku 97 odst. 4a prvního pododstavce věty druhé</w:t>
      </w:r>
      <w:r w:rsidR="00F23813">
        <w:t>)</w:t>
      </w:r>
      <w:r>
        <w:t>.</w:t>
      </w:r>
    </w:p>
    <w:p w14:paraId="1A833190" w14:textId="56137359" w:rsidR="00F03391" w:rsidRPr="00697E9D" w:rsidRDefault="00F03391" w:rsidP="00F03391">
      <w:pPr>
        <w:spacing w:before="120"/>
      </w:pPr>
      <w:r w:rsidRPr="00697E9D">
        <w:t xml:space="preserve">Podle závěrů </w:t>
      </w:r>
      <w:r w:rsidR="00503C81">
        <w:t>EK</w:t>
      </w:r>
      <w:r w:rsidRPr="00697E9D">
        <w:t xml:space="preserve"> neodkazují vnitrostátní prováděcí opatření na konkrétní rizika, kterým může být každá instituce vystavena a dále neodkazují ani na specifický charakter opatření uložených v souladu s článkem 104 CRD. </w:t>
      </w:r>
      <w:r w:rsidR="004B3660">
        <w:t>ČNB</w:t>
      </w:r>
      <w:r w:rsidRPr="00AC6673">
        <w:t xml:space="preserve"> může u bank s</w:t>
      </w:r>
      <w:r>
        <w:t> </w:t>
      </w:r>
      <w:r w:rsidRPr="00AC6673">
        <w:t>podobným rizikovým profilem přizpůsobit metodiku provádění procesu přezkumu a</w:t>
      </w:r>
      <w:r>
        <w:rPr>
          <w:szCs w:val="24"/>
        </w:rPr>
        <w:t> </w:t>
      </w:r>
      <w:r w:rsidRPr="00AC6673">
        <w:t>vyhodnocování s ohledem na rizikově orientovaná kritéria a kvantitativní ukazatele</w:t>
      </w:r>
      <w:r w:rsidRPr="00697E9D">
        <w:t>. K zajištění souladu se CRD</w:t>
      </w:r>
      <w:r w:rsidR="001E3FD8">
        <w:t xml:space="preserve"> </w:t>
      </w:r>
      <w:r w:rsidRPr="00697E9D">
        <w:t xml:space="preserve">V se navrhuje upřesnit v § 25d odst. 1 větě druhé </w:t>
      </w:r>
      <w:proofErr w:type="spellStart"/>
      <w:r w:rsidRPr="00697E9D">
        <w:t>ZoB</w:t>
      </w:r>
      <w:proofErr w:type="spellEnd"/>
      <w:r w:rsidRPr="00697E9D">
        <w:t xml:space="preserve">, že metodika provádění přezkumu a vyhodnocování umožní zohlednit právě tato specifická rizika, aniž by tím byla dotčena pravomoc </w:t>
      </w:r>
      <w:r w:rsidR="004B3660">
        <w:t>ČNB</w:t>
      </w:r>
      <w:r w:rsidRPr="00697E9D">
        <w:t xml:space="preserve"> uložit konkrétní opatření v návaznosti na </w:t>
      </w:r>
      <w:r w:rsidRPr="00AC6673">
        <w:t>provádění procesu přezkumu a</w:t>
      </w:r>
      <w:r>
        <w:rPr>
          <w:szCs w:val="24"/>
        </w:rPr>
        <w:t> </w:t>
      </w:r>
      <w:r w:rsidRPr="00AC6673">
        <w:t>vyhodnocování</w:t>
      </w:r>
      <w:r w:rsidRPr="00697E9D">
        <w:t xml:space="preserve"> a opatření k nápravě podle </w:t>
      </w:r>
      <w:proofErr w:type="spellStart"/>
      <w:r w:rsidRPr="00697E9D">
        <w:t>ZoB</w:t>
      </w:r>
      <w:proofErr w:type="spellEnd"/>
      <w:r w:rsidRPr="00697E9D">
        <w:t xml:space="preserve"> a ZSÚD, která jsou transpozičními k čl. 104 CRD. Neodkazuje se na § 26 odst. 2 písm. f) a g) </w:t>
      </w:r>
      <w:proofErr w:type="spellStart"/>
      <w:r w:rsidRPr="00697E9D">
        <w:t>Z</w:t>
      </w:r>
      <w:r w:rsidR="001511FA">
        <w:t>o</w:t>
      </w:r>
      <w:r w:rsidRPr="00697E9D">
        <w:t>B</w:t>
      </w:r>
      <w:proofErr w:type="spellEnd"/>
      <w:r w:rsidRPr="00697E9D">
        <w:t xml:space="preserve">, neboť se jedná o opatření vztahovaná ke kmenovému kapitálu </w:t>
      </w:r>
      <w:proofErr w:type="spellStart"/>
      <w:r w:rsidRPr="00697E9D">
        <w:t>Tier</w:t>
      </w:r>
      <w:proofErr w:type="spellEnd"/>
      <w:r w:rsidRPr="00697E9D">
        <w:t xml:space="preserve"> 1, která nejsou upravena v čl. 104 CRD.</w:t>
      </w:r>
    </w:p>
    <w:p w14:paraId="2C29886C" w14:textId="557476D5" w:rsidR="00F53843" w:rsidRPr="00120E8E" w:rsidRDefault="007923FF" w:rsidP="00C46D9A">
      <w:pPr>
        <w:spacing w:before="120"/>
        <w:rPr>
          <w:b/>
          <w:bCs/>
          <w:u w:val="single"/>
        </w:rPr>
      </w:pPr>
      <w:r w:rsidRPr="00120E8E">
        <w:rPr>
          <w:b/>
          <w:bCs/>
          <w:u w:val="single"/>
        </w:rPr>
        <w:t xml:space="preserve">K bodu </w:t>
      </w:r>
      <w:r w:rsidR="00847785">
        <w:rPr>
          <w:b/>
          <w:bCs/>
          <w:u w:val="single"/>
        </w:rPr>
        <w:t>8</w:t>
      </w:r>
      <w:r w:rsidR="00F23813">
        <w:rPr>
          <w:b/>
          <w:bCs/>
          <w:u w:val="single"/>
        </w:rPr>
        <w:t xml:space="preserve"> </w:t>
      </w:r>
      <w:r w:rsidR="00F53843" w:rsidRPr="00120E8E">
        <w:rPr>
          <w:b/>
          <w:bCs/>
          <w:u w:val="single"/>
        </w:rPr>
        <w:t>(k § 26</w:t>
      </w:r>
      <w:r w:rsidR="00C274B3" w:rsidRPr="00120E8E">
        <w:rPr>
          <w:b/>
          <w:bCs/>
          <w:u w:val="single"/>
        </w:rPr>
        <w:t>)</w:t>
      </w:r>
    </w:p>
    <w:p w14:paraId="5FA29074" w14:textId="44DE99F3" w:rsidR="00107729" w:rsidRDefault="00107729" w:rsidP="00C46D9A">
      <w:pPr>
        <w:spacing w:before="120"/>
      </w:pPr>
      <w:r w:rsidRPr="00120E8E">
        <w:t>Přidává se opatření k nápravě navazující na povinnosti, které plynou z transpozice směrnice</w:t>
      </w:r>
      <w:r w:rsidR="00446CBA" w:rsidRPr="00120E8E">
        <w:t xml:space="preserve"> EMIR 3</w:t>
      </w:r>
      <w:r w:rsidRPr="00120E8E">
        <w:t>.</w:t>
      </w:r>
    </w:p>
    <w:p w14:paraId="5F006C17" w14:textId="77777777" w:rsidR="004841C9" w:rsidRDefault="004841C9" w:rsidP="004841C9">
      <w:pPr>
        <w:spacing w:before="120"/>
        <w:rPr>
          <w:b/>
          <w:bCs/>
          <w:u w:val="single"/>
        </w:rPr>
      </w:pPr>
      <w:r>
        <w:rPr>
          <w:b/>
          <w:bCs/>
          <w:u w:val="single"/>
        </w:rPr>
        <w:t>K bodu 9 (§ 26 odst. 6)</w:t>
      </w:r>
    </w:p>
    <w:p w14:paraId="2E3FA7E4" w14:textId="3B06A7D2" w:rsidR="004841C9" w:rsidRDefault="004841C9" w:rsidP="004841C9">
      <w:pPr>
        <w:spacing w:before="120"/>
      </w:pPr>
      <w:r w:rsidRPr="00961FFB">
        <w:t>Doplňuje se opatření k nápravě</w:t>
      </w:r>
      <w:r>
        <w:t xml:space="preserve"> </w:t>
      </w:r>
      <w:r w:rsidRPr="00E20D49">
        <w:t xml:space="preserve">udělující pravomoc </w:t>
      </w:r>
      <w:r w:rsidR="004B3660">
        <w:t>ČNB</w:t>
      </w:r>
      <w:r w:rsidRPr="00E20D49">
        <w:t xml:space="preserve"> nařídit bance změnu auditora, pokud nesplní povinnost informovat </w:t>
      </w:r>
      <w:r w:rsidR="004B3660">
        <w:t>ČNB</w:t>
      </w:r>
      <w:r w:rsidRPr="00E20D49">
        <w:t xml:space="preserve"> o skutečnostech zjištěných podle § 21 odst. 3 nebo 4 zákona o auditorech.</w:t>
      </w:r>
      <w:r>
        <w:t xml:space="preserve"> Shodné opatření k nápravě je upraveno v § 22 odst. 8 </w:t>
      </w:r>
      <w:proofErr w:type="spellStart"/>
      <w:r w:rsidR="00AA606A">
        <w:t>ZoB</w:t>
      </w:r>
      <w:proofErr w:type="spellEnd"/>
      <w:r>
        <w:t>, nicméně bude s účinností k 11. lednu 2026 zrušeno zákonem č. 280/2025 Sb. S ohledem na to, že se jedná o</w:t>
      </w:r>
      <w:r w:rsidR="00F23813">
        <w:t> </w:t>
      </w:r>
      <w:r>
        <w:t>transpoziční ustanovení k čl. 1 bodu 15 (čl. 63 odst. 1) směrnice CRD</w:t>
      </w:r>
      <w:r w:rsidR="001E3FD8">
        <w:t xml:space="preserve"> </w:t>
      </w:r>
      <w:r>
        <w:t xml:space="preserve">V, je nutné zajistit plnou transpozici tohoto ustanovení doplněním tohoto opatření k nápravě do </w:t>
      </w:r>
      <w:proofErr w:type="spellStart"/>
      <w:r w:rsidR="00E15F6F">
        <w:t>ZoB</w:t>
      </w:r>
      <w:proofErr w:type="spellEnd"/>
      <w:r>
        <w:t>.</w:t>
      </w:r>
    </w:p>
    <w:p w14:paraId="1DBAB83C" w14:textId="1B2440F0" w:rsidR="00864516" w:rsidRDefault="00864516" w:rsidP="004841C9">
      <w:pPr>
        <w:spacing w:before="120"/>
        <w:rPr>
          <w:b/>
          <w:bCs/>
        </w:rPr>
      </w:pPr>
      <w:r>
        <w:rPr>
          <w:b/>
          <w:bCs/>
          <w:u w:val="single"/>
        </w:rPr>
        <w:t xml:space="preserve">K bodu 10 (§ 26 odst. 10, § 36a odst. 1 písm. f), § 36c odst. 1 písm. g)), </w:t>
      </w:r>
    </w:p>
    <w:p w14:paraId="21694DD1" w14:textId="3C118157" w:rsidR="00864516" w:rsidRPr="00E20D49" w:rsidRDefault="00864516" w:rsidP="00864516">
      <w:pPr>
        <w:pStyle w:val="Dvodovzprva"/>
        <w:rPr>
          <w:rFonts w:ascii="Times New Roman" w:hAnsi="Times New Roman"/>
          <w:color w:val="auto"/>
          <w:sz w:val="24"/>
        </w:rPr>
      </w:pPr>
      <w:r>
        <w:rPr>
          <w:rFonts w:ascii="Times New Roman" w:hAnsi="Times New Roman"/>
          <w:color w:val="auto"/>
          <w:sz w:val="24"/>
        </w:rPr>
        <w:t xml:space="preserve">Navrhují se legislativně-technické změny související s přečíslováním odstavců v § 26 v návaznosti na vložení nového odstavce 6 (opatření k nápravě </w:t>
      </w:r>
      <w:r w:rsidRPr="00E20D49">
        <w:rPr>
          <w:rFonts w:ascii="Times New Roman" w:hAnsi="Times New Roman"/>
          <w:color w:val="auto"/>
          <w:sz w:val="24"/>
        </w:rPr>
        <w:t xml:space="preserve">udělující pravomoc </w:t>
      </w:r>
      <w:r w:rsidR="004B3660">
        <w:rPr>
          <w:rFonts w:ascii="Times New Roman" w:hAnsi="Times New Roman"/>
          <w:color w:val="auto"/>
          <w:sz w:val="24"/>
        </w:rPr>
        <w:t>ČNB</w:t>
      </w:r>
      <w:r w:rsidRPr="00E20D49">
        <w:rPr>
          <w:rFonts w:ascii="Times New Roman" w:hAnsi="Times New Roman"/>
          <w:color w:val="auto"/>
          <w:sz w:val="24"/>
        </w:rPr>
        <w:t xml:space="preserve"> nařídit bance změnu auditora</w:t>
      </w:r>
      <w:r>
        <w:rPr>
          <w:rFonts w:ascii="Times New Roman" w:hAnsi="Times New Roman"/>
          <w:color w:val="auto"/>
          <w:sz w:val="24"/>
        </w:rPr>
        <w:t>).</w:t>
      </w:r>
    </w:p>
    <w:p w14:paraId="58DBF0A8" w14:textId="098DDB96" w:rsidR="00864516" w:rsidRDefault="00864516" w:rsidP="00864516">
      <w:pPr>
        <w:spacing w:before="120"/>
        <w:rPr>
          <w:b/>
          <w:bCs/>
        </w:rPr>
      </w:pPr>
      <w:r>
        <w:rPr>
          <w:b/>
          <w:bCs/>
          <w:u w:val="single"/>
        </w:rPr>
        <w:t xml:space="preserve">K bodu </w:t>
      </w:r>
      <w:r w:rsidRPr="00E77532">
        <w:rPr>
          <w:b/>
          <w:bCs/>
          <w:u w:val="single"/>
        </w:rPr>
        <w:t>11 (</w:t>
      </w:r>
      <w:r w:rsidRPr="00AA606A">
        <w:rPr>
          <w:b/>
          <w:bCs/>
          <w:u w:val="single"/>
        </w:rPr>
        <w:t>§ 26ac odst. 1 písm. b), § 38d odst. 2 písm. s)), k</w:t>
      </w:r>
      <w:r w:rsidRPr="00E77532">
        <w:rPr>
          <w:b/>
          <w:bCs/>
          <w:u w:val="single"/>
        </w:rPr>
        <w:t> bodu 12 (</w:t>
      </w:r>
      <w:r w:rsidRPr="00AA606A">
        <w:rPr>
          <w:b/>
          <w:bCs/>
          <w:u w:val="single"/>
        </w:rPr>
        <w:t>§ 31 odst. 6)</w:t>
      </w:r>
      <w:r w:rsidR="00E77532" w:rsidRPr="00AA606A">
        <w:rPr>
          <w:b/>
          <w:bCs/>
          <w:u w:val="single"/>
        </w:rPr>
        <w:t xml:space="preserve">, </w:t>
      </w:r>
      <w:r w:rsidR="00E77532" w:rsidRPr="00E77532">
        <w:rPr>
          <w:b/>
          <w:bCs/>
          <w:u w:val="single"/>
        </w:rPr>
        <w:t>k bodu 21</w:t>
      </w:r>
      <w:r w:rsidR="00E77532" w:rsidRPr="00AA606A">
        <w:rPr>
          <w:b/>
          <w:bCs/>
          <w:u w:val="single"/>
        </w:rPr>
        <w:t xml:space="preserve"> (§ 38hc písm. a))</w:t>
      </w:r>
      <w:r>
        <w:rPr>
          <w:b/>
          <w:bCs/>
        </w:rPr>
        <w:t xml:space="preserve"> </w:t>
      </w:r>
    </w:p>
    <w:p w14:paraId="53CC9701" w14:textId="069BC265" w:rsidR="00864516" w:rsidRPr="00E20D49" w:rsidRDefault="00864516" w:rsidP="00864516">
      <w:pPr>
        <w:pStyle w:val="Dvodovzprva"/>
        <w:rPr>
          <w:rFonts w:ascii="Times New Roman" w:hAnsi="Times New Roman"/>
          <w:color w:val="auto"/>
          <w:sz w:val="24"/>
        </w:rPr>
      </w:pPr>
      <w:r>
        <w:rPr>
          <w:rFonts w:ascii="Times New Roman" w:hAnsi="Times New Roman"/>
          <w:color w:val="auto"/>
          <w:sz w:val="24"/>
        </w:rPr>
        <w:t xml:space="preserve">Navrhují se legislativně-technické změny související s přečíslováním odstavců v § 26 v návaznosti na vložení nového odstavce 6 (opatření k nápravě </w:t>
      </w:r>
      <w:r w:rsidRPr="00E20D49">
        <w:rPr>
          <w:rFonts w:ascii="Times New Roman" w:hAnsi="Times New Roman"/>
          <w:color w:val="auto"/>
          <w:sz w:val="24"/>
        </w:rPr>
        <w:t xml:space="preserve">udělující pravomoc </w:t>
      </w:r>
      <w:r w:rsidR="004B3660">
        <w:rPr>
          <w:rFonts w:ascii="Times New Roman" w:hAnsi="Times New Roman"/>
          <w:color w:val="auto"/>
          <w:sz w:val="24"/>
        </w:rPr>
        <w:t>ČNB</w:t>
      </w:r>
      <w:r w:rsidRPr="00E20D49">
        <w:rPr>
          <w:rFonts w:ascii="Times New Roman" w:hAnsi="Times New Roman"/>
          <w:color w:val="auto"/>
          <w:sz w:val="24"/>
        </w:rPr>
        <w:t xml:space="preserve"> nařídit bance změnu auditora</w:t>
      </w:r>
      <w:r>
        <w:rPr>
          <w:rFonts w:ascii="Times New Roman" w:hAnsi="Times New Roman"/>
          <w:color w:val="auto"/>
          <w:sz w:val="24"/>
        </w:rPr>
        <w:t>).</w:t>
      </w:r>
    </w:p>
    <w:p w14:paraId="74DCC99E" w14:textId="77777777" w:rsidR="00864516" w:rsidRDefault="00864516" w:rsidP="004841C9">
      <w:pPr>
        <w:spacing w:before="120"/>
        <w:rPr>
          <w:b/>
          <w:bCs/>
        </w:rPr>
      </w:pPr>
    </w:p>
    <w:p w14:paraId="5B18A121" w14:textId="3B008352" w:rsidR="004841C9" w:rsidRPr="00E77532" w:rsidRDefault="004841C9" w:rsidP="004841C9">
      <w:pPr>
        <w:spacing w:before="120"/>
        <w:rPr>
          <w:b/>
          <w:bCs/>
          <w:u w:val="single"/>
        </w:rPr>
      </w:pPr>
      <w:r w:rsidRPr="00E77532">
        <w:rPr>
          <w:b/>
          <w:bCs/>
          <w:u w:val="single"/>
        </w:rPr>
        <w:lastRenderedPageBreak/>
        <w:t xml:space="preserve">K bodům 13 až 19 (§ 36c odst. 8 písm. f) a g), </w:t>
      </w:r>
      <w:r w:rsidRPr="00AA606A">
        <w:rPr>
          <w:b/>
          <w:bCs/>
          <w:u w:val="single"/>
        </w:rPr>
        <w:t>§ 36d odst. 7 písm. b), v § 36da odst. 5 písm. b), § 36e odst. 7 písm. d) a e), § 36f odst. 4 písm. b) a c), § 36h odst. 5 písm. d)</w:t>
      </w:r>
      <w:r w:rsidRPr="00E77532">
        <w:rPr>
          <w:b/>
          <w:bCs/>
          <w:u w:val="single"/>
        </w:rPr>
        <w:t>)</w:t>
      </w:r>
    </w:p>
    <w:p w14:paraId="5AEA5DE1" w14:textId="057DE0E3" w:rsidR="004841C9" w:rsidRDefault="004841C9" w:rsidP="004841C9">
      <w:pPr>
        <w:spacing w:before="120"/>
      </w:pPr>
      <w:r>
        <w:t>V souvislosti s revizí transpozice CRD</w:t>
      </w:r>
      <w:r w:rsidR="009F7C0B">
        <w:t xml:space="preserve"> </w:t>
      </w:r>
      <w:r>
        <w:t xml:space="preserve">VI týkající se výpočtu celkového ročního čistého obratu, která je promítnuta v § 36i zákona, dochází pro nadbytečnost k vypuštění upřesnění, že se jedná o celkový roční čistý obrat právnické osoby za bezprostředně předcházející účetní období. Dále se vypouští právní úprava výpočtu výše celkového ročního čistého obratu pro ovládající osoby, která je obsažena v § 36i odst. 2 a 3 zákona. Tyto změny se týkají všech ustanovení, v nichž se používá celkový roční čistý obrat pro účely výpočtu výše pokuty za přestupek právnické osoby (§ 36c, § 36d, § 36da, § 36e, § 36f a § 36h </w:t>
      </w:r>
      <w:proofErr w:type="spellStart"/>
      <w:r>
        <w:t>ZoB</w:t>
      </w:r>
      <w:proofErr w:type="spellEnd"/>
      <w:r>
        <w:t>).</w:t>
      </w:r>
    </w:p>
    <w:p w14:paraId="6C207A58" w14:textId="1264A43C" w:rsidR="004841C9" w:rsidRDefault="004841C9" w:rsidP="004841C9">
      <w:pPr>
        <w:spacing w:before="120"/>
      </w:pPr>
      <w:r>
        <w:t>Dále jsou provedeny navazující legislativně-technické změny spočívající ve</w:t>
      </w:r>
      <w:r w:rsidR="00AA606A">
        <w:t> </w:t>
      </w:r>
      <w:r>
        <w:t>vypuštění duplicitních ustanovení.</w:t>
      </w:r>
    </w:p>
    <w:p w14:paraId="35027A9B" w14:textId="77777777" w:rsidR="004841C9" w:rsidRDefault="004841C9" w:rsidP="004841C9">
      <w:pPr>
        <w:spacing w:before="120"/>
        <w:rPr>
          <w:b/>
          <w:bCs/>
          <w:u w:val="single"/>
        </w:rPr>
      </w:pPr>
      <w:r>
        <w:rPr>
          <w:b/>
          <w:bCs/>
          <w:u w:val="single"/>
        </w:rPr>
        <w:t>K bodu 20 (§ 36i odst. 3)</w:t>
      </w:r>
    </w:p>
    <w:p w14:paraId="2AC4E7E1" w14:textId="28689721" w:rsidR="004841C9" w:rsidRDefault="004841C9" w:rsidP="00C46D9A">
      <w:pPr>
        <w:spacing w:before="120"/>
      </w:pPr>
      <w:r>
        <w:t>V souvislosti s dílčí revizí transpozice CRD</w:t>
      </w:r>
      <w:r w:rsidR="009F7C0B">
        <w:t xml:space="preserve"> </w:t>
      </w:r>
      <w:r>
        <w:t>VI týkající se výpočtu celkového ročního čistého obratu, která je promítnuta v tomto ustanovení zákona, dochází k upřesnění, že se jedná o poslední dostupnou konsolidovanou účetní závěrku ovládající osoby. Nejedná se o mateřskou instituci podle čl. 4 odst. 1 bodu 29 nařízení CRR, ale o ovládající osobu. Cílem navrhované právní úpravy je zajištění souladu se směrnicí CRD</w:t>
      </w:r>
      <w:r w:rsidR="009F7C0B">
        <w:t xml:space="preserve"> </w:t>
      </w:r>
      <w:r>
        <w:t>VI.</w:t>
      </w:r>
    </w:p>
    <w:p w14:paraId="601B7769" w14:textId="0567918B" w:rsidR="0085656A" w:rsidRPr="00120E8E" w:rsidRDefault="0085656A" w:rsidP="0085656A">
      <w:pPr>
        <w:pStyle w:val="Nadpis3"/>
        <w:rPr>
          <w:rFonts w:cs="Times New Roman"/>
        </w:rPr>
      </w:pPr>
      <w:r w:rsidRPr="00120E8E">
        <w:rPr>
          <w:rFonts w:cs="Times New Roman"/>
        </w:rPr>
        <w:t xml:space="preserve">K článku </w:t>
      </w:r>
      <w:r w:rsidR="008F1C42" w:rsidRPr="00120E8E">
        <w:rPr>
          <w:rFonts w:cs="Times New Roman"/>
        </w:rPr>
        <w:t>IV</w:t>
      </w:r>
      <w:r w:rsidRPr="00120E8E">
        <w:rPr>
          <w:rFonts w:cs="Times New Roman"/>
        </w:rPr>
        <w:t xml:space="preserve"> (změna zákona o </w:t>
      </w:r>
      <w:r w:rsidR="005408D8" w:rsidRPr="00120E8E">
        <w:rPr>
          <w:rFonts w:cs="Times New Roman"/>
        </w:rPr>
        <w:t>s</w:t>
      </w:r>
      <w:r w:rsidR="005408D8">
        <w:rPr>
          <w:rFonts w:cs="Times New Roman"/>
        </w:rPr>
        <w:t>pořitelních</w:t>
      </w:r>
      <w:r w:rsidR="005408D8" w:rsidRPr="00120E8E">
        <w:rPr>
          <w:rFonts w:cs="Times New Roman"/>
        </w:rPr>
        <w:t xml:space="preserve"> </w:t>
      </w:r>
      <w:r w:rsidRPr="00120E8E">
        <w:rPr>
          <w:rFonts w:cs="Times New Roman"/>
        </w:rPr>
        <w:t>a úvěrních družstvech)</w:t>
      </w:r>
    </w:p>
    <w:p w14:paraId="28EA3DF4" w14:textId="77777777" w:rsidR="00830E55" w:rsidRPr="00120E8E" w:rsidRDefault="00830E55" w:rsidP="00830E55">
      <w:pPr>
        <w:rPr>
          <w:b/>
          <w:bCs/>
          <w:u w:val="single"/>
        </w:rPr>
      </w:pPr>
      <w:r w:rsidRPr="00120E8E">
        <w:rPr>
          <w:b/>
          <w:bCs/>
          <w:u w:val="single"/>
        </w:rPr>
        <w:t>K bodu 1 (k poznámce pod čarou č. 1)</w:t>
      </w:r>
    </w:p>
    <w:p w14:paraId="25622F38" w14:textId="46E1E211" w:rsidR="00990862" w:rsidRPr="00120E8E" w:rsidRDefault="00990862" w:rsidP="00990862">
      <w:r w:rsidRPr="00120E8E">
        <w:t>Aktualizuje se odkaz v důsledku transpozice směrnice EMIR 3.</w:t>
      </w:r>
    </w:p>
    <w:p w14:paraId="0903D083" w14:textId="61F6E6A5" w:rsidR="0085656A" w:rsidRPr="00120E8E" w:rsidRDefault="00830E55" w:rsidP="0085656A">
      <w:pPr>
        <w:rPr>
          <w:b/>
          <w:bCs/>
          <w:u w:val="single"/>
        </w:rPr>
      </w:pPr>
      <w:r w:rsidRPr="00120E8E">
        <w:rPr>
          <w:b/>
          <w:bCs/>
          <w:u w:val="single"/>
        </w:rPr>
        <w:t xml:space="preserve">K bodu 2 </w:t>
      </w:r>
      <w:r w:rsidR="0085656A" w:rsidRPr="00120E8E">
        <w:rPr>
          <w:b/>
          <w:bCs/>
          <w:u w:val="single"/>
        </w:rPr>
        <w:t>(k § 1a)</w:t>
      </w:r>
    </w:p>
    <w:p w14:paraId="54C5729C" w14:textId="73257A88" w:rsidR="0085656A" w:rsidRPr="00120E8E" w:rsidRDefault="00FB28BC" w:rsidP="00AE703C">
      <w:r w:rsidRPr="00120E8E">
        <w:t>Navrhuje se doplnit definici ústřední protistrany obdobně jako je tomu v </w:t>
      </w:r>
      <w:proofErr w:type="spellStart"/>
      <w:r w:rsidR="00AE703C">
        <w:t>ZoB</w:t>
      </w:r>
      <w:proofErr w:type="spellEnd"/>
      <w:r w:rsidRPr="00120E8E">
        <w:t xml:space="preserve"> odkazem na</w:t>
      </w:r>
      <w:r w:rsidR="00AE703C">
        <w:t> </w:t>
      </w:r>
      <w:r w:rsidRPr="00120E8E">
        <w:t>nařízení EMIR.</w:t>
      </w:r>
    </w:p>
    <w:p w14:paraId="21C430F4" w14:textId="691CF92D" w:rsidR="00FB28BC" w:rsidRPr="00120E8E" w:rsidRDefault="00830E55" w:rsidP="0085656A">
      <w:pPr>
        <w:rPr>
          <w:b/>
          <w:bCs/>
          <w:u w:val="single"/>
        </w:rPr>
      </w:pPr>
      <w:r w:rsidRPr="00120E8E">
        <w:rPr>
          <w:b/>
          <w:bCs/>
          <w:u w:val="single"/>
        </w:rPr>
        <w:t xml:space="preserve">K bodům 3 a 4 </w:t>
      </w:r>
      <w:r w:rsidR="00FB28BC" w:rsidRPr="00120E8E">
        <w:rPr>
          <w:b/>
          <w:bCs/>
          <w:u w:val="single"/>
        </w:rPr>
        <w:t>(k § 7a)</w:t>
      </w:r>
    </w:p>
    <w:p w14:paraId="55839F34" w14:textId="3947EAEA" w:rsidR="00FB28BC" w:rsidRPr="00120E8E" w:rsidRDefault="00FB28BC" w:rsidP="00FB28BC">
      <w:pPr>
        <w:spacing w:before="120"/>
      </w:pPr>
      <w:r w:rsidRPr="00120E8E">
        <w:t>S přijetím nařízení EMIR 3 se zvyšují požadavky na řízení rizika koncentrace ve vztahu k ústředním protistranám, zvláště pak požadavek na aktivní účet u ústředních protistran, které mají povolení v EU. Toto je dále reflektováno v</w:t>
      </w:r>
      <w:r w:rsidR="0003312B" w:rsidRPr="00120E8E">
        <w:t>e</w:t>
      </w:r>
      <w:r w:rsidRPr="00120E8E">
        <w:t xml:space="preserve"> směrnici</w:t>
      </w:r>
      <w:r w:rsidR="00AF6F59" w:rsidRPr="00120E8E">
        <w:t xml:space="preserve"> EMIR 3</w:t>
      </w:r>
      <w:r w:rsidRPr="00120E8E">
        <w:t>, což by mělo být upraveno i v řídícím a kontrolním systému družstevní záložny.</w:t>
      </w:r>
    </w:p>
    <w:p w14:paraId="357F7B70" w14:textId="76BFA22F" w:rsidR="00FB28BC" w:rsidRPr="00120E8E" w:rsidRDefault="00FB28BC" w:rsidP="00FB28BC">
      <w:pPr>
        <w:spacing w:before="120"/>
      </w:pPr>
      <w:r w:rsidRPr="00120E8E">
        <w:t xml:space="preserve">Pro tyto účely si má družstevní záložna stanovit postupy a cíle, jak bude plnit požadavky na aktivní účet, dopadá-li </w:t>
      </w:r>
      <w:r w:rsidR="00035057">
        <w:t> na něj</w:t>
      </w:r>
      <w:r w:rsidRPr="00120E8E">
        <w:t xml:space="preserve"> tento požadavek podle podmínek stanovených v čl.</w:t>
      </w:r>
      <w:r w:rsidR="0003312B" w:rsidRPr="00120E8E">
        <w:t> </w:t>
      </w:r>
      <w:r w:rsidRPr="00120E8E">
        <w:t>7a</w:t>
      </w:r>
      <w:r w:rsidR="0003312B" w:rsidRPr="00120E8E">
        <w:t> </w:t>
      </w:r>
      <w:r w:rsidRPr="00120E8E">
        <w:t>nařízením EMIR, respektive nařízením EMIR 3. Spojení „podstatného významu“ je</w:t>
      </w:r>
      <w:r w:rsidR="0003312B" w:rsidRPr="00120E8E">
        <w:t> </w:t>
      </w:r>
      <w:r w:rsidRPr="00120E8E">
        <w:t>potřeba vykládat i v souladu s čl. 25 nařízení EMIR, tedy vztahuje se to zvláště pak</w:t>
      </w:r>
      <w:r w:rsidR="0003312B" w:rsidRPr="00120E8E">
        <w:t> </w:t>
      </w:r>
      <w:r w:rsidRPr="00120E8E">
        <w:t>na</w:t>
      </w:r>
      <w:r w:rsidR="0003312B" w:rsidRPr="00120E8E">
        <w:t> </w:t>
      </w:r>
      <w:r w:rsidRPr="00120E8E">
        <w:t xml:space="preserve">ústřední protistrany ze třetích zemí, které jsou kvalifikovány jako tzv. </w:t>
      </w:r>
      <w:proofErr w:type="spellStart"/>
      <w:r w:rsidRPr="00120E8E">
        <w:t>tier</w:t>
      </w:r>
      <w:proofErr w:type="spellEnd"/>
      <w:r w:rsidRPr="00120E8E">
        <w:t xml:space="preserve"> 2 resp. </w:t>
      </w:r>
      <w:proofErr w:type="spellStart"/>
      <w:r w:rsidRPr="00120E8E">
        <w:t>tier</w:t>
      </w:r>
      <w:proofErr w:type="spellEnd"/>
      <w:r w:rsidRPr="00120E8E">
        <w:t xml:space="preserve"> 2+.</w:t>
      </w:r>
    </w:p>
    <w:p w14:paraId="7E10DEF6" w14:textId="6B132F53" w:rsidR="00FB28BC" w:rsidRPr="00120E8E" w:rsidRDefault="00830E55" w:rsidP="0085656A">
      <w:pPr>
        <w:rPr>
          <w:b/>
          <w:bCs/>
          <w:u w:val="single"/>
        </w:rPr>
      </w:pPr>
      <w:r w:rsidRPr="00120E8E">
        <w:rPr>
          <w:b/>
          <w:bCs/>
          <w:u w:val="single"/>
        </w:rPr>
        <w:t xml:space="preserve">K bodu 5 </w:t>
      </w:r>
      <w:r w:rsidR="00FB28BC" w:rsidRPr="00120E8E">
        <w:rPr>
          <w:b/>
          <w:bCs/>
          <w:u w:val="single"/>
        </w:rPr>
        <w:t>(k § 21a)</w:t>
      </w:r>
    </w:p>
    <w:p w14:paraId="2C0C07B3" w14:textId="34294D2D" w:rsidR="00FB28BC" w:rsidRPr="00120E8E" w:rsidRDefault="0003312B" w:rsidP="00FB28BC">
      <w:pPr>
        <w:spacing w:before="120"/>
      </w:pPr>
      <w:r w:rsidRPr="00120E8E">
        <w:t>S</w:t>
      </w:r>
      <w:r w:rsidR="00446CBA" w:rsidRPr="00120E8E">
        <w:t>měrnice EMIR 3</w:t>
      </w:r>
      <w:r w:rsidR="00FB28BC" w:rsidRPr="00120E8E">
        <w:t xml:space="preserve"> v čl. 2 odst. 3 předpokládá pravomoci dohledu kontrolovat postup družstevní záložny ve vztahu k řízení rizika koncentrace ve vztahu vůči ústředním protistranám a i dalších </w:t>
      </w:r>
      <w:r w:rsidR="00FB28BC" w:rsidRPr="00120E8E">
        <w:lastRenderedPageBreak/>
        <w:t>povinností, zvláště pak navázání a plnění cílů aktivních účtů, pokud se povinnost aktivního účtu na družstevní záložnu vztahuje.</w:t>
      </w:r>
    </w:p>
    <w:p w14:paraId="17EACE65" w14:textId="77777777" w:rsidR="00AD3852" w:rsidRDefault="00AD3852" w:rsidP="00AD3852">
      <w:pPr>
        <w:rPr>
          <w:b/>
          <w:bCs/>
          <w:u w:val="single"/>
        </w:rPr>
      </w:pPr>
      <w:r>
        <w:rPr>
          <w:b/>
          <w:bCs/>
          <w:u w:val="single"/>
        </w:rPr>
        <w:t>K bodu 6 (§ 21b odst. 1)</w:t>
      </w:r>
    </w:p>
    <w:p w14:paraId="25FCB4A3" w14:textId="32BCA311" w:rsidR="00AD3852" w:rsidRPr="00697E9D" w:rsidRDefault="00AD3852" w:rsidP="00AD3852">
      <w:pPr>
        <w:spacing w:before="120"/>
      </w:pPr>
      <w:r>
        <w:t>V souvislosti s přezkumem transpozice CRD</w:t>
      </w:r>
      <w:r w:rsidR="001E3FD8">
        <w:t xml:space="preserve"> </w:t>
      </w:r>
      <w:r>
        <w:t xml:space="preserve">V </w:t>
      </w:r>
      <w:proofErr w:type="spellStart"/>
      <w:r>
        <w:t>v</w:t>
      </w:r>
      <w:proofErr w:type="spellEnd"/>
      <w:r>
        <w:t xml:space="preserve"> rámci pilotního řízení </w:t>
      </w:r>
      <w:r w:rsidR="00503C81">
        <w:t>EK</w:t>
      </w:r>
      <w:r>
        <w:t xml:space="preserve"> dochází k doplnění transpozice článku 1 odst. 28 písm. c) směrnice CRD</w:t>
      </w:r>
      <w:r w:rsidR="001E3FD8">
        <w:t xml:space="preserve"> </w:t>
      </w:r>
      <w:r>
        <w:t xml:space="preserve">V (článku 97 odst. 4a prvního pododstavce věty druhé), které </w:t>
      </w:r>
      <w:r w:rsidR="00A13A46">
        <w:t>ČR</w:t>
      </w:r>
      <w:r>
        <w:t xml:space="preserve"> přislíbila provést v nejbližším možném termínu.</w:t>
      </w:r>
    </w:p>
    <w:p w14:paraId="2C7D3748" w14:textId="7EA51B10" w:rsidR="00AD3852" w:rsidRPr="00770E9C" w:rsidRDefault="00AD3852" w:rsidP="00770E9C">
      <w:pPr>
        <w:spacing w:before="120"/>
      </w:pPr>
      <w:r w:rsidRPr="00697E9D">
        <w:t xml:space="preserve">Podle závěrů </w:t>
      </w:r>
      <w:r w:rsidR="00503C81">
        <w:t>E</w:t>
      </w:r>
      <w:r w:rsidR="00E77532">
        <w:t>K</w:t>
      </w:r>
      <w:r w:rsidRPr="00697E9D">
        <w:t xml:space="preserve"> neodkazují vnitrostátní prováděcí opatření na konkrétní rizika, kterým může být každá instituce vystavena a dále neodkazují ani na specifický charakter opatření uložených v souladu s článkem 104 CRD. </w:t>
      </w:r>
      <w:r w:rsidR="004B3660">
        <w:t>ČNB</w:t>
      </w:r>
      <w:r w:rsidRPr="00AC6673">
        <w:t xml:space="preserve"> může u družstevních záložen s podobným rizikovým profilem přizpůsobit metodiku provádění procesu přezkumu a vyhodnocování s ohledem na</w:t>
      </w:r>
      <w:r w:rsidR="00AA606A">
        <w:t> </w:t>
      </w:r>
      <w:r w:rsidRPr="00AC6673">
        <w:t>rizikově orientovaná kritéria a kvantitativní ukazatele</w:t>
      </w:r>
      <w:r w:rsidRPr="00697E9D">
        <w:t>. K zajištění souladu se CRD</w:t>
      </w:r>
      <w:r w:rsidR="001E3FD8">
        <w:t xml:space="preserve"> </w:t>
      </w:r>
      <w:r w:rsidRPr="00697E9D">
        <w:t>V se navrhuje upřesnit v § 21b odst. 1 větě druhé ZSÚD, že metodika provádění přezkumu a</w:t>
      </w:r>
      <w:r w:rsidR="00AA606A">
        <w:t> </w:t>
      </w:r>
      <w:r w:rsidRPr="00697E9D">
        <w:t xml:space="preserve">vyhodnocování umožní zohlednit právě tato specifická rizika, aniž by tím byla dotčena pravomoc </w:t>
      </w:r>
      <w:r w:rsidR="004B3660">
        <w:t>ČNB</w:t>
      </w:r>
      <w:r w:rsidRPr="00697E9D">
        <w:t xml:space="preserve"> uložit konkrétní opatření v návaznosti na SREP a opatření k nápravě podle ZSÚD, která jsou transpozičními k čl. 104 CRD. Neodkazuje se na § 28 odst. 2 písm. e) a f) ZSÚD, neboť se jedná o opatření vztahovaná ke kmenovému kapitálu </w:t>
      </w:r>
      <w:proofErr w:type="spellStart"/>
      <w:r w:rsidRPr="00697E9D">
        <w:t>Tier</w:t>
      </w:r>
      <w:proofErr w:type="spellEnd"/>
      <w:r w:rsidRPr="00697E9D">
        <w:t xml:space="preserve"> 1, která nejsou upravena v čl. 104 CRD.</w:t>
      </w:r>
    </w:p>
    <w:p w14:paraId="5ABE975A" w14:textId="77777777" w:rsidR="00AD3852" w:rsidRPr="00565DB5" w:rsidRDefault="00AD3852" w:rsidP="00AD3852">
      <w:pPr>
        <w:rPr>
          <w:b/>
          <w:bCs/>
          <w:u w:val="single"/>
        </w:rPr>
      </w:pPr>
      <w:r w:rsidRPr="00565DB5">
        <w:rPr>
          <w:b/>
          <w:bCs/>
          <w:u w:val="single"/>
        </w:rPr>
        <w:t>K bodům 7 až 9 (§ 27b odst. 5 písm. d) a e), § 27c odst. 5 písm. e) a f))</w:t>
      </w:r>
    </w:p>
    <w:p w14:paraId="5CC13B80" w14:textId="5885B3EF" w:rsidR="00AD3852" w:rsidRDefault="00AD3852" w:rsidP="00AD3852">
      <w:pPr>
        <w:spacing w:before="120"/>
      </w:pPr>
      <w:r>
        <w:t>V souvislosti s revizí transpozice CRD</w:t>
      </w:r>
      <w:r w:rsidR="001E3FD8">
        <w:t xml:space="preserve"> </w:t>
      </w:r>
      <w:r>
        <w:t>VI týkající se výpočtu celkového ročního čistého obratu, která je promítnuta v § 27e zákona, dochází pro nadbytečnost k vypuštění upřesnění, že se jedná o celkový roční čistý obrat právnické osoby za bezprostředně předcházející účetní období. Dále se vypouští právní úprava výpočtu výše celkového ročního čistého obratu pro ovládající osoby, která je obsažena v § 27e odst. 2 a 3 zákona. Tyto změny se týkají všech ustanovení, v nichž se používá celkový roční čistý obrat pro účely výpočtu výše pokuty za přestupek právnické osoby (§ 27b a § 27c ZSÚD).</w:t>
      </w:r>
    </w:p>
    <w:p w14:paraId="37E299E6" w14:textId="0A590BE4" w:rsidR="00AD3852" w:rsidRPr="00770E9C" w:rsidRDefault="00AD3852" w:rsidP="00770E9C">
      <w:pPr>
        <w:spacing w:before="120"/>
      </w:pPr>
      <w:r>
        <w:t>Dále jsou provedeny navazující legislativně-technické změny spočívající ve</w:t>
      </w:r>
      <w:r w:rsidR="00AA606A">
        <w:t> </w:t>
      </w:r>
      <w:r>
        <w:t>vypuštění duplicitních ustanovení.</w:t>
      </w:r>
    </w:p>
    <w:p w14:paraId="0B36E666" w14:textId="77777777" w:rsidR="00AD3852" w:rsidRDefault="00AD3852" w:rsidP="00AD3852">
      <w:pPr>
        <w:rPr>
          <w:b/>
          <w:bCs/>
          <w:u w:val="single"/>
        </w:rPr>
      </w:pPr>
      <w:r>
        <w:rPr>
          <w:b/>
          <w:bCs/>
          <w:u w:val="single"/>
        </w:rPr>
        <w:t>K bodu 10 (§ 27e odst. 3)</w:t>
      </w:r>
    </w:p>
    <w:p w14:paraId="5431825D" w14:textId="1529F043" w:rsidR="00AD3852" w:rsidRPr="001E4883" w:rsidRDefault="00AD3852" w:rsidP="00AD3852">
      <w:pPr>
        <w:spacing w:before="120"/>
      </w:pPr>
      <w:r>
        <w:t>V souvislosti s dílčí revizí transpozice CRD</w:t>
      </w:r>
      <w:r w:rsidR="001E3FD8">
        <w:t xml:space="preserve"> </w:t>
      </w:r>
      <w:r>
        <w:t>VI týkající se výpočtu celkového ročního čistého obratu, která je promítnuta v tomto ustanovení zákona, dochází k upřesnění, že se jedná o</w:t>
      </w:r>
      <w:r w:rsidR="00AA606A">
        <w:t> </w:t>
      </w:r>
      <w:r>
        <w:t>poslední dostupnou konsolidovanou účetní závěrku ovládající osoby. Nejedná se o mateřskou instituci podle čl. 4 odst. 1 bodu 29 nařízení CRR, ale o ovládající osobu. Cílem navrhované právní úpravy je zajištění souladu se směrnicí CRD</w:t>
      </w:r>
      <w:r w:rsidR="001E3FD8">
        <w:t xml:space="preserve"> </w:t>
      </w:r>
      <w:r>
        <w:t>VI.</w:t>
      </w:r>
    </w:p>
    <w:p w14:paraId="2B37946D" w14:textId="04F30A4B" w:rsidR="00FB28BC" w:rsidRPr="00120E8E" w:rsidRDefault="00830E55" w:rsidP="0085656A">
      <w:pPr>
        <w:rPr>
          <w:b/>
          <w:bCs/>
          <w:u w:val="single"/>
        </w:rPr>
      </w:pPr>
      <w:r w:rsidRPr="00120E8E">
        <w:rPr>
          <w:b/>
          <w:bCs/>
          <w:u w:val="single"/>
        </w:rPr>
        <w:t xml:space="preserve">K bodu </w:t>
      </w:r>
      <w:r w:rsidR="00DF521C">
        <w:rPr>
          <w:b/>
          <w:bCs/>
          <w:u w:val="single"/>
        </w:rPr>
        <w:t>11</w:t>
      </w:r>
      <w:r w:rsidR="00DF521C" w:rsidRPr="00120E8E">
        <w:rPr>
          <w:b/>
          <w:bCs/>
          <w:u w:val="single"/>
        </w:rPr>
        <w:t xml:space="preserve"> </w:t>
      </w:r>
      <w:r w:rsidR="00FB28BC" w:rsidRPr="00120E8E">
        <w:rPr>
          <w:b/>
          <w:bCs/>
          <w:u w:val="single"/>
        </w:rPr>
        <w:t>(k § 28)</w:t>
      </w:r>
    </w:p>
    <w:p w14:paraId="7178532D" w14:textId="08FB5FC8" w:rsidR="00FB28BC" w:rsidRPr="00120E8E" w:rsidRDefault="00FB28BC" w:rsidP="002D703F">
      <w:pPr>
        <w:spacing w:before="120"/>
      </w:pPr>
      <w:r w:rsidRPr="00120E8E">
        <w:t xml:space="preserve">Přidává se opatření k nápravě navazující na povinnosti, které plynou z transpozice </w:t>
      </w:r>
      <w:r w:rsidR="00446CBA" w:rsidRPr="00120E8E">
        <w:t>změnov</w:t>
      </w:r>
      <w:r w:rsidR="005408D8">
        <w:t>é</w:t>
      </w:r>
      <w:r w:rsidR="00446CBA" w:rsidRPr="00120E8E">
        <w:t xml:space="preserve"> směrnice EMIR 3</w:t>
      </w:r>
      <w:r w:rsidRPr="00120E8E">
        <w:t>, tak aby bylo možno jej vymáhat.</w:t>
      </w:r>
    </w:p>
    <w:p w14:paraId="4E3587CA" w14:textId="77777777" w:rsidR="00017FF1" w:rsidRDefault="00017FF1" w:rsidP="00017FF1">
      <w:pPr>
        <w:pStyle w:val="Nadpis3"/>
        <w:rPr>
          <w:rFonts w:cs="Times New Roman"/>
        </w:rPr>
      </w:pPr>
      <w:r>
        <w:rPr>
          <w:rFonts w:cs="Times New Roman"/>
        </w:rPr>
        <w:t>K článku V (z</w:t>
      </w:r>
      <w:r w:rsidRPr="007E56D4">
        <w:rPr>
          <w:rFonts w:cs="Times New Roman"/>
        </w:rPr>
        <w:t>měna zákona o dohledu v oblasti kapitálového trhu</w:t>
      </w:r>
      <w:r>
        <w:rPr>
          <w:rFonts w:cs="Times New Roman"/>
        </w:rPr>
        <w:t>)</w:t>
      </w:r>
    </w:p>
    <w:p w14:paraId="76A723B3" w14:textId="77777777" w:rsidR="00017FF1" w:rsidRPr="001D1E7B" w:rsidRDefault="00017FF1" w:rsidP="00017FF1">
      <w:pPr>
        <w:rPr>
          <w:b/>
          <w:bCs/>
          <w:u w:val="single"/>
        </w:rPr>
      </w:pPr>
      <w:r w:rsidRPr="001D1E7B">
        <w:rPr>
          <w:b/>
          <w:bCs/>
          <w:u w:val="single"/>
        </w:rPr>
        <w:t>K bodu 1 (</w:t>
      </w:r>
      <w:r>
        <w:rPr>
          <w:b/>
          <w:bCs/>
          <w:u w:val="single"/>
        </w:rPr>
        <w:t xml:space="preserve">k </w:t>
      </w:r>
      <w:r w:rsidRPr="001D1E7B">
        <w:rPr>
          <w:b/>
          <w:bCs/>
          <w:u w:val="single"/>
        </w:rPr>
        <w:t>§ 4 odst. 1)</w:t>
      </w:r>
    </w:p>
    <w:p w14:paraId="051189A2" w14:textId="2E962338" w:rsidR="00017FF1" w:rsidRPr="008C16B1" w:rsidRDefault="00017FF1" w:rsidP="00017FF1">
      <w:r>
        <w:lastRenderedPageBreak/>
        <w:t xml:space="preserve">Podle čl. 38 odst. 3 nařízení o ESG ratingu se vymáhání pokut a penále řídí procesními pravidly platnými v členském státě nebo třetí zemi, v níž jsou pokuty a penále vymáhány. V podmínkách českého právního řádu se proto postupuje podle daňového řádu, a to stejným způsobem, jako v případě nařízení </w:t>
      </w:r>
      <w:r w:rsidR="00C42E08">
        <w:t>CRA</w:t>
      </w:r>
      <w:r>
        <w:t>.</w:t>
      </w:r>
    </w:p>
    <w:p w14:paraId="0CD9CC38" w14:textId="77777777" w:rsidR="00017FF1" w:rsidRPr="001D1E7B" w:rsidRDefault="00017FF1" w:rsidP="00017FF1">
      <w:pPr>
        <w:rPr>
          <w:b/>
          <w:bCs/>
          <w:u w:val="single"/>
        </w:rPr>
      </w:pPr>
      <w:r w:rsidRPr="001D1E7B">
        <w:rPr>
          <w:b/>
          <w:bCs/>
          <w:u w:val="single"/>
        </w:rPr>
        <w:t>K bod</w:t>
      </w:r>
      <w:r>
        <w:rPr>
          <w:b/>
          <w:bCs/>
          <w:u w:val="single"/>
        </w:rPr>
        <w:t>u</w:t>
      </w:r>
      <w:r w:rsidRPr="001D1E7B">
        <w:rPr>
          <w:b/>
          <w:bCs/>
          <w:u w:val="single"/>
        </w:rPr>
        <w:t xml:space="preserve"> 2 (</w:t>
      </w:r>
      <w:r>
        <w:rPr>
          <w:b/>
          <w:bCs/>
          <w:u w:val="single"/>
        </w:rPr>
        <w:t xml:space="preserve">k </w:t>
      </w:r>
      <w:r w:rsidRPr="001D1E7B">
        <w:rPr>
          <w:b/>
          <w:bCs/>
          <w:u w:val="single"/>
        </w:rPr>
        <w:t>§ 4 odst. 2)</w:t>
      </w:r>
    </w:p>
    <w:p w14:paraId="1A7C34F2" w14:textId="69746CF4" w:rsidR="00017FF1" w:rsidRDefault="00017FF1" w:rsidP="00017FF1">
      <w:r>
        <w:t>Podle čl. 33 odst. 33 odst. 5 a 6 nařízení o ESG ratingu může vnitrostátní právní předpis stanovit nutnost přivolení soudního orgánu v případě, kdy ESMA žádá o výpisy telefonních hovorů a</w:t>
      </w:r>
      <w:r w:rsidR="00AA606A">
        <w:t> </w:t>
      </w:r>
      <w:r>
        <w:t xml:space="preserve">datových přenosů. V podmínkách českého právního řádu je důvodné, aby takový zásah byl přivolením soudu podmíněn. Navrhuje se, aby byl zaveden stejný režim, jako v případě nařízení </w:t>
      </w:r>
      <w:r w:rsidR="00C42E08">
        <w:t>CRA, a jaký byl dále precizován v rámci novely č. 32/2025 Sb.</w:t>
      </w:r>
      <w:r>
        <w:t>, protože není důvodné se od něj odchylovat.</w:t>
      </w:r>
    </w:p>
    <w:p w14:paraId="2A07EF06" w14:textId="77777777" w:rsidR="00017FF1" w:rsidRPr="00D7739B" w:rsidRDefault="00017FF1" w:rsidP="00017FF1">
      <w:pPr>
        <w:rPr>
          <w:b/>
          <w:bCs/>
          <w:u w:val="single"/>
        </w:rPr>
      </w:pPr>
      <w:r w:rsidRPr="00D7739B">
        <w:rPr>
          <w:b/>
          <w:bCs/>
          <w:u w:val="single"/>
        </w:rPr>
        <w:t xml:space="preserve">K bodu </w:t>
      </w:r>
      <w:r>
        <w:rPr>
          <w:b/>
          <w:bCs/>
          <w:u w:val="single"/>
        </w:rPr>
        <w:t>3</w:t>
      </w:r>
      <w:r w:rsidRPr="00D7739B">
        <w:rPr>
          <w:b/>
          <w:bCs/>
          <w:u w:val="single"/>
        </w:rPr>
        <w:t xml:space="preserve"> (</w:t>
      </w:r>
      <w:r>
        <w:rPr>
          <w:b/>
          <w:bCs/>
          <w:u w:val="single"/>
        </w:rPr>
        <w:t>k poznámce pod čarou č. 41</w:t>
      </w:r>
      <w:r w:rsidRPr="00D7739B">
        <w:rPr>
          <w:b/>
          <w:bCs/>
          <w:u w:val="single"/>
        </w:rPr>
        <w:t>)</w:t>
      </w:r>
    </w:p>
    <w:p w14:paraId="0D697B1F" w14:textId="5AA24B8A" w:rsidR="00017FF1" w:rsidRPr="00B12840" w:rsidRDefault="00017FF1" w:rsidP="00017FF1">
      <w:r>
        <w:t xml:space="preserve">Zákon o dohledu v oblasti kapitálového trhu se nově stane adaptačním k nařízení o ESG ratingu, a proto je třeba rozšířit výčet adaptovaných předpisů </w:t>
      </w:r>
      <w:r w:rsidR="00783C37">
        <w:t>E</w:t>
      </w:r>
      <w:r>
        <w:t>vropské unie v příslušné poznámce pod</w:t>
      </w:r>
      <w:r w:rsidR="00AA606A">
        <w:t> </w:t>
      </w:r>
      <w:r>
        <w:t>čarou.</w:t>
      </w:r>
    </w:p>
    <w:p w14:paraId="213E103A" w14:textId="61201203" w:rsidR="00EF09FC" w:rsidRPr="00120E8E" w:rsidRDefault="00EF09FC" w:rsidP="00EF09FC">
      <w:pPr>
        <w:pStyle w:val="Nadpis3"/>
        <w:rPr>
          <w:rFonts w:cs="Times New Roman"/>
        </w:rPr>
      </w:pPr>
      <w:r w:rsidRPr="00120E8E">
        <w:rPr>
          <w:rFonts w:cs="Times New Roman"/>
        </w:rPr>
        <w:t xml:space="preserve">K článku </w:t>
      </w:r>
      <w:r w:rsidR="00990862" w:rsidRPr="00120E8E">
        <w:rPr>
          <w:rFonts w:cs="Times New Roman"/>
        </w:rPr>
        <w:t>V</w:t>
      </w:r>
      <w:r w:rsidR="00017FF1">
        <w:rPr>
          <w:rFonts w:cs="Times New Roman"/>
        </w:rPr>
        <w:t>I</w:t>
      </w:r>
      <w:r w:rsidRPr="00120E8E">
        <w:rPr>
          <w:rFonts w:cs="Times New Roman"/>
        </w:rPr>
        <w:t xml:space="preserve"> (změna zákona o dluhopisech)</w:t>
      </w:r>
    </w:p>
    <w:p w14:paraId="11F36C96" w14:textId="7DE791D2" w:rsidR="00EF09FC" w:rsidRPr="00120E8E" w:rsidRDefault="00830E55" w:rsidP="00EF09FC">
      <w:pPr>
        <w:rPr>
          <w:b/>
          <w:bCs/>
          <w:u w:val="single"/>
        </w:rPr>
      </w:pPr>
      <w:r w:rsidRPr="00120E8E">
        <w:rPr>
          <w:b/>
          <w:bCs/>
          <w:u w:val="single"/>
        </w:rPr>
        <w:t xml:space="preserve">K bodu 1 </w:t>
      </w:r>
      <w:r w:rsidR="00EF09FC" w:rsidRPr="00120E8E">
        <w:rPr>
          <w:b/>
          <w:bCs/>
          <w:u w:val="single"/>
        </w:rPr>
        <w:t>(k § 7a)</w:t>
      </w:r>
    </w:p>
    <w:p w14:paraId="72871F98" w14:textId="2994CC45" w:rsidR="00DB37EA" w:rsidRDefault="00EF09FC" w:rsidP="00EF09FC">
      <w:r w:rsidRPr="00120E8E">
        <w:t>Cílem ustanovení je posílení ochrany retailových investorů a zvýšení transparentnosti při</w:t>
      </w:r>
      <w:r w:rsidR="0003312B" w:rsidRPr="00120E8E">
        <w:t> </w:t>
      </w:r>
      <w:r w:rsidRPr="00120E8E">
        <w:t>veřejné nabídce (korporátních) dluhopisů. Ustanovení reaguje na přetrvávající problémy spojené s distribucí a propagací podnikových dluhopisů retailovým investorům. ČNB se opakovaně setkává se zneužíváním svého jména při marketingu podnikových dluhopisů, přičemž investoři mohou mylně nabývat dojmu, že ČNB garantuje finanční zdraví emitentů nebo návratnost investice, což však neodpovídá skutečnosti.</w:t>
      </w:r>
    </w:p>
    <w:p w14:paraId="42996732" w14:textId="47624948" w:rsidR="00EF09FC" w:rsidRPr="00120E8E" w:rsidRDefault="00DB37EA" w:rsidP="00EF09FC">
      <w:r>
        <w:t xml:space="preserve">Navrhuje se doplnit standardizované upozornění, které má emitent nebo osoba, která nabízí dluhopisy při nabízení sdělit. Toto upozornění by mělo být poskytnuto při jakékoliv formě nabízení, tedy uveřejněno na internetových stránkách, vytištěno na letácích, či v případě komunikace rádiem, by mělo být součástí oznámení. V neposlední řadě při </w:t>
      </w:r>
      <w:r w:rsidR="00623D21">
        <w:t>osobním setkání by mělo být sděleno osobou nabízející dluhopisu.</w:t>
      </w:r>
    </w:p>
    <w:p w14:paraId="1218C58E" w14:textId="6E08E786" w:rsidR="00EF09FC" w:rsidRPr="00120E8E" w:rsidRDefault="00623D21" w:rsidP="00EF09FC">
      <w:r>
        <w:t xml:space="preserve">Toto upozornění má za cíl informovat investora o </w:t>
      </w:r>
      <w:r w:rsidR="00EF09FC" w:rsidRPr="00120E8E">
        <w:t>rizi</w:t>
      </w:r>
      <w:r>
        <w:t>cích</w:t>
      </w:r>
      <w:r w:rsidR="00EF09FC" w:rsidRPr="00120E8E">
        <w:t xml:space="preserve"> spojen</w:t>
      </w:r>
      <w:r>
        <w:t>ých</w:t>
      </w:r>
      <w:r w:rsidR="00EF09FC" w:rsidRPr="00120E8E">
        <w:t xml:space="preserve"> s investováním do těchto nástrojů a na omezenou roli ČNB</w:t>
      </w:r>
      <w:r>
        <w:t xml:space="preserve"> či jiného veřejného orgánu</w:t>
      </w:r>
      <w:r w:rsidR="00EF09FC" w:rsidRPr="00120E8E">
        <w:t>. Navrhované znění platí jak pro „nadlimitní“, tak pro „podlimitní“ dluhopisy. Tato úprava doplňuje stávající rámec ochrany investorů, přičemž její dopad na emitenty by měl být</w:t>
      </w:r>
      <w:r w:rsidR="0003312B" w:rsidRPr="00120E8E">
        <w:t> </w:t>
      </w:r>
      <w:r w:rsidR="00EF09FC" w:rsidRPr="00120E8E">
        <w:t>z hlediska administrativní a finanční náročnosti minimální.</w:t>
      </w:r>
    </w:p>
    <w:p w14:paraId="7B5675F0" w14:textId="5B58F6DC" w:rsidR="00EF09FC" w:rsidRPr="00120E8E" w:rsidRDefault="00830E55" w:rsidP="00EF09FC">
      <w:pPr>
        <w:rPr>
          <w:b/>
          <w:bCs/>
          <w:u w:val="single"/>
        </w:rPr>
      </w:pPr>
      <w:r w:rsidRPr="00120E8E">
        <w:rPr>
          <w:b/>
          <w:bCs/>
          <w:u w:val="single"/>
        </w:rPr>
        <w:t xml:space="preserve">K bodu 2 </w:t>
      </w:r>
      <w:r w:rsidR="00EF09FC" w:rsidRPr="00120E8E">
        <w:rPr>
          <w:b/>
          <w:bCs/>
          <w:u w:val="single"/>
        </w:rPr>
        <w:t>(k § 9a)</w:t>
      </w:r>
    </w:p>
    <w:p w14:paraId="3EF77984" w14:textId="68802981" w:rsidR="00EF09FC" w:rsidRPr="00120E8E" w:rsidRDefault="00EF09FC" w:rsidP="00EF09FC">
      <w:r w:rsidRPr="00120E8E">
        <w:t xml:space="preserve">Jde o sladění terminologie se ZPKT, kdy je hranice pro povinnost uveřejnit prospekt nebo emisní dokument také stanovována v návaznosti na nařízení </w:t>
      </w:r>
      <w:r w:rsidR="00AE703C">
        <w:t>o prospektu</w:t>
      </w:r>
      <w:r w:rsidRPr="00120E8E">
        <w:t>.</w:t>
      </w:r>
    </w:p>
    <w:p w14:paraId="36FD8436" w14:textId="788B432D" w:rsidR="00EF09FC" w:rsidRPr="00120E8E" w:rsidRDefault="00830E55" w:rsidP="00EF09FC">
      <w:pPr>
        <w:rPr>
          <w:b/>
          <w:bCs/>
          <w:u w:val="single"/>
        </w:rPr>
      </w:pPr>
      <w:r w:rsidRPr="00120E8E">
        <w:rPr>
          <w:b/>
          <w:bCs/>
          <w:u w:val="single"/>
        </w:rPr>
        <w:t xml:space="preserve">K bodu 3 </w:t>
      </w:r>
      <w:r w:rsidR="00EF09FC" w:rsidRPr="00120E8E">
        <w:rPr>
          <w:b/>
          <w:bCs/>
          <w:u w:val="single"/>
        </w:rPr>
        <w:t>(k § 40c)</w:t>
      </w:r>
    </w:p>
    <w:p w14:paraId="36C5DB7E" w14:textId="77777777" w:rsidR="00EF09FC" w:rsidRPr="00120E8E" w:rsidRDefault="00EF09FC" w:rsidP="00EF09FC">
      <w:r w:rsidRPr="00120E8E">
        <w:lastRenderedPageBreak/>
        <w:t>Jedná se o sankční ustanovení za nesplnění nové informační povinnosti při veřejném nabízení dluhopisů. Jedná se o vymáhající informační povinnost, které má za cíl ochranu retailových investorů a posílení transparentnosti.</w:t>
      </w:r>
    </w:p>
    <w:p w14:paraId="5F823C60" w14:textId="6A851537" w:rsidR="00EF09FC" w:rsidRPr="00120E8E" w:rsidRDefault="00830E55" w:rsidP="00EF09FC">
      <w:pPr>
        <w:rPr>
          <w:b/>
          <w:u w:val="single"/>
        </w:rPr>
      </w:pPr>
      <w:r w:rsidRPr="00120E8E">
        <w:rPr>
          <w:b/>
          <w:u w:val="single"/>
        </w:rPr>
        <w:t xml:space="preserve">K bodu 4 </w:t>
      </w:r>
      <w:r w:rsidR="00EF09FC" w:rsidRPr="00120E8E">
        <w:rPr>
          <w:b/>
          <w:u w:val="single"/>
        </w:rPr>
        <w:t>(k § 41)</w:t>
      </w:r>
    </w:p>
    <w:p w14:paraId="22531348" w14:textId="77777777" w:rsidR="00EF09FC" w:rsidRPr="00120E8E" w:rsidRDefault="00EF09FC" w:rsidP="00EF09FC">
      <w:r w:rsidRPr="00120E8E">
        <w:t>Toto ustanovení zavádí příslušnost ČNB k projednání přestupků podle § 40 až nově § 40c.</w:t>
      </w:r>
    </w:p>
    <w:p w14:paraId="4E90BFB3" w14:textId="1F95189C" w:rsidR="00151702" w:rsidRDefault="00151702" w:rsidP="00EF09FC">
      <w:pPr>
        <w:pStyle w:val="Nadpis3"/>
        <w:rPr>
          <w:rFonts w:cs="Times New Roman"/>
        </w:rPr>
      </w:pPr>
      <w:r>
        <w:rPr>
          <w:rFonts w:cs="Times New Roman"/>
        </w:rPr>
        <w:t>K článku VI</w:t>
      </w:r>
      <w:r w:rsidR="00017FF1">
        <w:rPr>
          <w:rFonts w:cs="Times New Roman"/>
        </w:rPr>
        <w:t>I</w:t>
      </w:r>
      <w:r>
        <w:rPr>
          <w:rFonts w:cs="Times New Roman"/>
        </w:rPr>
        <w:t xml:space="preserve"> (přechodn</w:t>
      </w:r>
      <w:r w:rsidR="00017FF1">
        <w:rPr>
          <w:rFonts w:cs="Times New Roman"/>
        </w:rPr>
        <w:t>é</w:t>
      </w:r>
      <w:r>
        <w:rPr>
          <w:rFonts w:cs="Times New Roman"/>
        </w:rPr>
        <w:t xml:space="preserve"> ustanovení)</w:t>
      </w:r>
    </w:p>
    <w:p w14:paraId="1ACAE37D" w14:textId="0549CA96" w:rsidR="004424A6" w:rsidRDefault="004424A6" w:rsidP="00216358">
      <w:r w:rsidRPr="004424A6">
        <w:t>Přechodné ustanovení stanoví odklad účinnosti nové informační povinnosti podle § 7a zákona o dluhopisech pro případy, kdy bylo nabízení dluhopisu zahájeno před účinností novely. Tato úprava reflektuje potřebu právní jistoty a předvídatelnosti pro emitenty a osoby nabízející dluhopisy, kteří již zahájili marketingové nebo distribuční aktivity</w:t>
      </w:r>
      <w:r w:rsidR="00623D21">
        <w:t>, např. vytiskli letáky, natočili klip</w:t>
      </w:r>
      <w:r w:rsidRPr="004424A6">
        <w:t xml:space="preserve">. </w:t>
      </w:r>
    </w:p>
    <w:p w14:paraId="617027D1" w14:textId="20409DD3" w:rsidR="00216358" w:rsidRDefault="004424A6" w:rsidP="00216358">
      <w:r w:rsidRPr="004424A6">
        <w:t>Šestiměsíční lhůta poskytuje</w:t>
      </w:r>
      <w:r>
        <w:t xml:space="preserve"> </w:t>
      </w:r>
      <w:r w:rsidRPr="00E0453C">
        <w:t xml:space="preserve">emitentům a osobám nabízejícím dluhopisy </w:t>
      </w:r>
      <w:r w:rsidRPr="004424A6">
        <w:t>dostatečný časový prostor pro</w:t>
      </w:r>
      <w:r w:rsidR="00216358">
        <w:t xml:space="preserve"> uvedení svých postupů a dokumentace do souladu s novou právní úpravou,</w:t>
      </w:r>
      <w:r w:rsidRPr="004424A6">
        <w:t xml:space="preserve"> </w:t>
      </w:r>
      <w:r w:rsidR="00216358" w:rsidRPr="00216358">
        <w:t xml:space="preserve">aniž by </w:t>
      </w:r>
      <w:r w:rsidR="0079768C">
        <w:t> </w:t>
      </w:r>
      <w:r w:rsidR="00216358" w:rsidRPr="00216358">
        <w:t>došlo k</w:t>
      </w:r>
      <w:r w:rsidR="00623D21">
        <w:t xml:space="preserve"> zásadnímu</w:t>
      </w:r>
      <w:r w:rsidR="00216358" w:rsidRPr="00216358">
        <w:t xml:space="preserve"> narušení již probíhajících nabídek.</w:t>
      </w:r>
      <w:r w:rsidR="00216358">
        <w:t xml:space="preserve"> </w:t>
      </w:r>
      <w:r w:rsidR="00216358" w:rsidRPr="00E0453C">
        <w:t xml:space="preserve">Tím se zajišťuje právní jistota a </w:t>
      </w:r>
      <w:r w:rsidR="0079768C">
        <w:t> </w:t>
      </w:r>
      <w:r w:rsidR="00216358">
        <w:t>plynulý</w:t>
      </w:r>
      <w:r w:rsidR="00216358" w:rsidRPr="00E0453C">
        <w:t xml:space="preserve"> přechod k vyšší úrovni ochrany investorů.</w:t>
      </w:r>
      <w:r w:rsidR="00216358">
        <w:t xml:space="preserve"> </w:t>
      </w:r>
    </w:p>
    <w:p w14:paraId="51BE93B3" w14:textId="4EEF4D58" w:rsidR="00EF09FC" w:rsidRPr="00120E8E" w:rsidRDefault="00EF09FC" w:rsidP="00EF09FC">
      <w:pPr>
        <w:pStyle w:val="Nadpis3"/>
        <w:rPr>
          <w:rFonts w:cs="Times New Roman"/>
        </w:rPr>
      </w:pPr>
      <w:r w:rsidRPr="00120E8E">
        <w:rPr>
          <w:rFonts w:cs="Times New Roman"/>
        </w:rPr>
        <w:t xml:space="preserve">K článku </w:t>
      </w:r>
      <w:r w:rsidR="00990862" w:rsidRPr="00120E8E">
        <w:rPr>
          <w:rFonts w:cs="Times New Roman"/>
        </w:rPr>
        <w:t>VI</w:t>
      </w:r>
      <w:r w:rsidR="00017FF1">
        <w:rPr>
          <w:rFonts w:cs="Times New Roman"/>
        </w:rPr>
        <w:t>I</w:t>
      </w:r>
      <w:r w:rsidR="00151702">
        <w:rPr>
          <w:rFonts w:cs="Times New Roman"/>
        </w:rPr>
        <w:t>I</w:t>
      </w:r>
      <w:r w:rsidRPr="00120E8E">
        <w:rPr>
          <w:rFonts w:cs="Times New Roman"/>
        </w:rPr>
        <w:t xml:space="preserve"> (změna zákona o obchodních korporacích)</w:t>
      </w:r>
    </w:p>
    <w:p w14:paraId="681773EA" w14:textId="211BDA90" w:rsidR="00EF09FC" w:rsidRPr="00120E8E" w:rsidRDefault="00830E55" w:rsidP="00EF09FC">
      <w:pPr>
        <w:rPr>
          <w:b/>
          <w:bCs/>
        </w:rPr>
      </w:pPr>
      <w:r w:rsidRPr="00120E8E">
        <w:rPr>
          <w:b/>
          <w:bCs/>
        </w:rPr>
        <w:t xml:space="preserve">K bodu 1 </w:t>
      </w:r>
      <w:r w:rsidR="00EF09FC" w:rsidRPr="00120E8E">
        <w:rPr>
          <w:b/>
          <w:bCs/>
        </w:rPr>
        <w:t>(k § 416</w:t>
      </w:r>
      <w:r w:rsidR="002D703F" w:rsidRPr="00120E8E">
        <w:rPr>
          <w:b/>
          <w:bCs/>
        </w:rPr>
        <w:t>)</w:t>
      </w:r>
    </w:p>
    <w:p w14:paraId="05346448" w14:textId="60FDD51C" w:rsidR="00C85C97" w:rsidRDefault="00C85C97" w:rsidP="00C85C97">
      <w:r>
        <w:t xml:space="preserve">Navrhované ustanovení promítá čl. 4 odst. 1 písm. b) bod </w:t>
      </w:r>
      <w:proofErr w:type="spellStart"/>
      <w:r>
        <w:t>ii</w:t>
      </w:r>
      <w:proofErr w:type="spellEnd"/>
      <w:r>
        <w:t xml:space="preserve">) </w:t>
      </w:r>
      <w:proofErr w:type="spellStart"/>
      <w:r>
        <w:t>podbod</w:t>
      </w:r>
      <w:proofErr w:type="spellEnd"/>
      <w:r>
        <w:t xml:space="preserve"> 2) směrnice MVSD, podle kterého je pro omezení dopadu akcií s rozdílnou vahou hlasů nutné, aby většina rozhodnutí, pro které je vyžadována kvalifikovaná většina, současně vyžadovala souhlas akcionářů za každý druh akcií, jejichž práva jsou rozhodnutím dotčena (tzv. hlasování podle druhu). To </w:t>
      </w:r>
      <w:r w:rsidR="0079768C">
        <w:t> </w:t>
      </w:r>
      <w:r>
        <w:t>v současnosti nesplňuje rozhodnutí o možnosti započtení peněžité pohledávky vůči společnosti proti pohledávce na splacení emisního kursu, které se navrhuje z § 416 ZOK vypustit, neboť jeho význam pro ochranu práv akcionářů neodpovídá (ve srovnání s ostatními rozhodnutími) potřebě schválení kvalifikovanou většinou (dvoutřetinovou většinou přítomných akcionářů). Ke schválení tohoto rozhodnutí bude nově postačovat prostá většina přítomných akcionářů podle § 415 ZOK, nepředepíšou-li stanovy většinu kvalifikovanou. Naopak rozhodnutí o</w:t>
      </w:r>
      <w:r w:rsidR="00623D21">
        <w:t> </w:t>
      </w:r>
      <w:r>
        <w:t xml:space="preserve">zrušení společnosti s likvidací a o rozdělení likvidačního zůstatku, které rovněž doposud nesplňovalo požadavek čl. 4 odst. 1 písm. b) bod </w:t>
      </w:r>
      <w:proofErr w:type="spellStart"/>
      <w:r>
        <w:t>ii</w:t>
      </w:r>
      <w:proofErr w:type="spellEnd"/>
      <w:r>
        <w:t xml:space="preserve">) </w:t>
      </w:r>
      <w:proofErr w:type="spellStart"/>
      <w:r>
        <w:t>podbod</w:t>
      </w:r>
      <w:proofErr w:type="spellEnd"/>
      <w:r>
        <w:t xml:space="preserve"> 2) směrnice MVSD, se navrhuje doplnit do § 417 ZOK (více viz odůvodnění změny § 417 ZOK).</w:t>
      </w:r>
    </w:p>
    <w:p w14:paraId="74788BC3" w14:textId="65924CB0" w:rsidR="00EF09FC" w:rsidRPr="00120E8E" w:rsidRDefault="00830E55" w:rsidP="00EF09FC">
      <w:pPr>
        <w:rPr>
          <w:b/>
          <w:bCs/>
        </w:rPr>
      </w:pPr>
      <w:r w:rsidRPr="00120E8E">
        <w:rPr>
          <w:b/>
          <w:bCs/>
        </w:rPr>
        <w:t xml:space="preserve">K bodu 2 </w:t>
      </w:r>
      <w:r w:rsidR="00EF09FC" w:rsidRPr="00120E8E">
        <w:rPr>
          <w:b/>
          <w:bCs/>
        </w:rPr>
        <w:t>(k § 417)</w:t>
      </w:r>
    </w:p>
    <w:p w14:paraId="4F96AC21" w14:textId="5B8BFD6B" w:rsidR="00EF09FC" w:rsidRPr="00120E8E" w:rsidRDefault="00C85C97" w:rsidP="0003312B">
      <w:r>
        <w:t xml:space="preserve">Navrhovanou změnou se rozšiřuje rozsah rozhodnutí valné hromady akciové společnosti, která vyžadují schválení kvalifikovanou většinou a hlasování podle druhu. Rozhodnutí o zrušení společnosti s likvidací a o rozdělení likvidačního zůstatku se navrhují doplnit do § 417 ZOK tak, aby se kromě kvalifikované většiny na úrovni celé společnosti podle § 416 ZOK (dvoutřetinová většina přítomných akcionářů) vyžadovalo i hlasování podle druhu (dvoutřetinová většina hlasů přítomných akcionářů v rámci každého druhu akcií). Jedná se </w:t>
      </w:r>
      <w:r w:rsidR="0079768C">
        <w:t> </w:t>
      </w:r>
      <w:r>
        <w:t>o</w:t>
      </w:r>
      <w:r w:rsidR="00623D21">
        <w:t> </w:t>
      </w:r>
      <w:r>
        <w:t xml:space="preserve">zásadní rozhodnutí v životě společnosti, ve kterých by měla být role rozdílné váhy hlasů spojené s jednotlivými druhy akcií snížena. Současně tím dojde k uvedení české právní úpravy </w:t>
      </w:r>
      <w:r>
        <w:lastRenderedPageBreak/>
        <w:t xml:space="preserve">do souladu s čl. 4 odst. 1 písm. b) bod </w:t>
      </w:r>
      <w:proofErr w:type="spellStart"/>
      <w:r>
        <w:t>ii</w:t>
      </w:r>
      <w:proofErr w:type="spellEnd"/>
      <w:r>
        <w:t xml:space="preserve">) </w:t>
      </w:r>
      <w:proofErr w:type="spellStart"/>
      <w:r>
        <w:t>podbod</w:t>
      </w:r>
      <w:proofErr w:type="spellEnd"/>
      <w:r>
        <w:t xml:space="preserve"> 2) směrnice MVSD, který hlasování podle druhu v těchto případech vyžaduje.</w:t>
      </w:r>
      <w:r w:rsidR="00EF09FC" w:rsidRPr="00120E8E">
        <w:t xml:space="preserve"> </w:t>
      </w:r>
    </w:p>
    <w:p w14:paraId="6256443B" w14:textId="556DB90B" w:rsidR="00EF09FC" w:rsidRPr="00120E8E" w:rsidRDefault="00EF09FC" w:rsidP="00EF09FC">
      <w:pPr>
        <w:pStyle w:val="Nadpis3"/>
        <w:rPr>
          <w:rFonts w:cs="Times New Roman"/>
        </w:rPr>
      </w:pPr>
      <w:r w:rsidRPr="00120E8E">
        <w:rPr>
          <w:rFonts w:cs="Times New Roman"/>
        </w:rPr>
        <w:t xml:space="preserve">K článku </w:t>
      </w:r>
      <w:r w:rsidR="00990862" w:rsidRPr="00120E8E">
        <w:rPr>
          <w:rFonts w:cs="Times New Roman"/>
        </w:rPr>
        <w:t>VI</w:t>
      </w:r>
      <w:r w:rsidR="00017FF1">
        <w:rPr>
          <w:rFonts w:cs="Times New Roman"/>
        </w:rPr>
        <w:t>X</w:t>
      </w:r>
      <w:r w:rsidRPr="00120E8E">
        <w:rPr>
          <w:rFonts w:cs="Times New Roman"/>
        </w:rPr>
        <w:t xml:space="preserve"> </w:t>
      </w:r>
      <w:r w:rsidRPr="00120E8E">
        <w:rPr>
          <w:rFonts w:cs="Times New Roman"/>
          <w:u w:val="single"/>
        </w:rPr>
        <w:t>(účinnost)</w:t>
      </w:r>
    </w:p>
    <w:p w14:paraId="401FEBE0" w14:textId="2C1BF297" w:rsidR="00AE703C" w:rsidRPr="00120E8E" w:rsidRDefault="0085249F" w:rsidP="00AE703C">
      <w:pPr>
        <w:spacing w:before="120"/>
      </w:pPr>
      <w:r w:rsidRPr="00120E8E">
        <w:t xml:space="preserve">Revizní směrnice </w:t>
      </w:r>
      <w:proofErr w:type="spellStart"/>
      <w:r w:rsidRPr="00120E8E">
        <w:t>Listing</w:t>
      </w:r>
      <w:proofErr w:type="spellEnd"/>
      <w:r w:rsidRPr="00120E8E">
        <w:t xml:space="preserve"> </w:t>
      </w:r>
      <w:proofErr w:type="spellStart"/>
      <w:r w:rsidRPr="00120E8E">
        <w:t>Act</w:t>
      </w:r>
      <w:proofErr w:type="spellEnd"/>
      <w:r w:rsidRPr="00120E8E">
        <w:t xml:space="preserve"> balíčku předpokládá splnění transpoziční lhůty do 6. </w:t>
      </w:r>
      <w:r w:rsidR="009F5085" w:rsidRPr="00120E8E">
        <w:t>června</w:t>
      </w:r>
      <w:r w:rsidRPr="00120E8E">
        <w:t xml:space="preserve"> 2026 a </w:t>
      </w:r>
      <w:r w:rsidR="00AE703C">
        <w:t xml:space="preserve">směrnice </w:t>
      </w:r>
      <w:r w:rsidRPr="00120E8E">
        <w:t xml:space="preserve">MVSD stanovuje transpoziční lhůtu do 5. </w:t>
      </w:r>
      <w:r w:rsidR="009F5085" w:rsidRPr="00120E8E">
        <w:t>prosince</w:t>
      </w:r>
      <w:r w:rsidRPr="00120E8E">
        <w:t xml:space="preserve"> 2026</w:t>
      </w:r>
      <w:r w:rsidR="00AE703C">
        <w:t xml:space="preserve"> a </w:t>
      </w:r>
      <w:r w:rsidR="00AE703C" w:rsidRPr="00120E8E">
        <w:t>směrnice EMIR 3 uvádí, že členské státy uvedou svůj právní řád do souladu 25. června 2026.</w:t>
      </w:r>
      <w:r w:rsidR="00017FF1">
        <w:t xml:space="preserve"> Nařízení o ESG ratingu pak stanoví, že příslušný orgán musí být určen do 2. dubna 2026 a</w:t>
      </w:r>
      <w:r w:rsidR="00623D21">
        <w:t xml:space="preserve"> český právní řád má být na </w:t>
      </w:r>
      <w:r w:rsidR="00017FF1">
        <w:t>nařízení s ohledem na den nabytí účinnosti (použitelnosti)</w:t>
      </w:r>
      <w:r w:rsidR="00623D21">
        <w:t xml:space="preserve"> nařízení o ESG ratingu</w:t>
      </w:r>
      <w:r w:rsidR="00017FF1">
        <w:t xml:space="preserve"> </w:t>
      </w:r>
      <w:r w:rsidR="009359E9">
        <w:t>adaptován ke 2. červenci</w:t>
      </w:r>
      <w:r w:rsidR="00017FF1">
        <w:t xml:space="preserve"> 2026.</w:t>
      </w:r>
    </w:p>
    <w:p w14:paraId="373A24AC" w14:textId="157C35F2" w:rsidR="00FD5ECC" w:rsidRPr="00120E8E" w:rsidRDefault="00EF09FC" w:rsidP="00C4250C">
      <w:r w:rsidRPr="00120E8E">
        <w:t xml:space="preserve">S ohledem na </w:t>
      </w:r>
      <w:r w:rsidR="00017FF1">
        <w:t>implementační</w:t>
      </w:r>
      <w:r w:rsidRPr="00120E8E">
        <w:t xml:space="preserve"> lhůt</w:t>
      </w:r>
      <w:r w:rsidR="00017FF1">
        <w:t>y</w:t>
      </w:r>
      <w:r w:rsidRPr="00120E8E">
        <w:t xml:space="preserve"> se stanovuje</w:t>
      </w:r>
      <w:r w:rsidR="007A16C8" w:rsidRPr="00120E8E">
        <w:t xml:space="preserve"> dělená </w:t>
      </w:r>
      <w:r w:rsidR="00AC2348" w:rsidRPr="00120E8E">
        <w:t>účinnost k</w:t>
      </w:r>
      <w:r w:rsidR="00AC2348">
        <w:t>e 2. 4. 2026</w:t>
      </w:r>
      <w:r w:rsidR="00017FF1">
        <w:t xml:space="preserve">, </w:t>
      </w:r>
      <w:r w:rsidRPr="00120E8E">
        <w:t>6.</w:t>
      </w:r>
      <w:r w:rsidR="000F641E" w:rsidRPr="00120E8E">
        <w:t xml:space="preserve"> </w:t>
      </w:r>
      <w:r w:rsidRPr="00120E8E">
        <w:t>6. 2026</w:t>
      </w:r>
      <w:r w:rsidR="0003312B" w:rsidRPr="00120E8E">
        <w:t xml:space="preserve">, 25. </w:t>
      </w:r>
      <w:r w:rsidR="009359E9">
        <w:t> </w:t>
      </w:r>
      <w:r w:rsidR="0003312B" w:rsidRPr="00120E8E">
        <w:t>6. 2026</w:t>
      </w:r>
      <w:r w:rsidR="00017FF1">
        <w:t xml:space="preserve">, 2. 7. </w:t>
      </w:r>
      <w:r w:rsidR="00AC2348">
        <w:t xml:space="preserve">2026 </w:t>
      </w:r>
      <w:r w:rsidR="00AC2348" w:rsidRPr="00120E8E">
        <w:t>a k 5. 12</w:t>
      </w:r>
      <w:r w:rsidR="007A16C8" w:rsidRPr="00120E8E">
        <w:t>.</w:t>
      </w:r>
      <w:r w:rsidR="0003312B" w:rsidRPr="00120E8E">
        <w:t> </w:t>
      </w:r>
      <w:r w:rsidR="007A16C8" w:rsidRPr="00120E8E">
        <w:t>2026</w:t>
      </w:r>
      <w:r w:rsidR="00AE703C">
        <w:t>, kdy základní účinnost je nastavena na 6. června 2026, neboť většina změn souvisí s </w:t>
      </w:r>
      <w:proofErr w:type="spellStart"/>
      <w:r w:rsidR="00AE703C">
        <w:t>Listing</w:t>
      </w:r>
      <w:proofErr w:type="spellEnd"/>
      <w:r w:rsidR="00AE703C">
        <w:t xml:space="preserve"> </w:t>
      </w:r>
      <w:proofErr w:type="spellStart"/>
      <w:r w:rsidR="00AE703C">
        <w:t>Act</w:t>
      </w:r>
      <w:proofErr w:type="spellEnd"/>
      <w:r w:rsidR="00AE703C">
        <w:t xml:space="preserve"> balíčkem a pro body směrnice MVSD</w:t>
      </w:r>
      <w:r w:rsidR="00623D21">
        <w:t>,</w:t>
      </w:r>
      <w:r w:rsidR="00AE703C">
        <w:t xml:space="preserve"> směrnice EMIR 3 </w:t>
      </w:r>
      <w:r w:rsidR="00017FF1">
        <w:t xml:space="preserve">a nařízení o ESG ratingu </w:t>
      </w:r>
      <w:r w:rsidR="00AE703C">
        <w:t xml:space="preserve">je nastavena speciální účinnost podle jejich </w:t>
      </w:r>
      <w:r w:rsidR="00017FF1">
        <w:t xml:space="preserve">implementačních </w:t>
      </w:r>
      <w:r w:rsidR="00AE703C">
        <w:t>lhůt.</w:t>
      </w:r>
      <w:r w:rsidR="00623D21">
        <w:t xml:space="preserve"> Účinnost z</w:t>
      </w:r>
      <w:bookmarkStart w:id="0" w:name="_GoBack"/>
      <w:bookmarkEnd w:id="0"/>
      <w:r w:rsidR="00623D21">
        <w:t>měn v souvislosti se CRD V a CRD VI se navrhuje jednotně v souvislosti s</w:t>
      </w:r>
      <w:r w:rsidR="00E25456">
        <w:t>e směrnicí EMIR 3.</w:t>
      </w:r>
    </w:p>
    <w:sectPr w:rsidR="00FD5ECC" w:rsidRPr="00120E8E" w:rsidSect="00A41C73">
      <w:headerReference w:type="default" r:id="rId8"/>
      <w:footerReference w:type="default" r:id="rId9"/>
      <w:headerReference w:type="first" r:id="rId10"/>
      <w:footerReference w:type="first" r:id="rId11"/>
      <w:pgSz w:w="11906" w:h="16838"/>
      <w:pgMar w:top="1417" w:right="1417" w:bottom="1417" w:left="1417" w:header="708" w:footer="708" w:gutter="0"/>
      <w:cols w:space="708"/>
      <w:titlePg/>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93D245C" w16cid:durableId="2C8F9407"/>
  <w16cid:commentId w16cid:paraId="6567B385" w16cid:durableId="2C9A51AC"/>
  <w16cid:commentId w16cid:paraId="3C3B380E" w16cid:durableId="2CA47747"/>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52C34C" w14:textId="77777777" w:rsidR="00B05592" w:rsidRDefault="00B05592" w:rsidP="001676DB">
      <w:pPr>
        <w:spacing w:after="0" w:line="240" w:lineRule="auto"/>
      </w:pPr>
      <w:r>
        <w:separator/>
      </w:r>
    </w:p>
  </w:endnote>
  <w:endnote w:type="continuationSeparator" w:id="0">
    <w:p w14:paraId="7E148FA3" w14:textId="77777777" w:rsidR="00B05592" w:rsidRDefault="00B05592" w:rsidP="001676DB">
      <w:pPr>
        <w:spacing w:after="0" w:line="240" w:lineRule="auto"/>
      </w:pPr>
      <w:r>
        <w:continuationSeparator/>
      </w:r>
    </w:p>
  </w:endnote>
  <w:endnote w:type="continuationNotice" w:id="1">
    <w:p w14:paraId="5FA3DCC2" w14:textId="77777777" w:rsidR="00B05592" w:rsidRDefault="00B0559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52897635"/>
      <w:docPartObj>
        <w:docPartGallery w:val="Page Numbers (Bottom of Page)"/>
        <w:docPartUnique/>
      </w:docPartObj>
    </w:sdtPr>
    <w:sdtEndPr/>
    <w:sdtContent>
      <w:p w14:paraId="32290742" w14:textId="3FF6A4D3" w:rsidR="00B05592" w:rsidRDefault="00B05592">
        <w:pPr>
          <w:pStyle w:val="Zpat"/>
          <w:jc w:val="right"/>
        </w:pPr>
        <w:r>
          <w:fldChar w:fldCharType="begin"/>
        </w:r>
        <w:r>
          <w:instrText>PAGE   \* MERGEFORMAT</w:instrText>
        </w:r>
        <w:r>
          <w:fldChar w:fldCharType="separate"/>
        </w:r>
        <w:r w:rsidR="00635A8A">
          <w:rPr>
            <w:noProof/>
          </w:rPr>
          <w:t>28</w:t>
        </w:r>
        <w:r>
          <w:fldChar w:fldCharType="end"/>
        </w:r>
      </w:p>
    </w:sdtContent>
  </w:sdt>
  <w:p w14:paraId="6B083A34" w14:textId="77777777" w:rsidR="00B05592" w:rsidRDefault="00B05592">
    <w:pPr>
      <w:pStyle w:val="Zp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D0AF3C" w14:textId="02DB0DCD" w:rsidR="00B05592" w:rsidRDefault="00B05592" w:rsidP="00A41C73">
    <w:pPr>
      <w:pStyle w:val="Zpat"/>
      <w:jc w:val="right"/>
    </w:pPr>
    <w:r>
      <w:t>1</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7A9015" w14:textId="77777777" w:rsidR="00B05592" w:rsidRDefault="00B05592" w:rsidP="001676DB">
      <w:pPr>
        <w:spacing w:after="0" w:line="240" w:lineRule="auto"/>
      </w:pPr>
      <w:r>
        <w:separator/>
      </w:r>
    </w:p>
  </w:footnote>
  <w:footnote w:type="continuationSeparator" w:id="0">
    <w:p w14:paraId="6EC802AE" w14:textId="77777777" w:rsidR="00B05592" w:rsidRDefault="00B05592" w:rsidP="001676DB">
      <w:pPr>
        <w:spacing w:after="0" w:line="240" w:lineRule="auto"/>
      </w:pPr>
      <w:r>
        <w:continuationSeparator/>
      </w:r>
    </w:p>
  </w:footnote>
  <w:footnote w:type="continuationNotice" w:id="1">
    <w:p w14:paraId="66201EA3" w14:textId="77777777" w:rsidR="00B05592" w:rsidRDefault="00B05592">
      <w:pPr>
        <w:spacing w:after="0" w:line="240" w:lineRule="auto"/>
      </w:pPr>
    </w:p>
  </w:footnote>
  <w:footnote w:id="2">
    <w:p w14:paraId="083676E4" w14:textId="01F77770" w:rsidR="00B05592" w:rsidRPr="00D959F2" w:rsidRDefault="00B05592" w:rsidP="00D959F2">
      <w:pPr>
        <w:pStyle w:val="Nadpis2"/>
        <w:numPr>
          <w:ilvl w:val="0"/>
          <w:numId w:val="0"/>
        </w:numPr>
        <w:spacing w:before="0" w:after="0" w:line="240" w:lineRule="auto"/>
        <w:rPr>
          <w:rFonts w:eastAsia="Calibri" w:cs="Times New Roman"/>
          <w:b w:val="0"/>
          <w:bCs w:val="0"/>
          <w:color w:val="auto"/>
          <w:sz w:val="20"/>
          <w:szCs w:val="20"/>
          <w:lang w:bidi="en-US"/>
        </w:rPr>
      </w:pPr>
      <w:r w:rsidRPr="00D959F2">
        <w:rPr>
          <w:rStyle w:val="Znakapoznpodarou"/>
          <w:sz w:val="20"/>
          <w:szCs w:val="20"/>
        </w:rPr>
        <w:footnoteRef/>
      </w:r>
      <w:r w:rsidRPr="00D959F2">
        <w:rPr>
          <w:sz w:val="20"/>
          <w:szCs w:val="20"/>
        </w:rPr>
        <w:t xml:space="preserve"> </w:t>
      </w:r>
      <w:proofErr w:type="spellStart"/>
      <w:r w:rsidRPr="00D959F2">
        <w:rPr>
          <w:rFonts w:eastAsia="Calibri" w:cs="Times New Roman"/>
          <w:b w:val="0"/>
          <w:bCs w:val="0"/>
          <w:color w:val="auto"/>
          <w:sz w:val="20"/>
          <w:szCs w:val="20"/>
          <w:lang w:bidi="en-US"/>
        </w:rPr>
        <w:t>The</w:t>
      </w:r>
      <w:proofErr w:type="spellEnd"/>
      <w:r w:rsidRPr="00D959F2">
        <w:rPr>
          <w:rFonts w:eastAsia="Calibri" w:cs="Times New Roman"/>
          <w:b w:val="0"/>
          <w:bCs w:val="0"/>
          <w:color w:val="auto"/>
          <w:sz w:val="20"/>
          <w:szCs w:val="20"/>
          <w:lang w:bidi="en-US"/>
        </w:rPr>
        <w:t xml:space="preserve"> </w:t>
      </w:r>
      <w:proofErr w:type="spellStart"/>
      <w:r w:rsidRPr="00D959F2">
        <w:rPr>
          <w:rFonts w:eastAsia="Calibri" w:cs="Times New Roman"/>
          <w:b w:val="0"/>
          <w:bCs w:val="0"/>
          <w:color w:val="auto"/>
          <w:sz w:val="20"/>
          <w:szCs w:val="20"/>
          <w:lang w:bidi="en-US"/>
        </w:rPr>
        <w:t>future</w:t>
      </w:r>
      <w:proofErr w:type="spellEnd"/>
      <w:r w:rsidRPr="00D959F2">
        <w:rPr>
          <w:rFonts w:eastAsia="Calibri" w:cs="Times New Roman"/>
          <w:b w:val="0"/>
          <w:bCs w:val="0"/>
          <w:color w:val="auto"/>
          <w:sz w:val="20"/>
          <w:szCs w:val="20"/>
          <w:lang w:bidi="en-US"/>
        </w:rPr>
        <w:t xml:space="preserve"> </w:t>
      </w:r>
      <w:proofErr w:type="spellStart"/>
      <w:r w:rsidRPr="00D959F2">
        <w:rPr>
          <w:rFonts w:eastAsia="Calibri" w:cs="Times New Roman"/>
          <w:b w:val="0"/>
          <w:bCs w:val="0"/>
          <w:color w:val="auto"/>
          <w:sz w:val="20"/>
          <w:szCs w:val="20"/>
          <w:lang w:bidi="en-US"/>
        </w:rPr>
        <w:t>of</w:t>
      </w:r>
      <w:proofErr w:type="spellEnd"/>
      <w:r w:rsidRPr="00D959F2">
        <w:rPr>
          <w:rFonts w:eastAsia="Calibri" w:cs="Times New Roman"/>
          <w:b w:val="0"/>
          <w:bCs w:val="0"/>
          <w:color w:val="auto"/>
          <w:sz w:val="20"/>
          <w:szCs w:val="20"/>
          <w:lang w:bidi="en-US"/>
        </w:rPr>
        <w:t xml:space="preserve"> </w:t>
      </w:r>
      <w:proofErr w:type="spellStart"/>
      <w:r w:rsidRPr="00D959F2">
        <w:rPr>
          <w:rFonts w:eastAsia="Calibri" w:cs="Times New Roman"/>
          <w:b w:val="0"/>
          <w:bCs w:val="0"/>
          <w:color w:val="auto"/>
          <w:sz w:val="20"/>
          <w:szCs w:val="20"/>
          <w:lang w:bidi="en-US"/>
        </w:rPr>
        <w:t>European</w:t>
      </w:r>
      <w:proofErr w:type="spellEnd"/>
      <w:r w:rsidRPr="00D959F2">
        <w:rPr>
          <w:rFonts w:eastAsia="Calibri" w:cs="Times New Roman"/>
          <w:b w:val="0"/>
          <w:bCs w:val="0"/>
          <w:color w:val="auto"/>
          <w:sz w:val="20"/>
          <w:szCs w:val="20"/>
          <w:lang w:bidi="en-US"/>
        </w:rPr>
        <w:t xml:space="preserve"> </w:t>
      </w:r>
      <w:proofErr w:type="spellStart"/>
      <w:r w:rsidRPr="00D959F2">
        <w:rPr>
          <w:rFonts w:eastAsia="Calibri" w:cs="Times New Roman"/>
          <w:b w:val="0"/>
          <w:bCs w:val="0"/>
          <w:color w:val="auto"/>
          <w:sz w:val="20"/>
          <w:szCs w:val="20"/>
          <w:lang w:bidi="en-US"/>
        </w:rPr>
        <w:t>competitiveness</w:t>
      </w:r>
      <w:proofErr w:type="spellEnd"/>
      <w:r w:rsidRPr="00D959F2">
        <w:rPr>
          <w:rFonts w:eastAsia="Calibri" w:cs="Times New Roman"/>
          <w:b w:val="0"/>
          <w:bCs w:val="0"/>
          <w:color w:val="auto"/>
          <w:sz w:val="20"/>
          <w:szCs w:val="20"/>
          <w:lang w:bidi="en-US"/>
        </w:rPr>
        <w:t xml:space="preserve">: Report by Mario </w:t>
      </w:r>
      <w:proofErr w:type="spellStart"/>
      <w:r w:rsidRPr="00D959F2">
        <w:rPr>
          <w:rFonts w:eastAsia="Calibri" w:cs="Times New Roman"/>
          <w:b w:val="0"/>
          <w:bCs w:val="0"/>
          <w:color w:val="auto"/>
          <w:sz w:val="20"/>
          <w:szCs w:val="20"/>
          <w:lang w:bidi="en-US"/>
        </w:rPr>
        <w:t>Draghi</w:t>
      </w:r>
      <w:proofErr w:type="spellEnd"/>
      <w:r w:rsidRPr="00D959F2">
        <w:rPr>
          <w:rFonts w:eastAsia="Calibri" w:cs="Times New Roman"/>
          <w:b w:val="0"/>
          <w:bCs w:val="0"/>
          <w:color w:val="auto"/>
          <w:sz w:val="20"/>
          <w:szCs w:val="20"/>
          <w:lang w:bidi="en-US"/>
        </w:rPr>
        <w:t xml:space="preserve"> (dostupné na: </w:t>
      </w:r>
      <w:hyperlink r:id="rId1" w:anchor="paragraph_47059" w:history="1">
        <w:r w:rsidRPr="00D959F2">
          <w:rPr>
            <w:rStyle w:val="Hypertextovodkaz"/>
            <w:rFonts w:eastAsia="Calibri" w:cs="Times New Roman"/>
            <w:b w:val="0"/>
            <w:bCs w:val="0"/>
            <w:sz w:val="20"/>
            <w:szCs w:val="20"/>
            <w:lang w:bidi="en-US"/>
          </w:rPr>
          <w:t>https://commission.europa.eu/topics/eu-competitiveness/draghi-report_en#paragraph_47059</w:t>
        </w:r>
      </w:hyperlink>
      <w:r w:rsidRPr="00D959F2">
        <w:rPr>
          <w:rFonts w:eastAsia="Calibri" w:cs="Times New Roman"/>
          <w:b w:val="0"/>
          <w:bCs w:val="0"/>
          <w:color w:val="auto"/>
          <w:sz w:val="20"/>
          <w:szCs w:val="20"/>
          <w:lang w:bidi="en-US"/>
        </w:rPr>
        <w:t>)</w:t>
      </w:r>
    </w:p>
    <w:p w14:paraId="3CCFF9E7" w14:textId="2C7BCBBE" w:rsidR="00B05592" w:rsidRDefault="00B05592">
      <w:pPr>
        <w:pStyle w:val="Textpoznpodarou"/>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BEA468" w14:textId="1D7337E9" w:rsidR="00B05592" w:rsidRPr="00A41C73" w:rsidRDefault="00B05592" w:rsidP="00A41C73">
    <w:pPr>
      <w:pStyle w:val="Zhlav"/>
      <w:jc w:val="right"/>
      <w:rPr>
        <w:b/>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3E7CE0" w14:textId="632CFCA3" w:rsidR="00B05592" w:rsidRPr="00E32EE7" w:rsidRDefault="00B05592" w:rsidP="00A41C73">
    <w:pPr>
      <w:pStyle w:val="Zhlav"/>
      <w:jc w:val="right"/>
      <w:rPr>
        <w:b/>
        <w:sz w:val="28"/>
      </w:rPr>
    </w:pPr>
    <w:r w:rsidRPr="00E32EE7">
      <w:rPr>
        <w:b/>
        <w:sz w:val="28"/>
      </w:rPr>
      <w:t>IV.</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A55C9"/>
    <w:multiLevelType w:val="multilevel"/>
    <w:tmpl w:val="D9C6306A"/>
    <w:lvl w:ilvl="0">
      <w:start w:val="1"/>
      <w:numFmt w:val="decimal"/>
      <w:lvlText w:val="%1"/>
      <w:lvlJc w:val="left"/>
      <w:pPr>
        <w:ind w:left="101" w:hanging="567"/>
      </w:pPr>
      <w:rPr>
        <w:rFonts w:hint="default"/>
      </w:rPr>
    </w:lvl>
    <w:lvl w:ilvl="1">
      <w:start w:val="1"/>
      <w:numFmt w:val="decimal"/>
      <w:lvlText w:val="%1.%2"/>
      <w:lvlJc w:val="left"/>
      <w:pPr>
        <w:ind w:left="101" w:hanging="567"/>
      </w:pPr>
      <w:rPr>
        <w:rFonts w:ascii="Arial" w:eastAsia="Arial" w:hAnsi="Arial" w:hint="default"/>
        <w:spacing w:val="1"/>
        <w:w w:val="99"/>
        <w:sz w:val="22"/>
        <w:szCs w:val="24"/>
      </w:rPr>
    </w:lvl>
    <w:lvl w:ilvl="2">
      <w:start w:val="1"/>
      <w:numFmt w:val="lowerLetter"/>
      <w:lvlText w:val="%3)"/>
      <w:lvlJc w:val="left"/>
      <w:pPr>
        <w:ind w:left="1095" w:hanging="428"/>
      </w:pPr>
      <w:rPr>
        <w:rFonts w:ascii="Arial" w:eastAsia="Arial" w:hAnsi="Arial" w:hint="default"/>
        <w:spacing w:val="1"/>
        <w:w w:val="99"/>
        <w:sz w:val="24"/>
        <w:szCs w:val="24"/>
      </w:rPr>
    </w:lvl>
    <w:lvl w:ilvl="3">
      <w:start w:val="1"/>
      <w:numFmt w:val="bullet"/>
      <w:lvlText w:val="•"/>
      <w:lvlJc w:val="left"/>
      <w:pPr>
        <w:ind w:left="2789" w:hanging="428"/>
      </w:pPr>
      <w:rPr>
        <w:rFonts w:hint="default"/>
      </w:rPr>
    </w:lvl>
    <w:lvl w:ilvl="4">
      <w:start w:val="1"/>
      <w:numFmt w:val="bullet"/>
      <w:lvlText w:val="•"/>
      <w:lvlJc w:val="left"/>
      <w:pPr>
        <w:ind w:left="3636" w:hanging="428"/>
      </w:pPr>
      <w:rPr>
        <w:rFonts w:hint="default"/>
      </w:rPr>
    </w:lvl>
    <w:lvl w:ilvl="5">
      <w:start w:val="1"/>
      <w:numFmt w:val="bullet"/>
      <w:lvlText w:val="•"/>
      <w:lvlJc w:val="left"/>
      <w:pPr>
        <w:ind w:left="4484" w:hanging="428"/>
      </w:pPr>
      <w:rPr>
        <w:rFonts w:hint="default"/>
      </w:rPr>
    </w:lvl>
    <w:lvl w:ilvl="6">
      <w:start w:val="1"/>
      <w:numFmt w:val="bullet"/>
      <w:lvlText w:val="•"/>
      <w:lvlJc w:val="left"/>
      <w:pPr>
        <w:ind w:left="5331" w:hanging="428"/>
      </w:pPr>
      <w:rPr>
        <w:rFonts w:hint="default"/>
      </w:rPr>
    </w:lvl>
    <w:lvl w:ilvl="7">
      <w:start w:val="1"/>
      <w:numFmt w:val="bullet"/>
      <w:lvlText w:val="•"/>
      <w:lvlJc w:val="left"/>
      <w:pPr>
        <w:ind w:left="6178" w:hanging="428"/>
      </w:pPr>
      <w:rPr>
        <w:rFonts w:hint="default"/>
      </w:rPr>
    </w:lvl>
    <w:lvl w:ilvl="8">
      <w:start w:val="1"/>
      <w:numFmt w:val="bullet"/>
      <w:lvlText w:val="•"/>
      <w:lvlJc w:val="left"/>
      <w:pPr>
        <w:ind w:left="7025" w:hanging="428"/>
      </w:pPr>
      <w:rPr>
        <w:rFonts w:hint="default"/>
      </w:rPr>
    </w:lvl>
  </w:abstractNum>
  <w:abstractNum w:abstractNumId="1" w15:restartNumberingAfterBreak="0">
    <w:nsid w:val="1AED21E8"/>
    <w:multiLevelType w:val="hybridMultilevel"/>
    <w:tmpl w:val="E5A2F590"/>
    <w:lvl w:ilvl="0" w:tplc="09C422B8">
      <w:start w:val="1"/>
      <w:numFmt w:val="decimal"/>
      <w:pStyle w:val="Nadpis2"/>
      <w:lvlText w:val="%1."/>
      <w:lvlJc w:val="left"/>
      <w:pPr>
        <w:ind w:left="786"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15:restartNumberingAfterBreak="0">
    <w:nsid w:val="1CBA3B90"/>
    <w:multiLevelType w:val="hybridMultilevel"/>
    <w:tmpl w:val="F5E88202"/>
    <w:lvl w:ilvl="0" w:tplc="9C562FE6">
      <w:start w:val="1"/>
      <w:numFmt w:val="upperLetter"/>
      <w:pStyle w:val="Podnadpis"/>
      <w:lvlText w:val="%1"/>
      <w:lvlJc w:val="left"/>
      <w:pPr>
        <w:ind w:left="360" w:hanging="360"/>
      </w:pPr>
      <w:rPr>
        <w:rFonts w:hint="default"/>
        <w:b/>
      </w:rPr>
    </w:lvl>
    <w:lvl w:ilvl="1" w:tplc="AC3C3008">
      <w:numFmt w:val="bullet"/>
      <w:lvlText w:val="-"/>
      <w:lvlJc w:val="left"/>
      <w:pPr>
        <w:ind w:left="1440" w:hanging="360"/>
      </w:pPr>
      <w:rPr>
        <w:rFonts w:ascii="Times New Roman" w:eastAsia="Times New Roman" w:hAnsi="Times New Roman" w:cs="Times New Roman" w:hint="default"/>
      </w:rPr>
    </w:lvl>
    <w:lvl w:ilvl="2" w:tplc="53EC0538">
      <w:start w:val="1"/>
      <w:numFmt w:val="lowerLetter"/>
      <w:lvlText w:val="%3)"/>
      <w:lvlJc w:val="left"/>
      <w:pPr>
        <w:ind w:left="2340" w:hanging="360"/>
      </w:pPr>
      <w:rPr>
        <w:rFonts w:hint="default"/>
        <w:b w:val="0"/>
        <w:i w:val="0"/>
      </w:r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1D1C752F"/>
    <w:multiLevelType w:val="hybridMultilevel"/>
    <w:tmpl w:val="D9089E0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15:restartNumberingAfterBreak="0">
    <w:nsid w:val="449D6CB0"/>
    <w:multiLevelType w:val="hybridMultilevel"/>
    <w:tmpl w:val="C3EA5D1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49E51151"/>
    <w:multiLevelType w:val="hybridMultilevel"/>
    <w:tmpl w:val="E752F66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506E5D5D"/>
    <w:multiLevelType w:val="multilevel"/>
    <w:tmpl w:val="13F26B5C"/>
    <w:lvl w:ilvl="0">
      <w:start w:val="1"/>
      <w:numFmt w:val="decimal"/>
      <w:lvlText w:val="%1."/>
      <w:lvlJc w:val="left"/>
      <w:pPr>
        <w:ind w:left="360" w:hanging="360"/>
      </w:pPr>
      <w:rPr>
        <w:rFonts w:hint="default"/>
        <w:b/>
      </w:rPr>
    </w:lvl>
    <w:lvl w:ilvl="1">
      <w:start w:val="1"/>
      <w:numFmt w:val="decimal"/>
      <w:lvlText w:val="%1.%2."/>
      <w:lvlJc w:val="left"/>
      <w:pPr>
        <w:ind w:left="792" w:hanging="432"/>
      </w:pPr>
      <w:rPr>
        <w:b/>
        <w:bCs/>
      </w:rPr>
    </w:lvl>
    <w:lvl w:ilvl="2">
      <w:start w:val="1"/>
      <w:numFmt w:val="decimal"/>
      <w:lvlText w:val="%1.%2.%3."/>
      <w:lvlJc w:val="left"/>
      <w:pPr>
        <w:ind w:left="1224" w:hanging="504"/>
      </w:pPr>
      <w:rPr>
        <w:b/>
        <w:bCs/>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61B76537"/>
    <w:multiLevelType w:val="hybridMultilevel"/>
    <w:tmpl w:val="7458B3CE"/>
    <w:lvl w:ilvl="0" w:tplc="04050001">
      <w:start w:val="1"/>
      <w:numFmt w:val="bullet"/>
      <w:lvlText w:val=""/>
      <w:lvlJc w:val="left"/>
      <w:pPr>
        <w:ind w:left="784" w:hanging="360"/>
      </w:pPr>
      <w:rPr>
        <w:rFonts w:ascii="Symbol" w:hAnsi="Symbol" w:hint="default"/>
      </w:rPr>
    </w:lvl>
    <w:lvl w:ilvl="1" w:tplc="04050003" w:tentative="1">
      <w:start w:val="1"/>
      <w:numFmt w:val="bullet"/>
      <w:lvlText w:val="o"/>
      <w:lvlJc w:val="left"/>
      <w:pPr>
        <w:ind w:left="1504" w:hanging="360"/>
      </w:pPr>
      <w:rPr>
        <w:rFonts w:ascii="Courier New" w:hAnsi="Courier New" w:cs="Courier New" w:hint="default"/>
      </w:rPr>
    </w:lvl>
    <w:lvl w:ilvl="2" w:tplc="04050005" w:tentative="1">
      <w:start w:val="1"/>
      <w:numFmt w:val="bullet"/>
      <w:lvlText w:val=""/>
      <w:lvlJc w:val="left"/>
      <w:pPr>
        <w:ind w:left="2224" w:hanging="360"/>
      </w:pPr>
      <w:rPr>
        <w:rFonts w:ascii="Wingdings" w:hAnsi="Wingdings" w:hint="default"/>
      </w:rPr>
    </w:lvl>
    <w:lvl w:ilvl="3" w:tplc="04050001" w:tentative="1">
      <w:start w:val="1"/>
      <w:numFmt w:val="bullet"/>
      <w:lvlText w:val=""/>
      <w:lvlJc w:val="left"/>
      <w:pPr>
        <w:ind w:left="2944" w:hanging="360"/>
      </w:pPr>
      <w:rPr>
        <w:rFonts w:ascii="Symbol" w:hAnsi="Symbol" w:hint="default"/>
      </w:rPr>
    </w:lvl>
    <w:lvl w:ilvl="4" w:tplc="04050003" w:tentative="1">
      <w:start w:val="1"/>
      <w:numFmt w:val="bullet"/>
      <w:lvlText w:val="o"/>
      <w:lvlJc w:val="left"/>
      <w:pPr>
        <w:ind w:left="3664" w:hanging="360"/>
      </w:pPr>
      <w:rPr>
        <w:rFonts w:ascii="Courier New" w:hAnsi="Courier New" w:cs="Courier New" w:hint="default"/>
      </w:rPr>
    </w:lvl>
    <w:lvl w:ilvl="5" w:tplc="04050005" w:tentative="1">
      <w:start w:val="1"/>
      <w:numFmt w:val="bullet"/>
      <w:lvlText w:val=""/>
      <w:lvlJc w:val="left"/>
      <w:pPr>
        <w:ind w:left="4384" w:hanging="360"/>
      </w:pPr>
      <w:rPr>
        <w:rFonts w:ascii="Wingdings" w:hAnsi="Wingdings" w:hint="default"/>
      </w:rPr>
    </w:lvl>
    <w:lvl w:ilvl="6" w:tplc="04050001" w:tentative="1">
      <w:start w:val="1"/>
      <w:numFmt w:val="bullet"/>
      <w:lvlText w:val=""/>
      <w:lvlJc w:val="left"/>
      <w:pPr>
        <w:ind w:left="5104" w:hanging="360"/>
      </w:pPr>
      <w:rPr>
        <w:rFonts w:ascii="Symbol" w:hAnsi="Symbol" w:hint="default"/>
      </w:rPr>
    </w:lvl>
    <w:lvl w:ilvl="7" w:tplc="04050003" w:tentative="1">
      <w:start w:val="1"/>
      <w:numFmt w:val="bullet"/>
      <w:lvlText w:val="o"/>
      <w:lvlJc w:val="left"/>
      <w:pPr>
        <w:ind w:left="5824" w:hanging="360"/>
      </w:pPr>
      <w:rPr>
        <w:rFonts w:ascii="Courier New" w:hAnsi="Courier New" w:cs="Courier New" w:hint="default"/>
      </w:rPr>
    </w:lvl>
    <w:lvl w:ilvl="8" w:tplc="04050005" w:tentative="1">
      <w:start w:val="1"/>
      <w:numFmt w:val="bullet"/>
      <w:lvlText w:val=""/>
      <w:lvlJc w:val="left"/>
      <w:pPr>
        <w:ind w:left="6544" w:hanging="360"/>
      </w:pPr>
      <w:rPr>
        <w:rFonts w:ascii="Wingdings" w:hAnsi="Wingdings" w:hint="default"/>
      </w:rPr>
    </w:lvl>
  </w:abstractNum>
  <w:abstractNum w:abstractNumId="8" w15:restartNumberingAfterBreak="0">
    <w:nsid w:val="67CD6D65"/>
    <w:multiLevelType w:val="hybridMultilevel"/>
    <w:tmpl w:val="FE02258C"/>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2"/>
  </w:num>
  <w:num w:numId="2">
    <w:abstractNumId w:val="1"/>
  </w:num>
  <w:num w:numId="3">
    <w:abstractNumId w:val="8"/>
  </w:num>
  <w:num w:numId="4">
    <w:abstractNumId w:val="5"/>
  </w:num>
  <w:num w:numId="5">
    <w:abstractNumId w:val="3"/>
  </w:num>
  <w:num w:numId="6">
    <w:abstractNumId w:val="1"/>
    <w:lvlOverride w:ilvl="0">
      <w:startOverride w:val="1"/>
    </w:lvlOverride>
  </w:num>
  <w:num w:numId="7">
    <w:abstractNumId w:val="1"/>
    <w:lvlOverride w:ilvl="0">
      <w:startOverride w:val="1"/>
    </w:lvlOverride>
  </w:num>
  <w:num w:numId="8">
    <w:abstractNumId w:val="4"/>
  </w:num>
  <w:num w:numId="9">
    <w:abstractNumId w:val="0"/>
  </w:num>
  <w:num w:numId="10">
    <w:abstractNumId w:val="6"/>
  </w:num>
  <w:num w:numId="11">
    <w:abstractNumId w:val="7"/>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removePersonalInformation/>
  <w:removeDateAndTime/>
  <w:proofState w:spelling="clean" w:grammar="clean"/>
  <w:defaultTabStop w:val="708"/>
  <w:hyphenationZone w:val="425"/>
  <w:characterSpacingControl w:val="doNotCompress"/>
  <w:hdrShapeDefaults>
    <o:shapedefaults v:ext="edit" spidmax="3072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NTcyNTMzNzU0MzI1MDRU0lEKTi0uzszPAykwqgUAqa1PuywAAAA="/>
  </w:docVars>
  <w:rsids>
    <w:rsidRoot w:val="000D730C"/>
    <w:rsid w:val="000010A5"/>
    <w:rsid w:val="000012CA"/>
    <w:rsid w:val="00001A28"/>
    <w:rsid w:val="00001A33"/>
    <w:rsid w:val="00001C01"/>
    <w:rsid w:val="00001E38"/>
    <w:rsid w:val="00002278"/>
    <w:rsid w:val="00003801"/>
    <w:rsid w:val="00004C13"/>
    <w:rsid w:val="0001266A"/>
    <w:rsid w:val="00014757"/>
    <w:rsid w:val="00014AEF"/>
    <w:rsid w:val="00015172"/>
    <w:rsid w:val="000166F2"/>
    <w:rsid w:val="00017C7B"/>
    <w:rsid w:val="00017FE6"/>
    <w:rsid w:val="00017FF1"/>
    <w:rsid w:val="000202A9"/>
    <w:rsid w:val="00020A8C"/>
    <w:rsid w:val="00020CC6"/>
    <w:rsid w:val="00024729"/>
    <w:rsid w:val="0002501E"/>
    <w:rsid w:val="00026AAB"/>
    <w:rsid w:val="00030DBF"/>
    <w:rsid w:val="000316C9"/>
    <w:rsid w:val="0003312B"/>
    <w:rsid w:val="000331B4"/>
    <w:rsid w:val="00034EB7"/>
    <w:rsid w:val="00035057"/>
    <w:rsid w:val="00035684"/>
    <w:rsid w:val="00035D5A"/>
    <w:rsid w:val="000361BA"/>
    <w:rsid w:val="00037A5F"/>
    <w:rsid w:val="00037E2B"/>
    <w:rsid w:val="00043642"/>
    <w:rsid w:val="000448ED"/>
    <w:rsid w:val="00046D7C"/>
    <w:rsid w:val="00051E31"/>
    <w:rsid w:val="0005319D"/>
    <w:rsid w:val="00054A35"/>
    <w:rsid w:val="00055E92"/>
    <w:rsid w:val="000571C4"/>
    <w:rsid w:val="00060794"/>
    <w:rsid w:val="00060BF5"/>
    <w:rsid w:val="00061B08"/>
    <w:rsid w:val="00065BD2"/>
    <w:rsid w:val="00066BC9"/>
    <w:rsid w:val="0007030C"/>
    <w:rsid w:val="00071334"/>
    <w:rsid w:val="000750F5"/>
    <w:rsid w:val="00075856"/>
    <w:rsid w:val="00075C9E"/>
    <w:rsid w:val="0007679F"/>
    <w:rsid w:val="0007725A"/>
    <w:rsid w:val="000803B7"/>
    <w:rsid w:val="00080C42"/>
    <w:rsid w:val="00082653"/>
    <w:rsid w:val="0008290D"/>
    <w:rsid w:val="00082CE1"/>
    <w:rsid w:val="00083CBD"/>
    <w:rsid w:val="00084ACA"/>
    <w:rsid w:val="00084F86"/>
    <w:rsid w:val="00085FD9"/>
    <w:rsid w:val="00086AA0"/>
    <w:rsid w:val="00090C5F"/>
    <w:rsid w:val="0009161E"/>
    <w:rsid w:val="00091B33"/>
    <w:rsid w:val="00091B6B"/>
    <w:rsid w:val="000940BD"/>
    <w:rsid w:val="0009429B"/>
    <w:rsid w:val="00094A07"/>
    <w:rsid w:val="0009561C"/>
    <w:rsid w:val="000960B7"/>
    <w:rsid w:val="0009612C"/>
    <w:rsid w:val="000A2A80"/>
    <w:rsid w:val="000A2A90"/>
    <w:rsid w:val="000A3E11"/>
    <w:rsid w:val="000A40DA"/>
    <w:rsid w:val="000A4840"/>
    <w:rsid w:val="000A4CDA"/>
    <w:rsid w:val="000A5A9D"/>
    <w:rsid w:val="000A64C9"/>
    <w:rsid w:val="000A7BF2"/>
    <w:rsid w:val="000B0485"/>
    <w:rsid w:val="000B04D2"/>
    <w:rsid w:val="000B0D9C"/>
    <w:rsid w:val="000B3030"/>
    <w:rsid w:val="000B4F6C"/>
    <w:rsid w:val="000B5665"/>
    <w:rsid w:val="000C150C"/>
    <w:rsid w:val="000C775D"/>
    <w:rsid w:val="000D01F3"/>
    <w:rsid w:val="000D1877"/>
    <w:rsid w:val="000D1EC9"/>
    <w:rsid w:val="000D2B9F"/>
    <w:rsid w:val="000D2D91"/>
    <w:rsid w:val="000D621C"/>
    <w:rsid w:val="000D6B75"/>
    <w:rsid w:val="000D6FA3"/>
    <w:rsid w:val="000D730C"/>
    <w:rsid w:val="000E441C"/>
    <w:rsid w:val="000E4651"/>
    <w:rsid w:val="000E4E22"/>
    <w:rsid w:val="000E79C4"/>
    <w:rsid w:val="000F3041"/>
    <w:rsid w:val="000F3B1B"/>
    <w:rsid w:val="000F3C2B"/>
    <w:rsid w:val="000F4618"/>
    <w:rsid w:val="000F4983"/>
    <w:rsid w:val="000F63F1"/>
    <w:rsid w:val="000F641E"/>
    <w:rsid w:val="000F6B31"/>
    <w:rsid w:val="000F76CA"/>
    <w:rsid w:val="001007BE"/>
    <w:rsid w:val="0010188C"/>
    <w:rsid w:val="0010256F"/>
    <w:rsid w:val="00107579"/>
    <w:rsid w:val="00107729"/>
    <w:rsid w:val="0011109E"/>
    <w:rsid w:val="00111377"/>
    <w:rsid w:val="00112676"/>
    <w:rsid w:val="00112E2B"/>
    <w:rsid w:val="00112F2A"/>
    <w:rsid w:val="00113D18"/>
    <w:rsid w:val="00115222"/>
    <w:rsid w:val="00116049"/>
    <w:rsid w:val="00117D33"/>
    <w:rsid w:val="00120E8E"/>
    <w:rsid w:val="00123090"/>
    <w:rsid w:val="00123092"/>
    <w:rsid w:val="00124023"/>
    <w:rsid w:val="001244A1"/>
    <w:rsid w:val="001258D8"/>
    <w:rsid w:val="00125E05"/>
    <w:rsid w:val="00126AE6"/>
    <w:rsid w:val="00131AD4"/>
    <w:rsid w:val="00132A68"/>
    <w:rsid w:val="00133365"/>
    <w:rsid w:val="0013368C"/>
    <w:rsid w:val="00133EBC"/>
    <w:rsid w:val="001357F7"/>
    <w:rsid w:val="00140010"/>
    <w:rsid w:val="00142D86"/>
    <w:rsid w:val="0014386C"/>
    <w:rsid w:val="00146D56"/>
    <w:rsid w:val="001478B7"/>
    <w:rsid w:val="001511FA"/>
    <w:rsid w:val="00151702"/>
    <w:rsid w:val="00152CC3"/>
    <w:rsid w:val="001540CD"/>
    <w:rsid w:val="0015675A"/>
    <w:rsid w:val="00160629"/>
    <w:rsid w:val="00161D55"/>
    <w:rsid w:val="00161E7A"/>
    <w:rsid w:val="001640DD"/>
    <w:rsid w:val="00164607"/>
    <w:rsid w:val="00165198"/>
    <w:rsid w:val="00165B3D"/>
    <w:rsid w:val="001675E7"/>
    <w:rsid w:val="001676DB"/>
    <w:rsid w:val="00167840"/>
    <w:rsid w:val="00170B51"/>
    <w:rsid w:val="00174B08"/>
    <w:rsid w:val="00174B79"/>
    <w:rsid w:val="001759E0"/>
    <w:rsid w:val="00175D8F"/>
    <w:rsid w:val="001769CB"/>
    <w:rsid w:val="00177160"/>
    <w:rsid w:val="00177252"/>
    <w:rsid w:val="00177302"/>
    <w:rsid w:val="00180534"/>
    <w:rsid w:val="001814C2"/>
    <w:rsid w:val="00182048"/>
    <w:rsid w:val="00185812"/>
    <w:rsid w:val="00185D4B"/>
    <w:rsid w:val="00191B1C"/>
    <w:rsid w:val="00191D71"/>
    <w:rsid w:val="0019226F"/>
    <w:rsid w:val="00192579"/>
    <w:rsid w:val="001927D3"/>
    <w:rsid w:val="001939AD"/>
    <w:rsid w:val="00193AF9"/>
    <w:rsid w:val="0019419C"/>
    <w:rsid w:val="001943E1"/>
    <w:rsid w:val="00194F42"/>
    <w:rsid w:val="001960E2"/>
    <w:rsid w:val="00196BFD"/>
    <w:rsid w:val="00197603"/>
    <w:rsid w:val="001A0B92"/>
    <w:rsid w:val="001A15F5"/>
    <w:rsid w:val="001A22F2"/>
    <w:rsid w:val="001A494F"/>
    <w:rsid w:val="001A5515"/>
    <w:rsid w:val="001A6EFF"/>
    <w:rsid w:val="001A7616"/>
    <w:rsid w:val="001A7C1F"/>
    <w:rsid w:val="001A7C86"/>
    <w:rsid w:val="001B0475"/>
    <w:rsid w:val="001B28C9"/>
    <w:rsid w:val="001B4C8C"/>
    <w:rsid w:val="001C2439"/>
    <w:rsid w:val="001C2E57"/>
    <w:rsid w:val="001C32A7"/>
    <w:rsid w:val="001C3815"/>
    <w:rsid w:val="001C3B78"/>
    <w:rsid w:val="001C627E"/>
    <w:rsid w:val="001C6F9C"/>
    <w:rsid w:val="001D0741"/>
    <w:rsid w:val="001D29DE"/>
    <w:rsid w:val="001D2B4D"/>
    <w:rsid w:val="001D37EA"/>
    <w:rsid w:val="001D5A41"/>
    <w:rsid w:val="001D5C05"/>
    <w:rsid w:val="001D642C"/>
    <w:rsid w:val="001D7407"/>
    <w:rsid w:val="001D7BB3"/>
    <w:rsid w:val="001E149A"/>
    <w:rsid w:val="001E3FD8"/>
    <w:rsid w:val="001E4ACE"/>
    <w:rsid w:val="001E64B2"/>
    <w:rsid w:val="001E6E42"/>
    <w:rsid w:val="001F43C9"/>
    <w:rsid w:val="001F536F"/>
    <w:rsid w:val="001F60B8"/>
    <w:rsid w:val="001F6749"/>
    <w:rsid w:val="002005CE"/>
    <w:rsid w:val="00200DBA"/>
    <w:rsid w:val="002015AA"/>
    <w:rsid w:val="00202744"/>
    <w:rsid w:val="00202AE5"/>
    <w:rsid w:val="00204AB5"/>
    <w:rsid w:val="00204D23"/>
    <w:rsid w:val="002067A4"/>
    <w:rsid w:val="002073E7"/>
    <w:rsid w:val="0021054A"/>
    <w:rsid w:val="00210A2A"/>
    <w:rsid w:val="0021320F"/>
    <w:rsid w:val="00213A85"/>
    <w:rsid w:val="00215DED"/>
    <w:rsid w:val="00215E22"/>
    <w:rsid w:val="00216358"/>
    <w:rsid w:val="00224888"/>
    <w:rsid w:val="00224FA0"/>
    <w:rsid w:val="002257EC"/>
    <w:rsid w:val="00225ACD"/>
    <w:rsid w:val="002266BA"/>
    <w:rsid w:val="00226BE7"/>
    <w:rsid w:val="00231B8A"/>
    <w:rsid w:val="002333C4"/>
    <w:rsid w:val="002358AE"/>
    <w:rsid w:val="002360BA"/>
    <w:rsid w:val="00237677"/>
    <w:rsid w:val="002408CA"/>
    <w:rsid w:val="00242D3B"/>
    <w:rsid w:val="00245BF7"/>
    <w:rsid w:val="00245CF7"/>
    <w:rsid w:val="00245EFE"/>
    <w:rsid w:val="0024696F"/>
    <w:rsid w:val="002508A9"/>
    <w:rsid w:val="002525A5"/>
    <w:rsid w:val="00254328"/>
    <w:rsid w:val="00260071"/>
    <w:rsid w:val="00263482"/>
    <w:rsid w:val="00264D92"/>
    <w:rsid w:val="0026516A"/>
    <w:rsid w:val="00266460"/>
    <w:rsid w:val="00270E45"/>
    <w:rsid w:val="00271252"/>
    <w:rsid w:val="0027342F"/>
    <w:rsid w:val="00274F41"/>
    <w:rsid w:val="00275002"/>
    <w:rsid w:val="00275781"/>
    <w:rsid w:val="00275A80"/>
    <w:rsid w:val="0027631B"/>
    <w:rsid w:val="00276C11"/>
    <w:rsid w:val="00276D14"/>
    <w:rsid w:val="00276DBD"/>
    <w:rsid w:val="00276F3E"/>
    <w:rsid w:val="00281A03"/>
    <w:rsid w:val="00290655"/>
    <w:rsid w:val="00290DC9"/>
    <w:rsid w:val="0029176F"/>
    <w:rsid w:val="0029199F"/>
    <w:rsid w:val="00293F3F"/>
    <w:rsid w:val="002965A0"/>
    <w:rsid w:val="00297FB6"/>
    <w:rsid w:val="002A0592"/>
    <w:rsid w:val="002A2EC8"/>
    <w:rsid w:val="002A441A"/>
    <w:rsid w:val="002A7466"/>
    <w:rsid w:val="002A7920"/>
    <w:rsid w:val="002B378D"/>
    <w:rsid w:val="002B5E64"/>
    <w:rsid w:val="002B6570"/>
    <w:rsid w:val="002B6988"/>
    <w:rsid w:val="002C04DD"/>
    <w:rsid w:val="002C092B"/>
    <w:rsid w:val="002C2214"/>
    <w:rsid w:val="002C3C2A"/>
    <w:rsid w:val="002C4480"/>
    <w:rsid w:val="002C456C"/>
    <w:rsid w:val="002C4B3F"/>
    <w:rsid w:val="002C5970"/>
    <w:rsid w:val="002C5B21"/>
    <w:rsid w:val="002C6BC2"/>
    <w:rsid w:val="002C71C7"/>
    <w:rsid w:val="002C732A"/>
    <w:rsid w:val="002C75D7"/>
    <w:rsid w:val="002C7C58"/>
    <w:rsid w:val="002C7C9A"/>
    <w:rsid w:val="002D01D6"/>
    <w:rsid w:val="002D407C"/>
    <w:rsid w:val="002D4DC2"/>
    <w:rsid w:val="002D6491"/>
    <w:rsid w:val="002D703F"/>
    <w:rsid w:val="002D7A0A"/>
    <w:rsid w:val="002D7CF9"/>
    <w:rsid w:val="002E104F"/>
    <w:rsid w:val="002E123C"/>
    <w:rsid w:val="002E16F9"/>
    <w:rsid w:val="002E307B"/>
    <w:rsid w:val="002E35C1"/>
    <w:rsid w:val="002E5B83"/>
    <w:rsid w:val="002E7198"/>
    <w:rsid w:val="002E72DB"/>
    <w:rsid w:val="002F152B"/>
    <w:rsid w:val="002F1809"/>
    <w:rsid w:val="002F241D"/>
    <w:rsid w:val="002F2D37"/>
    <w:rsid w:val="002F2DB7"/>
    <w:rsid w:val="002F5847"/>
    <w:rsid w:val="002F6504"/>
    <w:rsid w:val="002F6633"/>
    <w:rsid w:val="002F6D1D"/>
    <w:rsid w:val="002F700B"/>
    <w:rsid w:val="002F719C"/>
    <w:rsid w:val="003002CD"/>
    <w:rsid w:val="00300363"/>
    <w:rsid w:val="00301173"/>
    <w:rsid w:val="003031BB"/>
    <w:rsid w:val="0030423B"/>
    <w:rsid w:val="003044AC"/>
    <w:rsid w:val="00305816"/>
    <w:rsid w:val="00305EE8"/>
    <w:rsid w:val="00313FD6"/>
    <w:rsid w:val="0031405B"/>
    <w:rsid w:val="00314D11"/>
    <w:rsid w:val="00315F48"/>
    <w:rsid w:val="0031715E"/>
    <w:rsid w:val="00322A54"/>
    <w:rsid w:val="003255B8"/>
    <w:rsid w:val="003271E7"/>
    <w:rsid w:val="00327640"/>
    <w:rsid w:val="00330ABC"/>
    <w:rsid w:val="003312D7"/>
    <w:rsid w:val="0033136E"/>
    <w:rsid w:val="00332D0B"/>
    <w:rsid w:val="00334EBC"/>
    <w:rsid w:val="00335122"/>
    <w:rsid w:val="003360E9"/>
    <w:rsid w:val="0034052E"/>
    <w:rsid w:val="0035026C"/>
    <w:rsid w:val="00352384"/>
    <w:rsid w:val="00355013"/>
    <w:rsid w:val="00355354"/>
    <w:rsid w:val="003568A7"/>
    <w:rsid w:val="00357816"/>
    <w:rsid w:val="00360D35"/>
    <w:rsid w:val="003613D4"/>
    <w:rsid w:val="00365B04"/>
    <w:rsid w:val="0036672B"/>
    <w:rsid w:val="00366BCE"/>
    <w:rsid w:val="00370222"/>
    <w:rsid w:val="003702FA"/>
    <w:rsid w:val="00371134"/>
    <w:rsid w:val="00373551"/>
    <w:rsid w:val="00377654"/>
    <w:rsid w:val="003800AB"/>
    <w:rsid w:val="003804BC"/>
    <w:rsid w:val="0038081A"/>
    <w:rsid w:val="0038202A"/>
    <w:rsid w:val="00385BCD"/>
    <w:rsid w:val="003873F0"/>
    <w:rsid w:val="00387CBA"/>
    <w:rsid w:val="00393687"/>
    <w:rsid w:val="003A0DD2"/>
    <w:rsid w:val="003A53F2"/>
    <w:rsid w:val="003A6A14"/>
    <w:rsid w:val="003A6C09"/>
    <w:rsid w:val="003A6D73"/>
    <w:rsid w:val="003A7322"/>
    <w:rsid w:val="003A7C31"/>
    <w:rsid w:val="003A7EF5"/>
    <w:rsid w:val="003B03D6"/>
    <w:rsid w:val="003B0C4B"/>
    <w:rsid w:val="003B0C74"/>
    <w:rsid w:val="003B19E3"/>
    <w:rsid w:val="003B412F"/>
    <w:rsid w:val="003B4379"/>
    <w:rsid w:val="003B4BDA"/>
    <w:rsid w:val="003B6032"/>
    <w:rsid w:val="003B6BE8"/>
    <w:rsid w:val="003B7721"/>
    <w:rsid w:val="003C1B3E"/>
    <w:rsid w:val="003C1E58"/>
    <w:rsid w:val="003C45AA"/>
    <w:rsid w:val="003C7BCB"/>
    <w:rsid w:val="003C7E0C"/>
    <w:rsid w:val="003D1C5B"/>
    <w:rsid w:val="003D3E68"/>
    <w:rsid w:val="003D45D2"/>
    <w:rsid w:val="003D6C18"/>
    <w:rsid w:val="003D78D6"/>
    <w:rsid w:val="003D7953"/>
    <w:rsid w:val="003E0916"/>
    <w:rsid w:val="003E1636"/>
    <w:rsid w:val="003E3686"/>
    <w:rsid w:val="003E5CC4"/>
    <w:rsid w:val="003E5E39"/>
    <w:rsid w:val="003E653E"/>
    <w:rsid w:val="003E6DDC"/>
    <w:rsid w:val="003E6F1C"/>
    <w:rsid w:val="003E7407"/>
    <w:rsid w:val="003F106F"/>
    <w:rsid w:val="003F3521"/>
    <w:rsid w:val="003F4BE7"/>
    <w:rsid w:val="003F4C56"/>
    <w:rsid w:val="003F5359"/>
    <w:rsid w:val="003F53C7"/>
    <w:rsid w:val="003F6B91"/>
    <w:rsid w:val="003F7B4D"/>
    <w:rsid w:val="00400F7D"/>
    <w:rsid w:val="00402CC8"/>
    <w:rsid w:val="00403CDA"/>
    <w:rsid w:val="004050CB"/>
    <w:rsid w:val="004061C3"/>
    <w:rsid w:val="004065CF"/>
    <w:rsid w:val="0041209A"/>
    <w:rsid w:val="00412D3B"/>
    <w:rsid w:val="0041349E"/>
    <w:rsid w:val="004156EA"/>
    <w:rsid w:val="004169EF"/>
    <w:rsid w:val="00420F57"/>
    <w:rsid w:val="0042154C"/>
    <w:rsid w:val="004224F9"/>
    <w:rsid w:val="004225C7"/>
    <w:rsid w:val="0042293A"/>
    <w:rsid w:val="00423A45"/>
    <w:rsid w:val="00426929"/>
    <w:rsid w:val="00430FEB"/>
    <w:rsid w:val="004340FC"/>
    <w:rsid w:val="00435EF2"/>
    <w:rsid w:val="004424A6"/>
    <w:rsid w:val="00442FCC"/>
    <w:rsid w:val="004435B9"/>
    <w:rsid w:val="00445163"/>
    <w:rsid w:val="00446858"/>
    <w:rsid w:val="00446AFE"/>
    <w:rsid w:val="00446CBA"/>
    <w:rsid w:val="00447319"/>
    <w:rsid w:val="00450E65"/>
    <w:rsid w:val="00452443"/>
    <w:rsid w:val="00452630"/>
    <w:rsid w:val="00453583"/>
    <w:rsid w:val="004540A7"/>
    <w:rsid w:val="00454FD5"/>
    <w:rsid w:val="0045557F"/>
    <w:rsid w:val="0045743E"/>
    <w:rsid w:val="0046076C"/>
    <w:rsid w:val="00460FEC"/>
    <w:rsid w:val="00464FAE"/>
    <w:rsid w:val="0046535D"/>
    <w:rsid w:val="00465F78"/>
    <w:rsid w:val="004706CC"/>
    <w:rsid w:val="004711A3"/>
    <w:rsid w:val="00474640"/>
    <w:rsid w:val="0047749C"/>
    <w:rsid w:val="00477A39"/>
    <w:rsid w:val="00477FD2"/>
    <w:rsid w:val="004805C9"/>
    <w:rsid w:val="0048070A"/>
    <w:rsid w:val="0048110F"/>
    <w:rsid w:val="004829FB"/>
    <w:rsid w:val="00483004"/>
    <w:rsid w:val="004841C9"/>
    <w:rsid w:val="00484732"/>
    <w:rsid w:val="004854A7"/>
    <w:rsid w:val="004855C6"/>
    <w:rsid w:val="00485C33"/>
    <w:rsid w:val="00486F2D"/>
    <w:rsid w:val="004911CA"/>
    <w:rsid w:val="00492DD8"/>
    <w:rsid w:val="0049397C"/>
    <w:rsid w:val="00493A5B"/>
    <w:rsid w:val="004954EF"/>
    <w:rsid w:val="00495E9C"/>
    <w:rsid w:val="00495FB5"/>
    <w:rsid w:val="0049768D"/>
    <w:rsid w:val="00497BE3"/>
    <w:rsid w:val="004A04EA"/>
    <w:rsid w:val="004A07D9"/>
    <w:rsid w:val="004A0D4F"/>
    <w:rsid w:val="004A315C"/>
    <w:rsid w:val="004A40F3"/>
    <w:rsid w:val="004A4CA1"/>
    <w:rsid w:val="004A7466"/>
    <w:rsid w:val="004B2CDD"/>
    <w:rsid w:val="004B3660"/>
    <w:rsid w:val="004B4514"/>
    <w:rsid w:val="004B45DE"/>
    <w:rsid w:val="004B47DD"/>
    <w:rsid w:val="004B55C6"/>
    <w:rsid w:val="004C0939"/>
    <w:rsid w:val="004C09AD"/>
    <w:rsid w:val="004C21A7"/>
    <w:rsid w:val="004C2997"/>
    <w:rsid w:val="004C36F4"/>
    <w:rsid w:val="004C404D"/>
    <w:rsid w:val="004C5273"/>
    <w:rsid w:val="004C52E2"/>
    <w:rsid w:val="004C6E68"/>
    <w:rsid w:val="004C7123"/>
    <w:rsid w:val="004C7D6F"/>
    <w:rsid w:val="004C7F57"/>
    <w:rsid w:val="004D07A3"/>
    <w:rsid w:val="004D2103"/>
    <w:rsid w:val="004D2C75"/>
    <w:rsid w:val="004D5BC6"/>
    <w:rsid w:val="004D7273"/>
    <w:rsid w:val="004E09EC"/>
    <w:rsid w:val="004E148B"/>
    <w:rsid w:val="004E5555"/>
    <w:rsid w:val="004E614F"/>
    <w:rsid w:val="004F0047"/>
    <w:rsid w:val="004F3724"/>
    <w:rsid w:val="004F3D6E"/>
    <w:rsid w:val="004F3FB7"/>
    <w:rsid w:val="004F4356"/>
    <w:rsid w:val="004F4720"/>
    <w:rsid w:val="004F7167"/>
    <w:rsid w:val="0050025F"/>
    <w:rsid w:val="00500465"/>
    <w:rsid w:val="005012BE"/>
    <w:rsid w:val="00501DFE"/>
    <w:rsid w:val="00503C81"/>
    <w:rsid w:val="00504542"/>
    <w:rsid w:val="00504E31"/>
    <w:rsid w:val="00507838"/>
    <w:rsid w:val="005104DF"/>
    <w:rsid w:val="00510A6E"/>
    <w:rsid w:val="005115D5"/>
    <w:rsid w:val="00512331"/>
    <w:rsid w:val="00513A61"/>
    <w:rsid w:val="0051448F"/>
    <w:rsid w:val="0051507F"/>
    <w:rsid w:val="00515735"/>
    <w:rsid w:val="00516529"/>
    <w:rsid w:val="005205D3"/>
    <w:rsid w:val="005221BD"/>
    <w:rsid w:val="00524485"/>
    <w:rsid w:val="00524703"/>
    <w:rsid w:val="00524B31"/>
    <w:rsid w:val="00525482"/>
    <w:rsid w:val="0052594A"/>
    <w:rsid w:val="00525E12"/>
    <w:rsid w:val="0052680A"/>
    <w:rsid w:val="00530674"/>
    <w:rsid w:val="0053125A"/>
    <w:rsid w:val="005340BA"/>
    <w:rsid w:val="00534F02"/>
    <w:rsid w:val="0053566E"/>
    <w:rsid w:val="00535B04"/>
    <w:rsid w:val="00535FF4"/>
    <w:rsid w:val="00536BDA"/>
    <w:rsid w:val="0053716C"/>
    <w:rsid w:val="0053720C"/>
    <w:rsid w:val="00537CB3"/>
    <w:rsid w:val="005408D8"/>
    <w:rsid w:val="0054159A"/>
    <w:rsid w:val="00541B3E"/>
    <w:rsid w:val="00541ECF"/>
    <w:rsid w:val="0054557B"/>
    <w:rsid w:val="00545960"/>
    <w:rsid w:val="00546524"/>
    <w:rsid w:val="005468B2"/>
    <w:rsid w:val="00547483"/>
    <w:rsid w:val="005478E9"/>
    <w:rsid w:val="005523BA"/>
    <w:rsid w:val="005523E6"/>
    <w:rsid w:val="00552F4E"/>
    <w:rsid w:val="00554B80"/>
    <w:rsid w:val="00554EE6"/>
    <w:rsid w:val="00557A7D"/>
    <w:rsid w:val="005618ED"/>
    <w:rsid w:val="00561D99"/>
    <w:rsid w:val="00563210"/>
    <w:rsid w:val="005637BD"/>
    <w:rsid w:val="005643C4"/>
    <w:rsid w:val="00564446"/>
    <w:rsid w:val="00564E81"/>
    <w:rsid w:val="00564EA9"/>
    <w:rsid w:val="00564EE9"/>
    <w:rsid w:val="00570374"/>
    <w:rsid w:val="0057038F"/>
    <w:rsid w:val="005738E7"/>
    <w:rsid w:val="00574365"/>
    <w:rsid w:val="00574AE3"/>
    <w:rsid w:val="00575CC6"/>
    <w:rsid w:val="005806FD"/>
    <w:rsid w:val="00582127"/>
    <w:rsid w:val="005844B2"/>
    <w:rsid w:val="00584DA7"/>
    <w:rsid w:val="00585826"/>
    <w:rsid w:val="0058684B"/>
    <w:rsid w:val="005871A5"/>
    <w:rsid w:val="005908B2"/>
    <w:rsid w:val="00591E07"/>
    <w:rsid w:val="00592459"/>
    <w:rsid w:val="005952D0"/>
    <w:rsid w:val="00595907"/>
    <w:rsid w:val="0059687E"/>
    <w:rsid w:val="005A04B3"/>
    <w:rsid w:val="005A234A"/>
    <w:rsid w:val="005A4C5A"/>
    <w:rsid w:val="005A7EAE"/>
    <w:rsid w:val="005B02AA"/>
    <w:rsid w:val="005B03EE"/>
    <w:rsid w:val="005B1754"/>
    <w:rsid w:val="005B3029"/>
    <w:rsid w:val="005B3A6E"/>
    <w:rsid w:val="005B3C29"/>
    <w:rsid w:val="005B4ADA"/>
    <w:rsid w:val="005B6883"/>
    <w:rsid w:val="005C24D7"/>
    <w:rsid w:val="005C32AF"/>
    <w:rsid w:val="005C35C9"/>
    <w:rsid w:val="005C434E"/>
    <w:rsid w:val="005C51E2"/>
    <w:rsid w:val="005C740C"/>
    <w:rsid w:val="005D060F"/>
    <w:rsid w:val="005D09E2"/>
    <w:rsid w:val="005D17CC"/>
    <w:rsid w:val="005D1BFD"/>
    <w:rsid w:val="005D372C"/>
    <w:rsid w:val="005D560A"/>
    <w:rsid w:val="005D6503"/>
    <w:rsid w:val="005E1106"/>
    <w:rsid w:val="005E1589"/>
    <w:rsid w:val="005E1C1E"/>
    <w:rsid w:val="005E1C5C"/>
    <w:rsid w:val="005E1ED0"/>
    <w:rsid w:val="005E2656"/>
    <w:rsid w:val="005E3314"/>
    <w:rsid w:val="005E57DD"/>
    <w:rsid w:val="005E594A"/>
    <w:rsid w:val="005E6C6F"/>
    <w:rsid w:val="005E6E5F"/>
    <w:rsid w:val="005E6EC2"/>
    <w:rsid w:val="005E75B3"/>
    <w:rsid w:val="005E7BE9"/>
    <w:rsid w:val="005F1602"/>
    <w:rsid w:val="005F294A"/>
    <w:rsid w:val="005F3CC2"/>
    <w:rsid w:val="005F4048"/>
    <w:rsid w:val="005F489B"/>
    <w:rsid w:val="005F499C"/>
    <w:rsid w:val="005F5A8F"/>
    <w:rsid w:val="006000ED"/>
    <w:rsid w:val="006007F5"/>
    <w:rsid w:val="00601353"/>
    <w:rsid w:val="0060342E"/>
    <w:rsid w:val="00603625"/>
    <w:rsid w:val="00604800"/>
    <w:rsid w:val="006071B8"/>
    <w:rsid w:val="00607CEF"/>
    <w:rsid w:val="00610642"/>
    <w:rsid w:val="00612356"/>
    <w:rsid w:val="006133AC"/>
    <w:rsid w:val="00620843"/>
    <w:rsid w:val="006223F0"/>
    <w:rsid w:val="00623D21"/>
    <w:rsid w:val="00624659"/>
    <w:rsid w:val="00624A22"/>
    <w:rsid w:val="006257BC"/>
    <w:rsid w:val="00626821"/>
    <w:rsid w:val="00627BA3"/>
    <w:rsid w:val="00632676"/>
    <w:rsid w:val="00634AA1"/>
    <w:rsid w:val="00635774"/>
    <w:rsid w:val="006357EB"/>
    <w:rsid w:val="00635A8A"/>
    <w:rsid w:val="006400B2"/>
    <w:rsid w:val="00640394"/>
    <w:rsid w:val="006403ED"/>
    <w:rsid w:val="00641549"/>
    <w:rsid w:val="006424D1"/>
    <w:rsid w:val="00642CD5"/>
    <w:rsid w:val="0064620D"/>
    <w:rsid w:val="00647C7F"/>
    <w:rsid w:val="00650A5F"/>
    <w:rsid w:val="00651176"/>
    <w:rsid w:val="00651D17"/>
    <w:rsid w:val="006543DF"/>
    <w:rsid w:val="00654B40"/>
    <w:rsid w:val="006572C8"/>
    <w:rsid w:val="006576BC"/>
    <w:rsid w:val="00657914"/>
    <w:rsid w:val="00660214"/>
    <w:rsid w:val="0066027E"/>
    <w:rsid w:val="00661C45"/>
    <w:rsid w:val="00662C42"/>
    <w:rsid w:val="0066400E"/>
    <w:rsid w:val="00665146"/>
    <w:rsid w:val="00665D8D"/>
    <w:rsid w:val="006667D2"/>
    <w:rsid w:val="00666CA4"/>
    <w:rsid w:val="00667930"/>
    <w:rsid w:val="006708F5"/>
    <w:rsid w:val="006711E3"/>
    <w:rsid w:val="00673784"/>
    <w:rsid w:val="00675C35"/>
    <w:rsid w:val="00677016"/>
    <w:rsid w:val="00680AE5"/>
    <w:rsid w:val="006817E1"/>
    <w:rsid w:val="0068198A"/>
    <w:rsid w:val="00683AB2"/>
    <w:rsid w:val="00683E7A"/>
    <w:rsid w:val="00685355"/>
    <w:rsid w:val="00686A76"/>
    <w:rsid w:val="00686EA8"/>
    <w:rsid w:val="006876F2"/>
    <w:rsid w:val="00690B6D"/>
    <w:rsid w:val="006914C5"/>
    <w:rsid w:val="00691A8A"/>
    <w:rsid w:val="00692306"/>
    <w:rsid w:val="00692B47"/>
    <w:rsid w:val="00693081"/>
    <w:rsid w:val="006934EA"/>
    <w:rsid w:val="00694E1B"/>
    <w:rsid w:val="0069607D"/>
    <w:rsid w:val="00697442"/>
    <w:rsid w:val="006A0E91"/>
    <w:rsid w:val="006A306D"/>
    <w:rsid w:val="006A5F2A"/>
    <w:rsid w:val="006B0A6D"/>
    <w:rsid w:val="006B0CDA"/>
    <w:rsid w:val="006B1A92"/>
    <w:rsid w:val="006B1FFE"/>
    <w:rsid w:val="006B211F"/>
    <w:rsid w:val="006B3943"/>
    <w:rsid w:val="006B3F08"/>
    <w:rsid w:val="006B437B"/>
    <w:rsid w:val="006B44EA"/>
    <w:rsid w:val="006B4C06"/>
    <w:rsid w:val="006B7FF8"/>
    <w:rsid w:val="006C27F7"/>
    <w:rsid w:val="006C2EC2"/>
    <w:rsid w:val="006C70ED"/>
    <w:rsid w:val="006C7CC6"/>
    <w:rsid w:val="006D06BB"/>
    <w:rsid w:val="006D0A90"/>
    <w:rsid w:val="006D0E70"/>
    <w:rsid w:val="006D5E46"/>
    <w:rsid w:val="006E3746"/>
    <w:rsid w:val="006E3E27"/>
    <w:rsid w:val="006E71E2"/>
    <w:rsid w:val="006E7DB1"/>
    <w:rsid w:val="006F0E09"/>
    <w:rsid w:val="006F0F28"/>
    <w:rsid w:val="006F154D"/>
    <w:rsid w:val="006F405D"/>
    <w:rsid w:val="006F55C4"/>
    <w:rsid w:val="006F766D"/>
    <w:rsid w:val="00701312"/>
    <w:rsid w:val="00701A03"/>
    <w:rsid w:val="00701ABC"/>
    <w:rsid w:val="00702FDE"/>
    <w:rsid w:val="007043E9"/>
    <w:rsid w:val="007044DC"/>
    <w:rsid w:val="00704EDA"/>
    <w:rsid w:val="00705DA4"/>
    <w:rsid w:val="00707343"/>
    <w:rsid w:val="00707827"/>
    <w:rsid w:val="00710694"/>
    <w:rsid w:val="00710B08"/>
    <w:rsid w:val="00710FBD"/>
    <w:rsid w:val="00712169"/>
    <w:rsid w:val="00713214"/>
    <w:rsid w:val="00713AA4"/>
    <w:rsid w:val="00714392"/>
    <w:rsid w:val="00715D3D"/>
    <w:rsid w:val="00716464"/>
    <w:rsid w:val="007172A0"/>
    <w:rsid w:val="00720409"/>
    <w:rsid w:val="00731891"/>
    <w:rsid w:val="00731F99"/>
    <w:rsid w:val="00734FD5"/>
    <w:rsid w:val="00735789"/>
    <w:rsid w:val="007361CB"/>
    <w:rsid w:val="00736DB5"/>
    <w:rsid w:val="0073750F"/>
    <w:rsid w:val="00741526"/>
    <w:rsid w:val="00741F6C"/>
    <w:rsid w:val="00744401"/>
    <w:rsid w:val="00744BDD"/>
    <w:rsid w:val="00747484"/>
    <w:rsid w:val="00750812"/>
    <w:rsid w:val="00751DBC"/>
    <w:rsid w:val="0075290D"/>
    <w:rsid w:val="00753960"/>
    <w:rsid w:val="007547F9"/>
    <w:rsid w:val="007572C0"/>
    <w:rsid w:val="0076209F"/>
    <w:rsid w:val="0076268D"/>
    <w:rsid w:val="00762927"/>
    <w:rsid w:val="0076356A"/>
    <w:rsid w:val="00764B26"/>
    <w:rsid w:val="007706CA"/>
    <w:rsid w:val="00770E9C"/>
    <w:rsid w:val="00771DD7"/>
    <w:rsid w:val="007741B2"/>
    <w:rsid w:val="007748DB"/>
    <w:rsid w:val="00775655"/>
    <w:rsid w:val="00775713"/>
    <w:rsid w:val="00776DD6"/>
    <w:rsid w:val="007776E7"/>
    <w:rsid w:val="00780F3A"/>
    <w:rsid w:val="007819FD"/>
    <w:rsid w:val="00782414"/>
    <w:rsid w:val="00783C37"/>
    <w:rsid w:val="007858EA"/>
    <w:rsid w:val="007868E7"/>
    <w:rsid w:val="0078766A"/>
    <w:rsid w:val="007923FF"/>
    <w:rsid w:val="007960F1"/>
    <w:rsid w:val="007962F8"/>
    <w:rsid w:val="0079719F"/>
    <w:rsid w:val="0079768C"/>
    <w:rsid w:val="007A16C8"/>
    <w:rsid w:val="007A25A0"/>
    <w:rsid w:val="007A25B5"/>
    <w:rsid w:val="007A2FE2"/>
    <w:rsid w:val="007A5B3B"/>
    <w:rsid w:val="007A5C8B"/>
    <w:rsid w:val="007A7196"/>
    <w:rsid w:val="007A74F3"/>
    <w:rsid w:val="007B1AF2"/>
    <w:rsid w:val="007B1FF3"/>
    <w:rsid w:val="007B3496"/>
    <w:rsid w:val="007B379E"/>
    <w:rsid w:val="007B4393"/>
    <w:rsid w:val="007B49FE"/>
    <w:rsid w:val="007B65BB"/>
    <w:rsid w:val="007B6751"/>
    <w:rsid w:val="007B7563"/>
    <w:rsid w:val="007C1DC5"/>
    <w:rsid w:val="007C42D2"/>
    <w:rsid w:val="007C7E3F"/>
    <w:rsid w:val="007D0C1F"/>
    <w:rsid w:val="007D31BA"/>
    <w:rsid w:val="007D3AC6"/>
    <w:rsid w:val="007D5834"/>
    <w:rsid w:val="007D58C7"/>
    <w:rsid w:val="007E0E9D"/>
    <w:rsid w:val="007E10AA"/>
    <w:rsid w:val="007E28A8"/>
    <w:rsid w:val="007E3544"/>
    <w:rsid w:val="007E50B7"/>
    <w:rsid w:val="007E5D8A"/>
    <w:rsid w:val="007F0630"/>
    <w:rsid w:val="007F0DA5"/>
    <w:rsid w:val="007F164F"/>
    <w:rsid w:val="007F171B"/>
    <w:rsid w:val="007F1AB2"/>
    <w:rsid w:val="007F2862"/>
    <w:rsid w:val="007F2BB4"/>
    <w:rsid w:val="007F334B"/>
    <w:rsid w:val="00800042"/>
    <w:rsid w:val="0080265E"/>
    <w:rsid w:val="008031D8"/>
    <w:rsid w:val="0080330A"/>
    <w:rsid w:val="00803C27"/>
    <w:rsid w:val="00804133"/>
    <w:rsid w:val="00804384"/>
    <w:rsid w:val="008046FD"/>
    <w:rsid w:val="00805900"/>
    <w:rsid w:val="00806B3F"/>
    <w:rsid w:val="008128F4"/>
    <w:rsid w:val="00814E2F"/>
    <w:rsid w:val="00820DE6"/>
    <w:rsid w:val="00822396"/>
    <w:rsid w:val="00824146"/>
    <w:rsid w:val="00826C1F"/>
    <w:rsid w:val="00830E55"/>
    <w:rsid w:val="008310D3"/>
    <w:rsid w:val="008314E2"/>
    <w:rsid w:val="00833DBC"/>
    <w:rsid w:val="00835F31"/>
    <w:rsid w:val="00841D0E"/>
    <w:rsid w:val="008435E3"/>
    <w:rsid w:val="00844174"/>
    <w:rsid w:val="00845AF9"/>
    <w:rsid w:val="008464AD"/>
    <w:rsid w:val="0084726B"/>
    <w:rsid w:val="00847785"/>
    <w:rsid w:val="00847AF5"/>
    <w:rsid w:val="00847B01"/>
    <w:rsid w:val="00847FAE"/>
    <w:rsid w:val="0085057C"/>
    <w:rsid w:val="008511FC"/>
    <w:rsid w:val="00851303"/>
    <w:rsid w:val="008513EA"/>
    <w:rsid w:val="0085249F"/>
    <w:rsid w:val="00852C97"/>
    <w:rsid w:val="00852E62"/>
    <w:rsid w:val="008557F1"/>
    <w:rsid w:val="00855BAA"/>
    <w:rsid w:val="0085656A"/>
    <w:rsid w:val="008626BB"/>
    <w:rsid w:val="00864516"/>
    <w:rsid w:val="008671E6"/>
    <w:rsid w:val="00871D9D"/>
    <w:rsid w:val="00872829"/>
    <w:rsid w:val="00874313"/>
    <w:rsid w:val="00875C14"/>
    <w:rsid w:val="00876735"/>
    <w:rsid w:val="008774A2"/>
    <w:rsid w:val="00880672"/>
    <w:rsid w:val="008815DA"/>
    <w:rsid w:val="00882276"/>
    <w:rsid w:val="00883AF3"/>
    <w:rsid w:val="00883B68"/>
    <w:rsid w:val="00884E7E"/>
    <w:rsid w:val="00887CF6"/>
    <w:rsid w:val="008906D0"/>
    <w:rsid w:val="008908DF"/>
    <w:rsid w:val="00890EBD"/>
    <w:rsid w:val="0089119C"/>
    <w:rsid w:val="008911FB"/>
    <w:rsid w:val="00892D1E"/>
    <w:rsid w:val="00892E94"/>
    <w:rsid w:val="00892EB3"/>
    <w:rsid w:val="008A086D"/>
    <w:rsid w:val="008A1043"/>
    <w:rsid w:val="008A1948"/>
    <w:rsid w:val="008A1F45"/>
    <w:rsid w:val="008A230E"/>
    <w:rsid w:val="008A2626"/>
    <w:rsid w:val="008A4A08"/>
    <w:rsid w:val="008B2FDE"/>
    <w:rsid w:val="008B47B8"/>
    <w:rsid w:val="008B57BB"/>
    <w:rsid w:val="008B5C51"/>
    <w:rsid w:val="008B61F0"/>
    <w:rsid w:val="008C0188"/>
    <w:rsid w:val="008C1012"/>
    <w:rsid w:val="008C14FF"/>
    <w:rsid w:val="008C1986"/>
    <w:rsid w:val="008C2725"/>
    <w:rsid w:val="008C2C03"/>
    <w:rsid w:val="008C2EDE"/>
    <w:rsid w:val="008C311E"/>
    <w:rsid w:val="008C3E01"/>
    <w:rsid w:val="008C4155"/>
    <w:rsid w:val="008C4BE8"/>
    <w:rsid w:val="008C69E1"/>
    <w:rsid w:val="008D0EB9"/>
    <w:rsid w:val="008D1FE4"/>
    <w:rsid w:val="008D59FC"/>
    <w:rsid w:val="008D7133"/>
    <w:rsid w:val="008D7F39"/>
    <w:rsid w:val="008E2CCF"/>
    <w:rsid w:val="008E4B96"/>
    <w:rsid w:val="008E57BF"/>
    <w:rsid w:val="008E58BF"/>
    <w:rsid w:val="008E7C40"/>
    <w:rsid w:val="008F03F4"/>
    <w:rsid w:val="008F0D86"/>
    <w:rsid w:val="008F1C42"/>
    <w:rsid w:val="008F3E09"/>
    <w:rsid w:val="008F5BC3"/>
    <w:rsid w:val="008F603D"/>
    <w:rsid w:val="008F6A31"/>
    <w:rsid w:val="008F6B09"/>
    <w:rsid w:val="008F6D12"/>
    <w:rsid w:val="009001AB"/>
    <w:rsid w:val="00902CC7"/>
    <w:rsid w:val="009052BC"/>
    <w:rsid w:val="009107EA"/>
    <w:rsid w:val="0091099A"/>
    <w:rsid w:val="0091124B"/>
    <w:rsid w:val="0091137B"/>
    <w:rsid w:val="00911FA0"/>
    <w:rsid w:val="00912ABA"/>
    <w:rsid w:val="00913676"/>
    <w:rsid w:val="00913881"/>
    <w:rsid w:val="00915051"/>
    <w:rsid w:val="009160E6"/>
    <w:rsid w:val="0091687E"/>
    <w:rsid w:val="00917DA3"/>
    <w:rsid w:val="00921009"/>
    <w:rsid w:val="00921D1D"/>
    <w:rsid w:val="009232B0"/>
    <w:rsid w:val="0092423F"/>
    <w:rsid w:val="00924F46"/>
    <w:rsid w:val="00925682"/>
    <w:rsid w:val="00925EDE"/>
    <w:rsid w:val="0092636E"/>
    <w:rsid w:val="00926D7A"/>
    <w:rsid w:val="009322E8"/>
    <w:rsid w:val="009346C6"/>
    <w:rsid w:val="00934834"/>
    <w:rsid w:val="009349FD"/>
    <w:rsid w:val="00934E0A"/>
    <w:rsid w:val="009359E9"/>
    <w:rsid w:val="00942844"/>
    <w:rsid w:val="00944DB5"/>
    <w:rsid w:val="0094593F"/>
    <w:rsid w:val="00946192"/>
    <w:rsid w:val="00946B00"/>
    <w:rsid w:val="00946C30"/>
    <w:rsid w:val="00946D15"/>
    <w:rsid w:val="009505B0"/>
    <w:rsid w:val="0095195B"/>
    <w:rsid w:val="00952E73"/>
    <w:rsid w:val="00953A87"/>
    <w:rsid w:val="00956190"/>
    <w:rsid w:val="00957AAC"/>
    <w:rsid w:val="009605FB"/>
    <w:rsid w:val="0096289B"/>
    <w:rsid w:val="0096340D"/>
    <w:rsid w:val="00963B6B"/>
    <w:rsid w:val="0096467C"/>
    <w:rsid w:val="0096556C"/>
    <w:rsid w:val="009656FE"/>
    <w:rsid w:val="00965965"/>
    <w:rsid w:val="00966A62"/>
    <w:rsid w:val="00966EA5"/>
    <w:rsid w:val="0097038E"/>
    <w:rsid w:val="0097049F"/>
    <w:rsid w:val="009705C0"/>
    <w:rsid w:val="00970D39"/>
    <w:rsid w:val="00971AAC"/>
    <w:rsid w:val="00971EC8"/>
    <w:rsid w:val="0097224D"/>
    <w:rsid w:val="00974AA3"/>
    <w:rsid w:val="00975247"/>
    <w:rsid w:val="00975327"/>
    <w:rsid w:val="009766FC"/>
    <w:rsid w:val="00977B0F"/>
    <w:rsid w:val="00980001"/>
    <w:rsid w:val="0098069B"/>
    <w:rsid w:val="009806A1"/>
    <w:rsid w:val="00983760"/>
    <w:rsid w:val="00983998"/>
    <w:rsid w:val="00984687"/>
    <w:rsid w:val="00984CE9"/>
    <w:rsid w:val="00984E08"/>
    <w:rsid w:val="00986088"/>
    <w:rsid w:val="00987D83"/>
    <w:rsid w:val="00990133"/>
    <w:rsid w:val="0099034F"/>
    <w:rsid w:val="00990862"/>
    <w:rsid w:val="00993263"/>
    <w:rsid w:val="00993343"/>
    <w:rsid w:val="009933A9"/>
    <w:rsid w:val="00994237"/>
    <w:rsid w:val="00994E88"/>
    <w:rsid w:val="00996485"/>
    <w:rsid w:val="00997D90"/>
    <w:rsid w:val="009A00C2"/>
    <w:rsid w:val="009A08DB"/>
    <w:rsid w:val="009A1589"/>
    <w:rsid w:val="009A18BF"/>
    <w:rsid w:val="009A1BA1"/>
    <w:rsid w:val="009A3DB5"/>
    <w:rsid w:val="009A4034"/>
    <w:rsid w:val="009A4A2E"/>
    <w:rsid w:val="009A5087"/>
    <w:rsid w:val="009A63C6"/>
    <w:rsid w:val="009B0684"/>
    <w:rsid w:val="009B0F91"/>
    <w:rsid w:val="009B32C6"/>
    <w:rsid w:val="009B4399"/>
    <w:rsid w:val="009B4D68"/>
    <w:rsid w:val="009B5AC5"/>
    <w:rsid w:val="009B60AA"/>
    <w:rsid w:val="009B78EC"/>
    <w:rsid w:val="009C0EB2"/>
    <w:rsid w:val="009C23C9"/>
    <w:rsid w:val="009C3836"/>
    <w:rsid w:val="009C3B8B"/>
    <w:rsid w:val="009C4E9D"/>
    <w:rsid w:val="009C5620"/>
    <w:rsid w:val="009C70E8"/>
    <w:rsid w:val="009D039A"/>
    <w:rsid w:val="009D24F2"/>
    <w:rsid w:val="009D33EB"/>
    <w:rsid w:val="009D51B1"/>
    <w:rsid w:val="009D617E"/>
    <w:rsid w:val="009D6AB9"/>
    <w:rsid w:val="009D7358"/>
    <w:rsid w:val="009E051B"/>
    <w:rsid w:val="009E1BA9"/>
    <w:rsid w:val="009E2B65"/>
    <w:rsid w:val="009E58F8"/>
    <w:rsid w:val="009E5A8C"/>
    <w:rsid w:val="009E748B"/>
    <w:rsid w:val="009E79E3"/>
    <w:rsid w:val="009F2209"/>
    <w:rsid w:val="009F2537"/>
    <w:rsid w:val="009F26B8"/>
    <w:rsid w:val="009F2F0F"/>
    <w:rsid w:val="009F3B6E"/>
    <w:rsid w:val="009F437A"/>
    <w:rsid w:val="009F4893"/>
    <w:rsid w:val="009F48D0"/>
    <w:rsid w:val="009F4FD2"/>
    <w:rsid w:val="009F5085"/>
    <w:rsid w:val="009F5CEC"/>
    <w:rsid w:val="009F7576"/>
    <w:rsid w:val="009F75C4"/>
    <w:rsid w:val="009F7944"/>
    <w:rsid w:val="009F7C0B"/>
    <w:rsid w:val="00A01D13"/>
    <w:rsid w:val="00A02DA8"/>
    <w:rsid w:val="00A04C94"/>
    <w:rsid w:val="00A05A58"/>
    <w:rsid w:val="00A069F2"/>
    <w:rsid w:val="00A071E0"/>
    <w:rsid w:val="00A07F34"/>
    <w:rsid w:val="00A110A4"/>
    <w:rsid w:val="00A115AA"/>
    <w:rsid w:val="00A12815"/>
    <w:rsid w:val="00A12F8E"/>
    <w:rsid w:val="00A13A46"/>
    <w:rsid w:val="00A14239"/>
    <w:rsid w:val="00A14296"/>
    <w:rsid w:val="00A148D0"/>
    <w:rsid w:val="00A15A88"/>
    <w:rsid w:val="00A16A78"/>
    <w:rsid w:val="00A1731D"/>
    <w:rsid w:val="00A177F2"/>
    <w:rsid w:val="00A178E9"/>
    <w:rsid w:val="00A179D3"/>
    <w:rsid w:val="00A20562"/>
    <w:rsid w:val="00A20AE9"/>
    <w:rsid w:val="00A22242"/>
    <w:rsid w:val="00A2443E"/>
    <w:rsid w:val="00A2667A"/>
    <w:rsid w:val="00A27713"/>
    <w:rsid w:val="00A336E8"/>
    <w:rsid w:val="00A34499"/>
    <w:rsid w:val="00A34769"/>
    <w:rsid w:val="00A352AB"/>
    <w:rsid w:val="00A403D3"/>
    <w:rsid w:val="00A41C73"/>
    <w:rsid w:val="00A42623"/>
    <w:rsid w:val="00A42ED6"/>
    <w:rsid w:val="00A43C2A"/>
    <w:rsid w:val="00A46072"/>
    <w:rsid w:val="00A46466"/>
    <w:rsid w:val="00A46B69"/>
    <w:rsid w:val="00A50F3A"/>
    <w:rsid w:val="00A52296"/>
    <w:rsid w:val="00A527A6"/>
    <w:rsid w:val="00A54112"/>
    <w:rsid w:val="00A54C14"/>
    <w:rsid w:val="00A5578B"/>
    <w:rsid w:val="00A557FC"/>
    <w:rsid w:val="00A55822"/>
    <w:rsid w:val="00A55A36"/>
    <w:rsid w:val="00A55F22"/>
    <w:rsid w:val="00A60413"/>
    <w:rsid w:val="00A610B5"/>
    <w:rsid w:val="00A61CC9"/>
    <w:rsid w:val="00A6207C"/>
    <w:rsid w:val="00A657E7"/>
    <w:rsid w:val="00A67DEC"/>
    <w:rsid w:val="00A701E3"/>
    <w:rsid w:val="00A7185E"/>
    <w:rsid w:val="00A72015"/>
    <w:rsid w:val="00A725FD"/>
    <w:rsid w:val="00A745E3"/>
    <w:rsid w:val="00A74623"/>
    <w:rsid w:val="00A76FE9"/>
    <w:rsid w:val="00A77A18"/>
    <w:rsid w:val="00A80728"/>
    <w:rsid w:val="00A821B9"/>
    <w:rsid w:val="00A82D2E"/>
    <w:rsid w:val="00A83339"/>
    <w:rsid w:val="00A83AB6"/>
    <w:rsid w:val="00A85EC5"/>
    <w:rsid w:val="00A86470"/>
    <w:rsid w:val="00A86E14"/>
    <w:rsid w:val="00A87AD1"/>
    <w:rsid w:val="00A92592"/>
    <w:rsid w:val="00A92F26"/>
    <w:rsid w:val="00A93A13"/>
    <w:rsid w:val="00A95096"/>
    <w:rsid w:val="00A96C52"/>
    <w:rsid w:val="00AA02FE"/>
    <w:rsid w:val="00AA078A"/>
    <w:rsid w:val="00AA07C2"/>
    <w:rsid w:val="00AA164B"/>
    <w:rsid w:val="00AA1A81"/>
    <w:rsid w:val="00AA3C71"/>
    <w:rsid w:val="00AA4E02"/>
    <w:rsid w:val="00AA5DC7"/>
    <w:rsid w:val="00AA5EC9"/>
    <w:rsid w:val="00AA606A"/>
    <w:rsid w:val="00AA79FC"/>
    <w:rsid w:val="00AB1123"/>
    <w:rsid w:val="00AB1849"/>
    <w:rsid w:val="00AB1986"/>
    <w:rsid w:val="00AB2269"/>
    <w:rsid w:val="00AB26F5"/>
    <w:rsid w:val="00AB7BC1"/>
    <w:rsid w:val="00AC2348"/>
    <w:rsid w:val="00AC2706"/>
    <w:rsid w:val="00AC3184"/>
    <w:rsid w:val="00AC56E9"/>
    <w:rsid w:val="00AC7855"/>
    <w:rsid w:val="00AD0C1D"/>
    <w:rsid w:val="00AD15FB"/>
    <w:rsid w:val="00AD2BFD"/>
    <w:rsid w:val="00AD3852"/>
    <w:rsid w:val="00AD5687"/>
    <w:rsid w:val="00AD7563"/>
    <w:rsid w:val="00AE2DD1"/>
    <w:rsid w:val="00AE3366"/>
    <w:rsid w:val="00AE377F"/>
    <w:rsid w:val="00AE4954"/>
    <w:rsid w:val="00AE703C"/>
    <w:rsid w:val="00AE77F4"/>
    <w:rsid w:val="00AE7814"/>
    <w:rsid w:val="00AF411E"/>
    <w:rsid w:val="00AF6E98"/>
    <w:rsid w:val="00AF6F59"/>
    <w:rsid w:val="00AF7866"/>
    <w:rsid w:val="00AF78A1"/>
    <w:rsid w:val="00B00511"/>
    <w:rsid w:val="00B01B5E"/>
    <w:rsid w:val="00B05592"/>
    <w:rsid w:val="00B05FD2"/>
    <w:rsid w:val="00B10C45"/>
    <w:rsid w:val="00B10EE4"/>
    <w:rsid w:val="00B111F7"/>
    <w:rsid w:val="00B11254"/>
    <w:rsid w:val="00B112EB"/>
    <w:rsid w:val="00B13C2F"/>
    <w:rsid w:val="00B143AA"/>
    <w:rsid w:val="00B16BAA"/>
    <w:rsid w:val="00B17F32"/>
    <w:rsid w:val="00B2003D"/>
    <w:rsid w:val="00B2185D"/>
    <w:rsid w:val="00B21AF4"/>
    <w:rsid w:val="00B22ECB"/>
    <w:rsid w:val="00B2390E"/>
    <w:rsid w:val="00B25DC9"/>
    <w:rsid w:val="00B30360"/>
    <w:rsid w:val="00B3528C"/>
    <w:rsid w:val="00B37879"/>
    <w:rsid w:val="00B43038"/>
    <w:rsid w:val="00B44012"/>
    <w:rsid w:val="00B45AE0"/>
    <w:rsid w:val="00B502FE"/>
    <w:rsid w:val="00B518BD"/>
    <w:rsid w:val="00B53A1E"/>
    <w:rsid w:val="00B54F60"/>
    <w:rsid w:val="00B5668B"/>
    <w:rsid w:val="00B57469"/>
    <w:rsid w:val="00B57F93"/>
    <w:rsid w:val="00B612AB"/>
    <w:rsid w:val="00B628D0"/>
    <w:rsid w:val="00B675B7"/>
    <w:rsid w:val="00B705CD"/>
    <w:rsid w:val="00B70A8A"/>
    <w:rsid w:val="00B71042"/>
    <w:rsid w:val="00B71057"/>
    <w:rsid w:val="00B73BB6"/>
    <w:rsid w:val="00B73D75"/>
    <w:rsid w:val="00B76EC0"/>
    <w:rsid w:val="00B7783B"/>
    <w:rsid w:val="00B8054C"/>
    <w:rsid w:val="00B8351F"/>
    <w:rsid w:val="00B844BA"/>
    <w:rsid w:val="00B84803"/>
    <w:rsid w:val="00B862AC"/>
    <w:rsid w:val="00B903FB"/>
    <w:rsid w:val="00B9047B"/>
    <w:rsid w:val="00B907E3"/>
    <w:rsid w:val="00B90C65"/>
    <w:rsid w:val="00B91E24"/>
    <w:rsid w:val="00B92185"/>
    <w:rsid w:val="00B92508"/>
    <w:rsid w:val="00B94610"/>
    <w:rsid w:val="00B9527F"/>
    <w:rsid w:val="00B96A1E"/>
    <w:rsid w:val="00BA0216"/>
    <w:rsid w:val="00BA1B9B"/>
    <w:rsid w:val="00BA1CC5"/>
    <w:rsid w:val="00BA352B"/>
    <w:rsid w:val="00BA59D9"/>
    <w:rsid w:val="00BB0CF7"/>
    <w:rsid w:val="00BB16FC"/>
    <w:rsid w:val="00BB30D1"/>
    <w:rsid w:val="00BB4A80"/>
    <w:rsid w:val="00BB6B1D"/>
    <w:rsid w:val="00BB7102"/>
    <w:rsid w:val="00BC1B70"/>
    <w:rsid w:val="00BC2102"/>
    <w:rsid w:val="00BC3625"/>
    <w:rsid w:val="00BC4A18"/>
    <w:rsid w:val="00BC506E"/>
    <w:rsid w:val="00BC5B6D"/>
    <w:rsid w:val="00BC7608"/>
    <w:rsid w:val="00BD143F"/>
    <w:rsid w:val="00BD19F3"/>
    <w:rsid w:val="00BD1CC7"/>
    <w:rsid w:val="00BE059A"/>
    <w:rsid w:val="00BE0D2C"/>
    <w:rsid w:val="00BE0E7C"/>
    <w:rsid w:val="00BE26F5"/>
    <w:rsid w:val="00BE434E"/>
    <w:rsid w:val="00BE4C20"/>
    <w:rsid w:val="00BE56D2"/>
    <w:rsid w:val="00BE6D45"/>
    <w:rsid w:val="00BE6FAD"/>
    <w:rsid w:val="00BF1517"/>
    <w:rsid w:val="00BF21E9"/>
    <w:rsid w:val="00BF2846"/>
    <w:rsid w:val="00BF45A4"/>
    <w:rsid w:val="00BF4A55"/>
    <w:rsid w:val="00BF7158"/>
    <w:rsid w:val="00BF7C3E"/>
    <w:rsid w:val="00C0027C"/>
    <w:rsid w:val="00C00682"/>
    <w:rsid w:val="00C020D9"/>
    <w:rsid w:val="00C033D9"/>
    <w:rsid w:val="00C036E9"/>
    <w:rsid w:val="00C037BB"/>
    <w:rsid w:val="00C037D5"/>
    <w:rsid w:val="00C05035"/>
    <w:rsid w:val="00C0728B"/>
    <w:rsid w:val="00C07F95"/>
    <w:rsid w:val="00C11A2B"/>
    <w:rsid w:val="00C14312"/>
    <w:rsid w:val="00C165B2"/>
    <w:rsid w:val="00C16D70"/>
    <w:rsid w:val="00C17A88"/>
    <w:rsid w:val="00C2186A"/>
    <w:rsid w:val="00C22C61"/>
    <w:rsid w:val="00C24295"/>
    <w:rsid w:val="00C24345"/>
    <w:rsid w:val="00C24746"/>
    <w:rsid w:val="00C24EEC"/>
    <w:rsid w:val="00C2538C"/>
    <w:rsid w:val="00C274B3"/>
    <w:rsid w:val="00C30544"/>
    <w:rsid w:val="00C33188"/>
    <w:rsid w:val="00C33816"/>
    <w:rsid w:val="00C364A4"/>
    <w:rsid w:val="00C4250C"/>
    <w:rsid w:val="00C42E08"/>
    <w:rsid w:val="00C42E11"/>
    <w:rsid w:val="00C438FE"/>
    <w:rsid w:val="00C44D4D"/>
    <w:rsid w:val="00C46D9A"/>
    <w:rsid w:val="00C47221"/>
    <w:rsid w:val="00C506F0"/>
    <w:rsid w:val="00C5186D"/>
    <w:rsid w:val="00C52E6D"/>
    <w:rsid w:val="00C53440"/>
    <w:rsid w:val="00C54ABD"/>
    <w:rsid w:val="00C54BB6"/>
    <w:rsid w:val="00C55707"/>
    <w:rsid w:val="00C5691B"/>
    <w:rsid w:val="00C601EA"/>
    <w:rsid w:val="00C60E55"/>
    <w:rsid w:val="00C61534"/>
    <w:rsid w:val="00C6199B"/>
    <w:rsid w:val="00C62D74"/>
    <w:rsid w:val="00C64B3C"/>
    <w:rsid w:val="00C64B72"/>
    <w:rsid w:val="00C66330"/>
    <w:rsid w:val="00C66D3D"/>
    <w:rsid w:val="00C67EF4"/>
    <w:rsid w:val="00C71BF5"/>
    <w:rsid w:val="00C71E9E"/>
    <w:rsid w:val="00C72EBC"/>
    <w:rsid w:val="00C73B1F"/>
    <w:rsid w:val="00C740C5"/>
    <w:rsid w:val="00C75400"/>
    <w:rsid w:val="00C75736"/>
    <w:rsid w:val="00C75E9B"/>
    <w:rsid w:val="00C75EC6"/>
    <w:rsid w:val="00C77261"/>
    <w:rsid w:val="00C83BDA"/>
    <w:rsid w:val="00C84CF0"/>
    <w:rsid w:val="00C85C97"/>
    <w:rsid w:val="00C8677B"/>
    <w:rsid w:val="00C86820"/>
    <w:rsid w:val="00C91734"/>
    <w:rsid w:val="00C9377F"/>
    <w:rsid w:val="00C95640"/>
    <w:rsid w:val="00C95C8F"/>
    <w:rsid w:val="00C96977"/>
    <w:rsid w:val="00C97578"/>
    <w:rsid w:val="00CA047D"/>
    <w:rsid w:val="00CA1000"/>
    <w:rsid w:val="00CA127E"/>
    <w:rsid w:val="00CA16DF"/>
    <w:rsid w:val="00CA2437"/>
    <w:rsid w:val="00CA2FED"/>
    <w:rsid w:val="00CA35DF"/>
    <w:rsid w:val="00CA429B"/>
    <w:rsid w:val="00CA4D0C"/>
    <w:rsid w:val="00CA5202"/>
    <w:rsid w:val="00CA5E76"/>
    <w:rsid w:val="00CA6DA0"/>
    <w:rsid w:val="00CA781B"/>
    <w:rsid w:val="00CB0267"/>
    <w:rsid w:val="00CB0F50"/>
    <w:rsid w:val="00CB21A7"/>
    <w:rsid w:val="00CB27FF"/>
    <w:rsid w:val="00CB30C2"/>
    <w:rsid w:val="00CB3893"/>
    <w:rsid w:val="00CB4D60"/>
    <w:rsid w:val="00CB4DEB"/>
    <w:rsid w:val="00CB50C0"/>
    <w:rsid w:val="00CB5662"/>
    <w:rsid w:val="00CB61B8"/>
    <w:rsid w:val="00CB692F"/>
    <w:rsid w:val="00CB717D"/>
    <w:rsid w:val="00CC0486"/>
    <w:rsid w:val="00CC1261"/>
    <w:rsid w:val="00CC349D"/>
    <w:rsid w:val="00CC6167"/>
    <w:rsid w:val="00CC7D1E"/>
    <w:rsid w:val="00CC7F0A"/>
    <w:rsid w:val="00CD1DBB"/>
    <w:rsid w:val="00CD3C0F"/>
    <w:rsid w:val="00CD6EA2"/>
    <w:rsid w:val="00CD7DFF"/>
    <w:rsid w:val="00CD7F9B"/>
    <w:rsid w:val="00CE0740"/>
    <w:rsid w:val="00CE19B3"/>
    <w:rsid w:val="00CE1A21"/>
    <w:rsid w:val="00CE3E7B"/>
    <w:rsid w:val="00CE42D9"/>
    <w:rsid w:val="00CE547D"/>
    <w:rsid w:val="00CE69D3"/>
    <w:rsid w:val="00CE7414"/>
    <w:rsid w:val="00CE782D"/>
    <w:rsid w:val="00CF0530"/>
    <w:rsid w:val="00CF1ECB"/>
    <w:rsid w:val="00CF2859"/>
    <w:rsid w:val="00CF29E9"/>
    <w:rsid w:val="00CF488F"/>
    <w:rsid w:val="00CF5D58"/>
    <w:rsid w:val="00CF6DBF"/>
    <w:rsid w:val="00CF7C26"/>
    <w:rsid w:val="00D024F3"/>
    <w:rsid w:val="00D03BEE"/>
    <w:rsid w:val="00D041FE"/>
    <w:rsid w:val="00D047C2"/>
    <w:rsid w:val="00D04A50"/>
    <w:rsid w:val="00D05762"/>
    <w:rsid w:val="00D05907"/>
    <w:rsid w:val="00D06C8A"/>
    <w:rsid w:val="00D07BAC"/>
    <w:rsid w:val="00D11434"/>
    <w:rsid w:val="00D1205E"/>
    <w:rsid w:val="00D13AC1"/>
    <w:rsid w:val="00D14BF4"/>
    <w:rsid w:val="00D160F2"/>
    <w:rsid w:val="00D1755D"/>
    <w:rsid w:val="00D177B5"/>
    <w:rsid w:val="00D17EE5"/>
    <w:rsid w:val="00D22397"/>
    <w:rsid w:val="00D224BD"/>
    <w:rsid w:val="00D22CC9"/>
    <w:rsid w:val="00D240FF"/>
    <w:rsid w:val="00D27590"/>
    <w:rsid w:val="00D30105"/>
    <w:rsid w:val="00D308FF"/>
    <w:rsid w:val="00D3112B"/>
    <w:rsid w:val="00D31768"/>
    <w:rsid w:val="00D324B3"/>
    <w:rsid w:val="00D328DE"/>
    <w:rsid w:val="00D32E80"/>
    <w:rsid w:val="00D33336"/>
    <w:rsid w:val="00D334A3"/>
    <w:rsid w:val="00D36603"/>
    <w:rsid w:val="00D36E0E"/>
    <w:rsid w:val="00D37298"/>
    <w:rsid w:val="00D3782F"/>
    <w:rsid w:val="00D430D5"/>
    <w:rsid w:val="00D502A0"/>
    <w:rsid w:val="00D52886"/>
    <w:rsid w:val="00D53807"/>
    <w:rsid w:val="00D54FA2"/>
    <w:rsid w:val="00D567CC"/>
    <w:rsid w:val="00D568C1"/>
    <w:rsid w:val="00D5692A"/>
    <w:rsid w:val="00D570A2"/>
    <w:rsid w:val="00D57991"/>
    <w:rsid w:val="00D57C5C"/>
    <w:rsid w:val="00D61DA0"/>
    <w:rsid w:val="00D634E5"/>
    <w:rsid w:val="00D66A6D"/>
    <w:rsid w:val="00D67A67"/>
    <w:rsid w:val="00D701E0"/>
    <w:rsid w:val="00D70C9B"/>
    <w:rsid w:val="00D715EE"/>
    <w:rsid w:val="00D72776"/>
    <w:rsid w:val="00D739B8"/>
    <w:rsid w:val="00D752B6"/>
    <w:rsid w:val="00D778D8"/>
    <w:rsid w:val="00D80714"/>
    <w:rsid w:val="00D80E51"/>
    <w:rsid w:val="00D813C9"/>
    <w:rsid w:val="00D81533"/>
    <w:rsid w:val="00D8301A"/>
    <w:rsid w:val="00D8601B"/>
    <w:rsid w:val="00D87BD2"/>
    <w:rsid w:val="00D9192F"/>
    <w:rsid w:val="00D92EDB"/>
    <w:rsid w:val="00D94256"/>
    <w:rsid w:val="00D9466F"/>
    <w:rsid w:val="00D959F2"/>
    <w:rsid w:val="00D96575"/>
    <w:rsid w:val="00D96B78"/>
    <w:rsid w:val="00D97663"/>
    <w:rsid w:val="00DA0E3D"/>
    <w:rsid w:val="00DA137E"/>
    <w:rsid w:val="00DA2525"/>
    <w:rsid w:val="00DA3D35"/>
    <w:rsid w:val="00DA41A5"/>
    <w:rsid w:val="00DA4D52"/>
    <w:rsid w:val="00DA5042"/>
    <w:rsid w:val="00DA679A"/>
    <w:rsid w:val="00DA7997"/>
    <w:rsid w:val="00DB174E"/>
    <w:rsid w:val="00DB1A9A"/>
    <w:rsid w:val="00DB20F6"/>
    <w:rsid w:val="00DB37EA"/>
    <w:rsid w:val="00DB50E9"/>
    <w:rsid w:val="00DB6BFE"/>
    <w:rsid w:val="00DB7155"/>
    <w:rsid w:val="00DC0310"/>
    <w:rsid w:val="00DC2A11"/>
    <w:rsid w:val="00DC441C"/>
    <w:rsid w:val="00DD0461"/>
    <w:rsid w:val="00DD2BC9"/>
    <w:rsid w:val="00DD2DA2"/>
    <w:rsid w:val="00DD35AE"/>
    <w:rsid w:val="00DD38F3"/>
    <w:rsid w:val="00DD4659"/>
    <w:rsid w:val="00DD5625"/>
    <w:rsid w:val="00DD5751"/>
    <w:rsid w:val="00DE146C"/>
    <w:rsid w:val="00DE4A88"/>
    <w:rsid w:val="00DE5CE2"/>
    <w:rsid w:val="00DE6018"/>
    <w:rsid w:val="00DE6D51"/>
    <w:rsid w:val="00DE777A"/>
    <w:rsid w:val="00DE7F62"/>
    <w:rsid w:val="00DF03D9"/>
    <w:rsid w:val="00DF21E6"/>
    <w:rsid w:val="00DF5194"/>
    <w:rsid w:val="00DF521C"/>
    <w:rsid w:val="00DF5274"/>
    <w:rsid w:val="00DF6B73"/>
    <w:rsid w:val="00DF768F"/>
    <w:rsid w:val="00DF7DA5"/>
    <w:rsid w:val="00E021A1"/>
    <w:rsid w:val="00E02F91"/>
    <w:rsid w:val="00E04271"/>
    <w:rsid w:val="00E0460D"/>
    <w:rsid w:val="00E06AB9"/>
    <w:rsid w:val="00E06B95"/>
    <w:rsid w:val="00E06D3F"/>
    <w:rsid w:val="00E11C5B"/>
    <w:rsid w:val="00E123A8"/>
    <w:rsid w:val="00E125CC"/>
    <w:rsid w:val="00E13718"/>
    <w:rsid w:val="00E13F3D"/>
    <w:rsid w:val="00E146AB"/>
    <w:rsid w:val="00E1581E"/>
    <w:rsid w:val="00E15F6F"/>
    <w:rsid w:val="00E213E8"/>
    <w:rsid w:val="00E21893"/>
    <w:rsid w:val="00E224E4"/>
    <w:rsid w:val="00E22FDA"/>
    <w:rsid w:val="00E24756"/>
    <w:rsid w:val="00E247A1"/>
    <w:rsid w:val="00E24ADE"/>
    <w:rsid w:val="00E24FE2"/>
    <w:rsid w:val="00E25456"/>
    <w:rsid w:val="00E2598F"/>
    <w:rsid w:val="00E31374"/>
    <w:rsid w:val="00E32EE7"/>
    <w:rsid w:val="00E33082"/>
    <w:rsid w:val="00E33CE1"/>
    <w:rsid w:val="00E34074"/>
    <w:rsid w:val="00E36110"/>
    <w:rsid w:val="00E36F23"/>
    <w:rsid w:val="00E40DA5"/>
    <w:rsid w:val="00E41765"/>
    <w:rsid w:val="00E43EAF"/>
    <w:rsid w:val="00E45A0D"/>
    <w:rsid w:val="00E45BBB"/>
    <w:rsid w:val="00E47846"/>
    <w:rsid w:val="00E5070E"/>
    <w:rsid w:val="00E51ECD"/>
    <w:rsid w:val="00E52862"/>
    <w:rsid w:val="00E5411F"/>
    <w:rsid w:val="00E5463D"/>
    <w:rsid w:val="00E54700"/>
    <w:rsid w:val="00E549B2"/>
    <w:rsid w:val="00E55D5A"/>
    <w:rsid w:val="00E566DA"/>
    <w:rsid w:val="00E56A80"/>
    <w:rsid w:val="00E56E89"/>
    <w:rsid w:val="00E56EFD"/>
    <w:rsid w:val="00E5767F"/>
    <w:rsid w:val="00E60C37"/>
    <w:rsid w:val="00E61036"/>
    <w:rsid w:val="00E611C1"/>
    <w:rsid w:val="00E6183D"/>
    <w:rsid w:val="00E61D53"/>
    <w:rsid w:val="00E6219A"/>
    <w:rsid w:val="00E6278F"/>
    <w:rsid w:val="00E62BD2"/>
    <w:rsid w:val="00E65E35"/>
    <w:rsid w:val="00E6737D"/>
    <w:rsid w:val="00E71171"/>
    <w:rsid w:val="00E76EA0"/>
    <w:rsid w:val="00E77532"/>
    <w:rsid w:val="00E8021D"/>
    <w:rsid w:val="00E80B26"/>
    <w:rsid w:val="00E81F18"/>
    <w:rsid w:val="00E823B8"/>
    <w:rsid w:val="00E82D73"/>
    <w:rsid w:val="00E83E97"/>
    <w:rsid w:val="00E86B53"/>
    <w:rsid w:val="00E91237"/>
    <w:rsid w:val="00E928E5"/>
    <w:rsid w:val="00E94BB8"/>
    <w:rsid w:val="00E97B51"/>
    <w:rsid w:val="00E97EBD"/>
    <w:rsid w:val="00EA0E5C"/>
    <w:rsid w:val="00EA2382"/>
    <w:rsid w:val="00EA2413"/>
    <w:rsid w:val="00EA5623"/>
    <w:rsid w:val="00EA6F21"/>
    <w:rsid w:val="00EA7594"/>
    <w:rsid w:val="00EB34E9"/>
    <w:rsid w:val="00EB4931"/>
    <w:rsid w:val="00EB6BC6"/>
    <w:rsid w:val="00EC12F8"/>
    <w:rsid w:val="00EC185B"/>
    <w:rsid w:val="00EC5364"/>
    <w:rsid w:val="00EC6D38"/>
    <w:rsid w:val="00ED2B77"/>
    <w:rsid w:val="00ED4A36"/>
    <w:rsid w:val="00ED5085"/>
    <w:rsid w:val="00ED5540"/>
    <w:rsid w:val="00ED5C44"/>
    <w:rsid w:val="00ED6D75"/>
    <w:rsid w:val="00ED76DC"/>
    <w:rsid w:val="00ED7D98"/>
    <w:rsid w:val="00EE0411"/>
    <w:rsid w:val="00EE2441"/>
    <w:rsid w:val="00EE2515"/>
    <w:rsid w:val="00EE3A56"/>
    <w:rsid w:val="00EE473A"/>
    <w:rsid w:val="00EE4F8F"/>
    <w:rsid w:val="00EE6087"/>
    <w:rsid w:val="00EE6B7E"/>
    <w:rsid w:val="00EE7781"/>
    <w:rsid w:val="00EF0375"/>
    <w:rsid w:val="00EF09FC"/>
    <w:rsid w:val="00EF3E44"/>
    <w:rsid w:val="00EF449C"/>
    <w:rsid w:val="00EF56FF"/>
    <w:rsid w:val="00EF5986"/>
    <w:rsid w:val="00EF6616"/>
    <w:rsid w:val="00EF7253"/>
    <w:rsid w:val="00F00106"/>
    <w:rsid w:val="00F005D0"/>
    <w:rsid w:val="00F009D3"/>
    <w:rsid w:val="00F00E4B"/>
    <w:rsid w:val="00F0198A"/>
    <w:rsid w:val="00F01D36"/>
    <w:rsid w:val="00F03079"/>
    <w:rsid w:val="00F03391"/>
    <w:rsid w:val="00F063EC"/>
    <w:rsid w:val="00F12480"/>
    <w:rsid w:val="00F12765"/>
    <w:rsid w:val="00F13E3C"/>
    <w:rsid w:val="00F17F9A"/>
    <w:rsid w:val="00F20BB5"/>
    <w:rsid w:val="00F219CB"/>
    <w:rsid w:val="00F23813"/>
    <w:rsid w:val="00F241E2"/>
    <w:rsid w:val="00F24563"/>
    <w:rsid w:val="00F24B37"/>
    <w:rsid w:val="00F25757"/>
    <w:rsid w:val="00F257BE"/>
    <w:rsid w:val="00F25DEE"/>
    <w:rsid w:val="00F262D2"/>
    <w:rsid w:val="00F263F3"/>
    <w:rsid w:val="00F275C4"/>
    <w:rsid w:val="00F32FA9"/>
    <w:rsid w:val="00F351DB"/>
    <w:rsid w:val="00F35B15"/>
    <w:rsid w:val="00F36707"/>
    <w:rsid w:val="00F37F9E"/>
    <w:rsid w:val="00F40059"/>
    <w:rsid w:val="00F40DBD"/>
    <w:rsid w:val="00F4145C"/>
    <w:rsid w:val="00F41B7D"/>
    <w:rsid w:val="00F4266B"/>
    <w:rsid w:val="00F44001"/>
    <w:rsid w:val="00F45B0E"/>
    <w:rsid w:val="00F46215"/>
    <w:rsid w:val="00F46464"/>
    <w:rsid w:val="00F468FF"/>
    <w:rsid w:val="00F46E54"/>
    <w:rsid w:val="00F470D1"/>
    <w:rsid w:val="00F477CD"/>
    <w:rsid w:val="00F47A66"/>
    <w:rsid w:val="00F50D9D"/>
    <w:rsid w:val="00F50F45"/>
    <w:rsid w:val="00F52549"/>
    <w:rsid w:val="00F52A22"/>
    <w:rsid w:val="00F53843"/>
    <w:rsid w:val="00F54165"/>
    <w:rsid w:val="00F55021"/>
    <w:rsid w:val="00F570C2"/>
    <w:rsid w:val="00F5717F"/>
    <w:rsid w:val="00F60748"/>
    <w:rsid w:val="00F6160B"/>
    <w:rsid w:val="00F61FFA"/>
    <w:rsid w:val="00F6507B"/>
    <w:rsid w:val="00F67080"/>
    <w:rsid w:val="00F6751D"/>
    <w:rsid w:val="00F67CC2"/>
    <w:rsid w:val="00F72484"/>
    <w:rsid w:val="00F7572C"/>
    <w:rsid w:val="00F76C24"/>
    <w:rsid w:val="00F76CD8"/>
    <w:rsid w:val="00F80BB7"/>
    <w:rsid w:val="00F8232D"/>
    <w:rsid w:val="00F82554"/>
    <w:rsid w:val="00F82AF0"/>
    <w:rsid w:val="00F83443"/>
    <w:rsid w:val="00F834B4"/>
    <w:rsid w:val="00F83B77"/>
    <w:rsid w:val="00F85A48"/>
    <w:rsid w:val="00F87993"/>
    <w:rsid w:val="00F87CAE"/>
    <w:rsid w:val="00F91735"/>
    <w:rsid w:val="00F932F9"/>
    <w:rsid w:val="00F94806"/>
    <w:rsid w:val="00F9531D"/>
    <w:rsid w:val="00FA18CA"/>
    <w:rsid w:val="00FA2C51"/>
    <w:rsid w:val="00FA431D"/>
    <w:rsid w:val="00FA46FF"/>
    <w:rsid w:val="00FA4B98"/>
    <w:rsid w:val="00FA614C"/>
    <w:rsid w:val="00FA65BF"/>
    <w:rsid w:val="00FA6991"/>
    <w:rsid w:val="00FB2593"/>
    <w:rsid w:val="00FB28BC"/>
    <w:rsid w:val="00FB2AB7"/>
    <w:rsid w:val="00FB3082"/>
    <w:rsid w:val="00FB5209"/>
    <w:rsid w:val="00FB584F"/>
    <w:rsid w:val="00FB7467"/>
    <w:rsid w:val="00FC31E6"/>
    <w:rsid w:val="00FC3F8F"/>
    <w:rsid w:val="00FC4E0E"/>
    <w:rsid w:val="00FC4E54"/>
    <w:rsid w:val="00FC5063"/>
    <w:rsid w:val="00FC573B"/>
    <w:rsid w:val="00FC6E3E"/>
    <w:rsid w:val="00FC7B71"/>
    <w:rsid w:val="00FD0E93"/>
    <w:rsid w:val="00FD25F5"/>
    <w:rsid w:val="00FD284F"/>
    <w:rsid w:val="00FD31C9"/>
    <w:rsid w:val="00FD5008"/>
    <w:rsid w:val="00FD58A1"/>
    <w:rsid w:val="00FD5ECC"/>
    <w:rsid w:val="00FD6402"/>
    <w:rsid w:val="00FD6F2F"/>
    <w:rsid w:val="00FD7338"/>
    <w:rsid w:val="00FE05E8"/>
    <w:rsid w:val="00FE0BB9"/>
    <w:rsid w:val="00FE0E65"/>
    <w:rsid w:val="00FE0F8D"/>
    <w:rsid w:val="00FE252E"/>
    <w:rsid w:val="00FE2DEA"/>
    <w:rsid w:val="00FE410E"/>
    <w:rsid w:val="00FE4BF7"/>
    <w:rsid w:val="00FE5167"/>
    <w:rsid w:val="00FE5A71"/>
    <w:rsid w:val="00FE5CEB"/>
    <w:rsid w:val="00FE5FBA"/>
    <w:rsid w:val="00FE61A2"/>
    <w:rsid w:val="00FF16E1"/>
    <w:rsid w:val="00FF184E"/>
    <w:rsid w:val="00FF1E45"/>
    <w:rsid w:val="00FF2667"/>
    <w:rsid w:val="00FF33A3"/>
    <w:rsid w:val="00FF357F"/>
    <w:rsid w:val="00FF3A77"/>
    <w:rsid w:val="00FF3D9F"/>
    <w:rsid w:val="00FF4F30"/>
    <w:rsid w:val="00FF5EF3"/>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4:docId w14:val="3DD312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D568C1"/>
    <w:pPr>
      <w:spacing w:after="120"/>
      <w:jc w:val="both"/>
    </w:pPr>
    <w:rPr>
      <w:rFonts w:ascii="Times New Roman" w:eastAsia="Calibri" w:hAnsi="Times New Roman" w:cs="Times New Roman"/>
      <w:sz w:val="24"/>
    </w:rPr>
  </w:style>
  <w:style w:type="paragraph" w:styleId="Nadpis1">
    <w:name w:val="heading 1"/>
    <w:basedOn w:val="Normln"/>
    <w:next w:val="Normln"/>
    <w:link w:val="Nadpis1Char"/>
    <w:uiPriority w:val="9"/>
    <w:qFormat/>
    <w:rsid w:val="005871A5"/>
    <w:pPr>
      <w:keepNext/>
      <w:keepLines/>
      <w:spacing w:before="480" w:after="0"/>
      <w:jc w:val="center"/>
      <w:outlineLvl w:val="0"/>
    </w:pPr>
    <w:rPr>
      <w:rFonts w:eastAsiaTheme="majorEastAsia" w:cstheme="majorBidi"/>
      <w:b/>
      <w:bCs/>
      <w:sz w:val="28"/>
      <w:szCs w:val="28"/>
    </w:rPr>
  </w:style>
  <w:style w:type="paragraph" w:styleId="Nadpis2">
    <w:name w:val="heading 2"/>
    <w:basedOn w:val="Normln"/>
    <w:next w:val="Normln"/>
    <w:link w:val="Nadpis2Char"/>
    <w:uiPriority w:val="9"/>
    <w:unhideWhenUsed/>
    <w:qFormat/>
    <w:rsid w:val="005A04B3"/>
    <w:pPr>
      <w:keepNext/>
      <w:keepLines/>
      <w:numPr>
        <w:numId w:val="2"/>
      </w:numPr>
      <w:spacing w:before="240"/>
      <w:ind w:left="927"/>
      <w:outlineLvl w:val="1"/>
    </w:pPr>
    <w:rPr>
      <w:rFonts w:eastAsiaTheme="majorEastAsia" w:cstheme="majorBidi"/>
      <w:b/>
      <w:bCs/>
      <w:color w:val="000000" w:themeColor="text1"/>
      <w:szCs w:val="26"/>
    </w:rPr>
  </w:style>
  <w:style w:type="paragraph" w:styleId="Nadpis3">
    <w:name w:val="heading 3"/>
    <w:basedOn w:val="Normln"/>
    <w:next w:val="Normln"/>
    <w:link w:val="Nadpis3Char"/>
    <w:uiPriority w:val="9"/>
    <w:unhideWhenUsed/>
    <w:qFormat/>
    <w:rsid w:val="005A04B3"/>
    <w:pPr>
      <w:keepNext/>
      <w:keepLines/>
      <w:spacing w:before="240"/>
      <w:outlineLvl w:val="2"/>
    </w:pPr>
    <w:rPr>
      <w:rFonts w:eastAsiaTheme="majorEastAsia" w:cstheme="majorBidi"/>
      <w:b/>
      <w:bCs/>
    </w:rPr>
  </w:style>
  <w:style w:type="paragraph" w:styleId="Nadpis4">
    <w:name w:val="heading 4"/>
    <w:basedOn w:val="Normln"/>
    <w:next w:val="Normln"/>
    <w:link w:val="Nadpis4Char"/>
    <w:uiPriority w:val="9"/>
    <w:unhideWhenUsed/>
    <w:qFormat/>
    <w:rsid w:val="007A5B3B"/>
    <w:pPr>
      <w:keepNext/>
      <w:keepLines/>
      <w:spacing w:before="240"/>
      <w:outlineLvl w:val="3"/>
    </w:pPr>
    <w:rPr>
      <w:rFonts w:eastAsiaTheme="majorEastAsia" w:cstheme="majorBidi"/>
      <w:b/>
      <w:bCs/>
      <w:iCs/>
    </w:rPr>
  </w:style>
  <w:style w:type="paragraph" w:styleId="Nadpis5">
    <w:name w:val="heading 5"/>
    <w:basedOn w:val="Normln"/>
    <w:next w:val="Normln"/>
    <w:link w:val="Nadpis5Char"/>
    <w:uiPriority w:val="9"/>
    <w:unhideWhenUsed/>
    <w:qFormat/>
    <w:rsid w:val="00970D39"/>
    <w:pPr>
      <w:keepNext/>
      <w:keepLines/>
      <w:spacing w:before="240"/>
      <w:outlineLvl w:val="4"/>
    </w:pPr>
    <w:rPr>
      <w:rFonts w:eastAsiaTheme="majorEastAsia" w:cstheme="majorBidi"/>
      <w:b/>
      <w:i/>
    </w:rPr>
  </w:style>
  <w:style w:type="paragraph" w:styleId="Nadpis6">
    <w:name w:val="heading 6"/>
    <w:basedOn w:val="Normln"/>
    <w:next w:val="Normln"/>
    <w:link w:val="Nadpis6Char"/>
    <w:uiPriority w:val="9"/>
    <w:unhideWhenUsed/>
    <w:qFormat/>
    <w:rsid w:val="005B3A6E"/>
    <w:pPr>
      <w:keepNext/>
      <w:keepLines/>
      <w:outlineLvl w:val="5"/>
    </w:pPr>
    <w:rPr>
      <w:rFonts w:eastAsiaTheme="majorEastAsia" w:cstheme="majorBidi"/>
      <w:i/>
      <w:iCs/>
    </w:rPr>
  </w:style>
  <w:style w:type="paragraph" w:styleId="Nadpis7">
    <w:name w:val="heading 7"/>
    <w:basedOn w:val="Normln"/>
    <w:next w:val="Normln"/>
    <w:link w:val="Nadpis7Char"/>
    <w:uiPriority w:val="9"/>
    <w:unhideWhenUsed/>
    <w:qFormat/>
    <w:rsid w:val="000750F5"/>
    <w:pPr>
      <w:keepNext/>
      <w:keepLines/>
      <w:outlineLvl w:val="6"/>
    </w:pPr>
    <w:rPr>
      <w:rFonts w:eastAsiaTheme="majorEastAsia" w:cstheme="majorBidi"/>
      <w:i/>
      <w:iCs/>
      <w:color w:val="404040" w:themeColor="text1" w:themeTint="BF"/>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Podnadpis">
    <w:name w:val="Subtitle"/>
    <w:basedOn w:val="Normln"/>
    <w:next w:val="Normln"/>
    <w:link w:val="PodnadpisChar"/>
    <w:uiPriority w:val="11"/>
    <w:qFormat/>
    <w:rsid w:val="00504542"/>
    <w:pPr>
      <w:numPr>
        <w:numId w:val="1"/>
      </w:numPr>
      <w:spacing w:before="240"/>
      <w:outlineLvl w:val="1"/>
    </w:pPr>
    <w:rPr>
      <w:rFonts w:eastAsia="Times New Roman" w:cs="Cambria"/>
      <w:b/>
      <w:szCs w:val="24"/>
    </w:rPr>
  </w:style>
  <w:style w:type="character" w:customStyle="1" w:styleId="PodnadpisChar">
    <w:name w:val="Podnadpis Char"/>
    <w:basedOn w:val="Standardnpsmoodstavce"/>
    <w:link w:val="Podnadpis"/>
    <w:uiPriority w:val="11"/>
    <w:rsid w:val="00504542"/>
    <w:rPr>
      <w:rFonts w:ascii="Times New Roman" w:eastAsia="Times New Roman" w:hAnsi="Times New Roman" w:cs="Cambria"/>
      <w:b/>
      <w:sz w:val="24"/>
      <w:szCs w:val="24"/>
    </w:rPr>
  </w:style>
  <w:style w:type="character" w:customStyle="1" w:styleId="Nadpis1Char">
    <w:name w:val="Nadpis 1 Char"/>
    <w:basedOn w:val="Standardnpsmoodstavce"/>
    <w:link w:val="Nadpis1"/>
    <w:uiPriority w:val="9"/>
    <w:rsid w:val="005871A5"/>
    <w:rPr>
      <w:rFonts w:ascii="Times New Roman" w:eastAsiaTheme="majorEastAsia" w:hAnsi="Times New Roman" w:cstheme="majorBidi"/>
      <w:b/>
      <w:bCs/>
      <w:sz w:val="28"/>
      <w:szCs w:val="28"/>
    </w:rPr>
  </w:style>
  <w:style w:type="character" w:customStyle="1" w:styleId="Nadpis2Char">
    <w:name w:val="Nadpis 2 Char"/>
    <w:basedOn w:val="Standardnpsmoodstavce"/>
    <w:link w:val="Nadpis2"/>
    <w:uiPriority w:val="9"/>
    <w:rsid w:val="005A04B3"/>
    <w:rPr>
      <w:rFonts w:ascii="Times New Roman" w:eastAsiaTheme="majorEastAsia" w:hAnsi="Times New Roman" w:cstheme="majorBidi"/>
      <w:b/>
      <w:bCs/>
      <w:color w:val="000000" w:themeColor="text1"/>
      <w:sz w:val="24"/>
      <w:szCs w:val="26"/>
    </w:rPr>
  </w:style>
  <w:style w:type="character" w:customStyle="1" w:styleId="Nadpis3Char">
    <w:name w:val="Nadpis 3 Char"/>
    <w:basedOn w:val="Standardnpsmoodstavce"/>
    <w:link w:val="Nadpis3"/>
    <w:uiPriority w:val="9"/>
    <w:rsid w:val="005A04B3"/>
    <w:rPr>
      <w:rFonts w:ascii="Times New Roman" w:eastAsiaTheme="majorEastAsia" w:hAnsi="Times New Roman" w:cstheme="majorBidi"/>
      <w:b/>
      <w:bCs/>
      <w:sz w:val="24"/>
    </w:rPr>
  </w:style>
  <w:style w:type="paragraph" w:styleId="Odstavecseseznamem">
    <w:name w:val="List Paragraph"/>
    <w:aliases w:val="Odstavec_muj,Nad,List Paragraph (numbered (a)),Use Case List Paragraph,Normal bullet 2,Akapit z listą BS,Bullet1,References,Numbered List Paragraph,Numbered Paragraph,Main numbered paragraph,Outlines a.b.c.,List_Paragraph"/>
    <w:basedOn w:val="Normln"/>
    <w:link w:val="OdstavecseseznamemChar"/>
    <w:uiPriority w:val="34"/>
    <w:qFormat/>
    <w:rsid w:val="005871A5"/>
    <w:pPr>
      <w:ind w:left="720"/>
      <w:contextualSpacing/>
    </w:pPr>
  </w:style>
  <w:style w:type="character" w:styleId="Hypertextovodkaz">
    <w:name w:val="Hyperlink"/>
    <w:basedOn w:val="Standardnpsmoodstavce"/>
    <w:uiPriority w:val="99"/>
    <w:unhideWhenUsed/>
    <w:rsid w:val="001676DB"/>
    <w:rPr>
      <w:color w:val="0000FF"/>
      <w:u w:val="single"/>
    </w:rPr>
  </w:style>
  <w:style w:type="character" w:styleId="Odkaznakoment">
    <w:name w:val="annotation reference"/>
    <w:basedOn w:val="Standardnpsmoodstavce"/>
    <w:uiPriority w:val="99"/>
    <w:semiHidden/>
    <w:unhideWhenUsed/>
    <w:rsid w:val="001676DB"/>
    <w:rPr>
      <w:sz w:val="16"/>
      <w:szCs w:val="16"/>
    </w:rPr>
  </w:style>
  <w:style w:type="paragraph" w:styleId="Textkomente">
    <w:name w:val="annotation text"/>
    <w:basedOn w:val="Normln"/>
    <w:link w:val="TextkomenteChar"/>
    <w:uiPriority w:val="99"/>
    <w:unhideWhenUsed/>
    <w:rsid w:val="001676DB"/>
    <w:pPr>
      <w:spacing w:line="240" w:lineRule="auto"/>
    </w:pPr>
    <w:rPr>
      <w:sz w:val="20"/>
      <w:szCs w:val="20"/>
    </w:rPr>
  </w:style>
  <w:style w:type="character" w:customStyle="1" w:styleId="TextkomenteChar">
    <w:name w:val="Text komentáře Char"/>
    <w:basedOn w:val="Standardnpsmoodstavce"/>
    <w:link w:val="Textkomente"/>
    <w:uiPriority w:val="99"/>
    <w:rsid w:val="001676DB"/>
    <w:rPr>
      <w:rFonts w:ascii="Times New Roman" w:eastAsia="Calibri" w:hAnsi="Times New Roman" w:cs="Times New Roman"/>
      <w:sz w:val="20"/>
      <w:szCs w:val="20"/>
    </w:rPr>
  </w:style>
  <w:style w:type="paragraph" w:styleId="Pedmtkomente">
    <w:name w:val="annotation subject"/>
    <w:basedOn w:val="Textkomente"/>
    <w:next w:val="Textkomente"/>
    <w:link w:val="PedmtkomenteChar"/>
    <w:uiPriority w:val="99"/>
    <w:semiHidden/>
    <w:unhideWhenUsed/>
    <w:rsid w:val="001676DB"/>
    <w:rPr>
      <w:b/>
      <w:bCs/>
    </w:rPr>
  </w:style>
  <w:style w:type="character" w:customStyle="1" w:styleId="PedmtkomenteChar">
    <w:name w:val="Předmět komentáře Char"/>
    <w:basedOn w:val="TextkomenteChar"/>
    <w:link w:val="Pedmtkomente"/>
    <w:uiPriority w:val="99"/>
    <w:semiHidden/>
    <w:rsid w:val="001676DB"/>
    <w:rPr>
      <w:rFonts w:ascii="Times New Roman" w:eastAsia="Calibri" w:hAnsi="Times New Roman" w:cs="Times New Roman"/>
      <w:b/>
      <w:bCs/>
      <w:sz w:val="20"/>
      <w:szCs w:val="20"/>
    </w:rPr>
  </w:style>
  <w:style w:type="paragraph" w:styleId="Textbubliny">
    <w:name w:val="Balloon Text"/>
    <w:basedOn w:val="Normln"/>
    <w:link w:val="TextbublinyChar"/>
    <w:uiPriority w:val="99"/>
    <w:semiHidden/>
    <w:unhideWhenUsed/>
    <w:rsid w:val="001676DB"/>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1676DB"/>
    <w:rPr>
      <w:rFonts w:ascii="Tahoma" w:eastAsia="Calibri" w:hAnsi="Tahoma" w:cs="Tahoma"/>
      <w:sz w:val="16"/>
      <w:szCs w:val="16"/>
    </w:rPr>
  </w:style>
  <w:style w:type="paragraph" w:styleId="Textpoznpodarou">
    <w:name w:val="footnote text"/>
    <w:aliases w:val="Text pozn. pod čarou Char1"/>
    <w:basedOn w:val="Normln"/>
    <w:link w:val="TextpoznpodarouChar"/>
    <w:uiPriority w:val="99"/>
    <w:unhideWhenUsed/>
    <w:rsid w:val="001676DB"/>
    <w:pPr>
      <w:spacing w:after="0" w:line="240" w:lineRule="auto"/>
    </w:pPr>
    <w:rPr>
      <w:sz w:val="20"/>
      <w:szCs w:val="20"/>
    </w:rPr>
  </w:style>
  <w:style w:type="character" w:customStyle="1" w:styleId="TextpoznpodarouChar">
    <w:name w:val="Text pozn. pod čarou Char"/>
    <w:aliases w:val="Text pozn. pod čarou Char1 Char"/>
    <w:basedOn w:val="Standardnpsmoodstavce"/>
    <w:link w:val="Textpoznpodarou"/>
    <w:uiPriority w:val="99"/>
    <w:rsid w:val="001676DB"/>
    <w:rPr>
      <w:rFonts w:ascii="Times New Roman" w:eastAsia="Calibri" w:hAnsi="Times New Roman" w:cs="Times New Roman"/>
      <w:sz w:val="20"/>
      <w:szCs w:val="20"/>
    </w:rPr>
  </w:style>
  <w:style w:type="character" w:styleId="Znakapoznpodarou">
    <w:name w:val="footnote reference"/>
    <w:aliases w:val="text pozn. pod čarou,Footnote symbol,BVI fnr, BVI fnr"/>
    <w:basedOn w:val="Standardnpsmoodstavce"/>
    <w:uiPriority w:val="99"/>
    <w:unhideWhenUsed/>
    <w:rsid w:val="001676DB"/>
    <w:rPr>
      <w:vertAlign w:val="superscript"/>
    </w:rPr>
  </w:style>
  <w:style w:type="character" w:customStyle="1" w:styleId="Nadpis4Char">
    <w:name w:val="Nadpis 4 Char"/>
    <w:basedOn w:val="Standardnpsmoodstavce"/>
    <w:link w:val="Nadpis4"/>
    <w:uiPriority w:val="9"/>
    <w:rsid w:val="007A5B3B"/>
    <w:rPr>
      <w:rFonts w:ascii="Times New Roman" w:eastAsiaTheme="majorEastAsia" w:hAnsi="Times New Roman" w:cstheme="majorBidi"/>
      <w:b/>
      <w:bCs/>
      <w:iCs/>
      <w:sz w:val="24"/>
    </w:rPr>
  </w:style>
  <w:style w:type="character" w:customStyle="1" w:styleId="Nadpis5Char">
    <w:name w:val="Nadpis 5 Char"/>
    <w:basedOn w:val="Standardnpsmoodstavce"/>
    <w:link w:val="Nadpis5"/>
    <w:uiPriority w:val="9"/>
    <w:rsid w:val="00970D39"/>
    <w:rPr>
      <w:rFonts w:ascii="Times New Roman" w:eastAsiaTheme="majorEastAsia" w:hAnsi="Times New Roman" w:cstheme="majorBidi"/>
      <w:b/>
      <w:i/>
      <w:sz w:val="24"/>
    </w:rPr>
  </w:style>
  <w:style w:type="character" w:customStyle="1" w:styleId="Nadpis6Char">
    <w:name w:val="Nadpis 6 Char"/>
    <w:basedOn w:val="Standardnpsmoodstavce"/>
    <w:link w:val="Nadpis6"/>
    <w:uiPriority w:val="9"/>
    <w:rsid w:val="005B3A6E"/>
    <w:rPr>
      <w:rFonts w:ascii="Times New Roman" w:eastAsiaTheme="majorEastAsia" w:hAnsi="Times New Roman" w:cstheme="majorBidi"/>
      <w:i/>
      <w:iCs/>
      <w:sz w:val="24"/>
    </w:rPr>
  </w:style>
  <w:style w:type="paragraph" w:styleId="Zhlav">
    <w:name w:val="header"/>
    <w:basedOn w:val="Normln"/>
    <w:link w:val="ZhlavChar"/>
    <w:uiPriority w:val="99"/>
    <w:unhideWhenUsed/>
    <w:rsid w:val="008626BB"/>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8626BB"/>
    <w:rPr>
      <w:rFonts w:ascii="Times New Roman" w:eastAsia="Calibri" w:hAnsi="Times New Roman" w:cs="Times New Roman"/>
      <w:sz w:val="24"/>
    </w:rPr>
  </w:style>
  <w:style w:type="paragraph" w:styleId="Zpat">
    <w:name w:val="footer"/>
    <w:basedOn w:val="Normln"/>
    <w:link w:val="ZpatChar"/>
    <w:uiPriority w:val="99"/>
    <w:unhideWhenUsed/>
    <w:rsid w:val="008626BB"/>
    <w:pPr>
      <w:tabs>
        <w:tab w:val="center" w:pos="4536"/>
        <w:tab w:val="right" w:pos="9072"/>
      </w:tabs>
      <w:spacing w:after="0" w:line="240" w:lineRule="auto"/>
    </w:pPr>
  </w:style>
  <w:style w:type="character" w:customStyle="1" w:styleId="ZpatChar">
    <w:name w:val="Zápatí Char"/>
    <w:basedOn w:val="Standardnpsmoodstavce"/>
    <w:link w:val="Zpat"/>
    <w:uiPriority w:val="99"/>
    <w:rsid w:val="008626BB"/>
    <w:rPr>
      <w:rFonts w:ascii="Times New Roman" w:eastAsia="Calibri" w:hAnsi="Times New Roman" w:cs="Times New Roman"/>
      <w:sz w:val="24"/>
    </w:rPr>
  </w:style>
  <w:style w:type="paragraph" w:styleId="Bezmezer">
    <w:name w:val="No Spacing"/>
    <w:uiPriority w:val="1"/>
    <w:qFormat/>
    <w:rsid w:val="003B03D6"/>
    <w:pPr>
      <w:spacing w:after="0" w:line="240" w:lineRule="auto"/>
      <w:jc w:val="both"/>
    </w:pPr>
    <w:rPr>
      <w:rFonts w:ascii="Times New Roman" w:eastAsia="Calibri" w:hAnsi="Times New Roman" w:cs="Times New Roman"/>
      <w:sz w:val="24"/>
    </w:rPr>
  </w:style>
  <w:style w:type="character" w:customStyle="1" w:styleId="Nadpis7Char">
    <w:name w:val="Nadpis 7 Char"/>
    <w:basedOn w:val="Standardnpsmoodstavce"/>
    <w:link w:val="Nadpis7"/>
    <w:uiPriority w:val="9"/>
    <w:rsid w:val="000750F5"/>
    <w:rPr>
      <w:rFonts w:ascii="Times New Roman" w:eastAsiaTheme="majorEastAsia" w:hAnsi="Times New Roman" w:cstheme="majorBidi"/>
      <w:i/>
      <w:iCs/>
      <w:color w:val="404040" w:themeColor="text1" w:themeTint="BF"/>
      <w:sz w:val="24"/>
    </w:rPr>
  </w:style>
  <w:style w:type="character" w:styleId="Sledovanodkaz">
    <w:name w:val="FollowedHyperlink"/>
    <w:basedOn w:val="Standardnpsmoodstavce"/>
    <w:uiPriority w:val="99"/>
    <w:semiHidden/>
    <w:unhideWhenUsed/>
    <w:rsid w:val="006B3943"/>
    <w:rPr>
      <w:color w:val="800080" w:themeColor="followedHyperlink"/>
      <w:u w:val="single"/>
    </w:rPr>
  </w:style>
  <w:style w:type="character" w:customStyle="1" w:styleId="TextChar">
    <w:name w:val="Text Char"/>
    <w:link w:val="Text"/>
    <w:locked/>
    <w:rsid w:val="00BB4A80"/>
    <w:rPr>
      <w:rFonts w:ascii="Times New Roman" w:eastAsia="Times New Roman" w:hAnsi="Times New Roman" w:cs="Times New Roman"/>
      <w:sz w:val="24"/>
      <w:szCs w:val="24"/>
    </w:rPr>
  </w:style>
  <w:style w:type="paragraph" w:customStyle="1" w:styleId="Text">
    <w:name w:val="Text"/>
    <w:basedOn w:val="Normln"/>
    <w:link w:val="TextChar"/>
    <w:qFormat/>
    <w:rsid w:val="00BB4A80"/>
    <w:pPr>
      <w:spacing w:before="120" w:after="100" w:afterAutospacing="1"/>
    </w:pPr>
    <w:rPr>
      <w:rFonts w:eastAsia="Times New Roman"/>
      <w:szCs w:val="24"/>
    </w:rPr>
  </w:style>
  <w:style w:type="paragraph" w:styleId="Revize">
    <w:name w:val="Revision"/>
    <w:hidden/>
    <w:uiPriority w:val="99"/>
    <w:semiHidden/>
    <w:rsid w:val="00AE2DD1"/>
    <w:pPr>
      <w:spacing w:after="0" w:line="240" w:lineRule="auto"/>
    </w:pPr>
    <w:rPr>
      <w:rFonts w:ascii="Times New Roman" w:eastAsia="Calibri" w:hAnsi="Times New Roman" w:cs="Times New Roman"/>
      <w:sz w:val="24"/>
    </w:rPr>
  </w:style>
  <w:style w:type="character" w:customStyle="1" w:styleId="highlight">
    <w:name w:val="highlight"/>
    <w:basedOn w:val="Standardnpsmoodstavce"/>
    <w:rsid w:val="00BF7158"/>
  </w:style>
  <w:style w:type="character" w:customStyle="1" w:styleId="OdstavecseseznamemChar">
    <w:name w:val="Odstavec se seznamem Char"/>
    <w:aliases w:val="Odstavec_muj Char,Nad Char,List Paragraph (numbered (a)) Char,Use Case List Paragraph Char,Normal bullet 2 Char,Akapit z listą BS Char,Bullet1 Char,References Char,Numbered List Paragraph Char,Numbered Paragraph Char"/>
    <w:link w:val="Odstavecseseznamem"/>
    <w:uiPriority w:val="34"/>
    <w:rsid w:val="003B0C4B"/>
    <w:rPr>
      <w:rFonts w:ascii="Times New Roman" w:eastAsia="Calibri" w:hAnsi="Times New Roman" w:cs="Times New Roman"/>
      <w:sz w:val="24"/>
    </w:rPr>
  </w:style>
  <w:style w:type="table" w:styleId="Mkatabulky">
    <w:name w:val="Table Grid"/>
    <w:basedOn w:val="Normlntabulka"/>
    <w:uiPriority w:val="59"/>
    <w:rsid w:val="00C917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
    <w:basedOn w:val="Normln"/>
    <w:next w:val="Normln"/>
    <w:link w:val="PodtitulChar"/>
    <w:uiPriority w:val="11"/>
    <w:qFormat/>
    <w:rsid w:val="00D568C1"/>
    <w:pPr>
      <w:spacing w:before="240"/>
      <w:ind w:left="720" w:hanging="360"/>
      <w:outlineLvl w:val="1"/>
    </w:pPr>
    <w:rPr>
      <w:rFonts w:eastAsia="Times New Roman" w:cs="Cambria"/>
      <w:b/>
      <w:szCs w:val="24"/>
    </w:rPr>
  </w:style>
  <w:style w:type="character" w:customStyle="1" w:styleId="PodtitulChar">
    <w:name w:val="Podtitul Char"/>
    <w:link w:val="a"/>
    <w:uiPriority w:val="11"/>
    <w:rsid w:val="00D568C1"/>
    <w:rPr>
      <w:rFonts w:ascii="Times New Roman" w:eastAsia="Times New Roman" w:hAnsi="Times New Roman" w:cs="Cambria"/>
      <w:b/>
      <w:sz w:val="24"/>
      <w:szCs w:val="24"/>
    </w:rPr>
  </w:style>
  <w:style w:type="character" w:styleId="Siln">
    <w:name w:val="Strong"/>
    <w:uiPriority w:val="22"/>
    <w:qFormat/>
    <w:rsid w:val="00574AE3"/>
    <w:rPr>
      <w:b/>
      <w:bCs/>
    </w:rPr>
  </w:style>
  <w:style w:type="paragraph" w:styleId="Normlnweb">
    <w:name w:val="Normal (Web)"/>
    <w:basedOn w:val="Normln"/>
    <w:uiPriority w:val="99"/>
    <w:unhideWhenUsed/>
    <w:rsid w:val="00133EBC"/>
    <w:pPr>
      <w:spacing w:before="100" w:beforeAutospacing="1" w:after="100" w:afterAutospacing="1" w:line="240" w:lineRule="auto"/>
      <w:jc w:val="left"/>
    </w:pPr>
    <w:rPr>
      <w:rFonts w:eastAsia="Times New Roman"/>
      <w:szCs w:val="24"/>
      <w:lang w:eastAsia="cs-CZ"/>
    </w:rPr>
  </w:style>
  <w:style w:type="character" w:styleId="Zdraznn">
    <w:name w:val="Emphasis"/>
    <w:uiPriority w:val="20"/>
    <w:qFormat/>
    <w:rsid w:val="00133EBC"/>
    <w:rPr>
      <w:i/>
      <w:iCs/>
    </w:rPr>
  </w:style>
  <w:style w:type="character" w:customStyle="1" w:styleId="Nevyeenzmnka1">
    <w:name w:val="Nevyřešená zmínka1"/>
    <w:basedOn w:val="Standardnpsmoodstavce"/>
    <w:uiPriority w:val="99"/>
    <w:semiHidden/>
    <w:unhideWhenUsed/>
    <w:rsid w:val="00D959F2"/>
    <w:rPr>
      <w:color w:val="605E5C"/>
      <w:shd w:val="clear" w:color="auto" w:fill="E1DFDD"/>
    </w:rPr>
  </w:style>
  <w:style w:type="paragraph" w:customStyle="1" w:styleId="Dvodovzprva">
    <w:name w:val="Důvodová zpráva"/>
    <w:basedOn w:val="Normln"/>
    <w:link w:val="DvodovzprvaChar"/>
    <w:uiPriority w:val="99"/>
    <w:qFormat/>
    <w:rsid w:val="00E97B51"/>
    <w:pPr>
      <w:spacing w:before="120" w:line="240" w:lineRule="auto"/>
      <w:outlineLvl w:val="0"/>
    </w:pPr>
    <w:rPr>
      <w:rFonts w:ascii="Arial" w:eastAsia="Times New Roman" w:hAnsi="Arial"/>
      <w:color w:val="0000FF"/>
      <w:sz w:val="22"/>
      <w:szCs w:val="20"/>
      <w:lang w:eastAsia="cs-CZ"/>
    </w:rPr>
  </w:style>
  <w:style w:type="character" w:customStyle="1" w:styleId="DvodovzprvaChar">
    <w:name w:val="Důvodová zpráva Char"/>
    <w:link w:val="Dvodovzprva"/>
    <w:uiPriority w:val="99"/>
    <w:locked/>
    <w:rsid w:val="00E97B51"/>
    <w:rPr>
      <w:rFonts w:ascii="Arial" w:eastAsia="Times New Roman" w:hAnsi="Arial" w:cs="Times New Roman"/>
      <w:color w:val="0000FF"/>
      <w:szCs w:val="20"/>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96757">
      <w:bodyDiv w:val="1"/>
      <w:marLeft w:val="0"/>
      <w:marRight w:val="0"/>
      <w:marTop w:val="0"/>
      <w:marBottom w:val="0"/>
      <w:divBdr>
        <w:top w:val="none" w:sz="0" w:space="0" w:color="auto"/>
        <w:left w:val="none" w:sz="0" w:space="0" w:color="auto"/>
        <w:bottom w:val="none" w:sz="0" w:space="0" w:color="auto"/>
        <w:right w:val="none" w:sz="0" w:space="0" w:color="auto"/>
      </w:divBdr>
    </w:div>
    <w:div w:id="19209121">
      <w:bodyDiv w:val="1"/>
      <w:marLeft w:val="0"/>
      <w:marRight w:val="0"/>
      <w:marTop w:val="0"/>
      <w:marBottom w:val="0"/>
      <w:divBdr>
        <w:top w:val="none" w:sz="0" w:space="0" w:color="auto"/>
        <w:left w:val="none" w:sz="0" w:space="0" w:color="auto"/>
        <w:bottom w:val="none" w:sz="0" w:space="0" w:color="auto"/>
        <w:right w:val="none" w:sz="0" w:space="0" w:color="auto"/>
      </w:divBdr>
    </w:div>
    <w:div w:id="38404931">
      <w:bodyDiv w:val="1"/>
      <w:marLeft w:val="0"/>
      <w:marRight w:val="0"/>
      <w:marTop w:val="0"/>
      <w:marBottom w:val="0"/>
      <w:divBdr>
        <w:top w:val="none" w:sz="0" w:space="0" w:color="auto"/>
        <w:left w:val="none" w:sz="0" w:space="0" w:color="auto"/>
        <w:bottom w:val="none" w:sz="0" w:space="0" w:color="auto"/>
        <w:right w:val="none" w:sz="0" w:space="0" w:color="auto"/>
      </w:divBdr>
    </w:div>
    <w:div w:id="64881966">
      <w:bodyDiv w:val="1"/>
      <w:marLeft w:val="0"/>
      <w:marRight w:val="0"/>
      <w:marTop w:val="0"/>
      <w:marBottom w:val="0"/>
      <w:divBdr>
        <w:top w:val="none" w:sz="0" w:space="0" w:color="auto"/>
        <w:left w:val="none" w:sz="0" w:space="0" w:color="auto"/>
        <w:bottom w:val="none" w:sz="0" w:space="0" w:color="auto"/>
        <w:right w:val="none" w:sz="0" w:space="0" w:color="auto"/>
      </w:divBdr>
      <w:divsChild>
        <w:div w:id="1539272994">
          <w:marLeft w:val="0"/>
          <w:marRight w:val="0"/>
          <w:marTop w:val="0"/>
          <w:marBottom w:val="0"/>
          <w:divBdr>
            <w:top w:val="none" w:sz="0" w:space="0" w:color="auto"/>
            <w:left w:val="none" w:sz="0" w:space="0" w:color="auto"/>
            <w:bottom w:val="none" w:sz="0" w:space="0" w:color="auto"/>
            <w:right w:val="none" w:sz="0" w:space="0" w:color="auto"/>
          </w:divBdr>
        </w:div>
        <w:div w:id="1490712014">
          <w:marLeft w:val="0"/>
          <w:marRight w:val="0"/>
          <w:marTop w:val="0"/>
          <w:marBottom w:val="0"/>
          <w:divBdr>
            <w:top w:val="none" w:sz="0" w:space="0" w:color="auto"/>
            <w:left w:val="none" w:sz="0" w:space="0" w:color="auto"/>
            <w:bottom w:val="none" w:sz="0" w:space="0" w:color="auto"/>
            <w:right w:val="none" w:sz="0" w:space="0" w:color="auto"/>
          </w:divBdr>
        </w:div>
      </w:divsChild>
    </w:div>
    <w:div w:id="98139798">
      <w:bodyDiv w:val="1"/>
      <w:marLeft w:val="0"/>
      <w:marRight w:val="0"/>
      <w:marTop w:val="0"/>
      <w:marBottom w:val="0"/>
      <w:divBdr>
        <w:top w:val="none" w:sz="0" w:space="0" w:color="auto"/>
        <w:left w:val="none" w:sz="0" w:space="0" w:color="auto"/>
        <w:bottom w:val="none" w:sz="0" w:space="0" w:color="auto"/>
        <w:right w:val="none" w:sz="0" w:space="0" w:color="auto"/>
      </w:divBdr>
    </w:div>
    <w:div w:id="134028876">
      <w:bodyDiv w:val="1"/>
      <w:marLeft w:val="0"/>
      <w:marRight w:val="0"/>
      <w:marTop w:val="0"/>
      <w:marBottom w:val="0"/>
      <w:divBdr>
        <w:top w:val="none" w:sz="0" w:space="0" w:color="auto"/>
        <w:left w:val="none" w:sz="0" w:space="0" w:color="auto"/>
        <w:bottom w:val="none" w:sz="0" w:space="0" w:color="auto"/>
        <w:right w:val="none" w:sz="0" w:space="0" w:color="auto"/>
      </w:divBdr>
    </w:div>
    <w:div w:id="174073535">
      <w:bodyDiv w:val="1"/>
      <w:marLeft w:val="0"/>
      <w:marRight w:val="0"/>
      <w:marTop w:val="0"/>
      <w:marBottom w:val="0"/>
      <w:divBdr>
        <w:top w:val="none" w:sz="0" w:space="0" w:color="auto"/>
        <w:left w:val="none" w:sz="0" w:space="0" w:color="auto"/>
        <w:bottom w:val="none" w:sz="0" w:space="0" w:color="auto"/>
        <w:right w:val="none" w:sz="0" w:space="0" w:color="auto"/>
      </w:divBdr>
      <w:divsChild>
        <w:div w:id="1159542911">
          <w:marLeft w:val="0"/>
          <w:marRight w:val="0"/>
          <w:marTop w:val="0"/>
          <w:marBottom w:val="0"/>
          <w:divBdr>
            <w:top w:val="none" w:sz="0" w:space="0" w:color="auto"/>
            <w:left w:val="none" w:sz="0" w:space="0" w:color="auto"/>
            <w:bottom w:val="none" w:sz="0" w:space="0" w:color="auto"/>
            <w:right w:val="none" w:sz="0" w:space="0" w:color="auto"/>
          </w:divBdr>
          <w:divsChild>
            <w:div w:id="519898661">
              <w:marLeft w:val="0"/>
              <w:marRight w:val="0"/>
              <w:marTop w:val="0"/>
              <w:marBottom w:val="0"/>
              <w:divBdr>
                <w:top w:val="none" w:sz="0" w:space="0" w:color="auto"/>
                <w:left w:val="none" w:sz="0" w:space="0" w:color="auto"/>
                <w:bottom w:val="none" w:sz="0" w:space="0" w:color="auto"/>
                <w:right w:val="none" w:sz="0" w:space="0" w:color="auto"/>
              </w:divBdr>
              <w:divsChild>
                <w:div w:id="1596356797">
                  <w:marLeft w:val="0"/>
                  <w:marRight w:val="0"/>
                  <w:marTop w:val="0"/>
                  <w:marBottom w:val="0"/>
                  <w:divBdr>
                    <w:top w:val="none" w:sz="0" w:space="0" w:color="auto"/>
                    <w:left w:val="none" w:sz="0" w:space="0" w:color="auto"/>
                    <w:bottom w:val="none" w:sz="0" w:space="0" w:color="auto"/>
                    <w:right w:val="none" w:sz="0" w:space="0" w:color="auto"/>
                  </w:divBdr>
                  <w:divsChild>
                    <w:div w:id="1558785346">
                      <w:marLeft w:val="0"/>
                      <w:marRight w:val="0"/>
                      <w:marTop w:val="0"/>
                      <w:marBottom w:val="0"/>
                      <w:divBdr>
                        <w:top w:val="none" w:sz="0" w:space="0" w:color="auto"/>
                        <w:left w:val="none" w:sz="0" w:space="0" w:color="auto"/>
                        <w:bottom w:val="none" w:sz="0" w:space="0" w:color="auto"/>
                        <w:right w:val="none" w:sz="0" w:space="0" w:color="auto"/>
                      </w:divBdr>
                      <w:divsChild>
                        <w:div w:id="965357574">
                          <w:marLeft w:val="0"/>
                          <w:marRight w:val="0"/>
                          <w:marTop w:val="0"/>
                          <w:marBottom w:val="750"/>
                          <w:divBdr>
                            <w:top w:val="none" w:sz="0" w:space="0" w:color="auto"/>
                            <w:left w:val="none" w:sz="0" w:space="0" w:color="auto"/>
                            <w:bottom w:val="none" w:sz="0" w:space="0" w:color="auto"/>
                            <w:right w:val="none" w:sz="0" w:space="0" w:color="auto"/>
                          </w:divBdr>
                        </w:div>
                      </w:divsChild>
                    </w:div>
                  </w:divsChild>
                </w:div>
              </w:divsChild>
            </w:div>
          </w:divsChild>
        </w:div>
      </w:divsChild>
    </w:div>
    <w:div w:id="174266762">
      <w:bodyDiv w:val="1"/>
      <w:marLeft w:val="0"/>
      <w:marRight w:val="0"/>
      <w:marTop w:val="0"/>
      <w:marBottom w:val="0"/>
      <w:divBdr>
        <w:top w:val="none" w:sz="0" w:space="0" w:color="auto"/>
        <w:left w:val="none" w:sz="0" w:space="0" w:color="auto"/>
        <w:bottom w:val="none" w:sz="0" w:space="0" w:color="auto"/>
        <w:right w:val="none" w:sz="0" w:space="0" w:color="auto"/>
      </w:divBdr>
    </w:div>
    <w:div w:id="182206787">
      <w:bodyDiv w:val="1"/>
      <w:marLeft w:val="0"/>
      <w:marRight w:val="0"/>
      <w:marTop w:val="0"/>
      <w:marBottom w:val="0"/>
      <w:divBdr>
        <w:top w:val="none" w:sz="0" w:space="0" w:color="auto"/>
        <w:left w:val="none" w:sz="0" w:space="0" w:color="auto"/>
        <w:bottom w:val="none" w:sz="0" w:space="0" w:color="auto"/>
        <w:right w:val="none" w:sz="0" w:space="0" w:color="auto"/>
      </w:divBdr>
    </w:div>
    <w:div w:id="274872386">
      <w:bodyDiv w:val="1"/>
      <w:marLeft w:val="0"/>
      <w:marRight w:val="0"/>
      <w:marTop w:val="0"/>
      <w:marBottom w:val="0"/>
      <w:divBdr>
        <w:top w:val="none" w:sz="0" w:space="0" w:color="auto"/>
        <w:left w:val="none" w:sz="0" w:space="0" w:color="auto"/>
        <w:bottom w:val="none" w:sz="0" w:space="0" w:color="auto"/>
        <w:right w:val="none" w:sz="0" w:space="0" w:color="auto"/>
      </w:divBdr>
    </w:div>
    <w:div w:id="350305776">
      <w:bodyDiv w:val="1"/>
      <w:marLeft w:val="0"/>
      <w:marRight w:val="0"/>
      <w:marTop w:val="0"/>
      <w:marBottom w:val="0"/>
      <w:divBdr>
        <w:top w:val="none" w:sz="0" w:space="0" w:color="auto"/>
        <w:left w:val="none" w:sz="0" w:space="0" w:color="auto"/>
        <w:bottom w:val="none" w:sz="0" w:space="0" w:color="auto"/>
        <w:right w:val="none" w:sz="0" w:space="0" w:color="auto"/>
      </w:divBdr>
    </w:div>
    <w:div w:id="362944022">
      <w:bodyDiv w:val="1"/>
      <w:marLeft w:val="0"/>
      <w:marRight w:val="0"/>
      <w:marTop w:val="0"/>
      <w:marBottom w:val="0"/>
      <w:divBdr>
        <w:top w:val="none" w:sz="0" w:space="0" w:color="auto"/>
        <w:left w:val="none" w:sz="0" w:space="0" w:color="auto"/>
        <w:bottom w:val="none" w:sz="0" w:space="0" w:color="auto"/>
        <w:right w:val="none" w:sz="0" w:space="0" w:color="auto"/>
      </w:divBdr>
      <w:divsChild>
        <w:div w:id="818302815">
          <w:marLeft w:val="480"/>
          <w:marRight w:val="0"/>
          <w:marTop w:val="0"/>
          <w:marBottom w:val="0"/>
          <w:divBdr>
            <w:top w:val="none" w:sz="0" w:space="0" w:color="auto"/>
            <w:left w:val="none" w:sz="0" w:space="0" w:color="auto"/>
            <w:bottom w:val="none" w:sz="0" w:space="0" w:color="auto"/>
            <w:right w:val="none" w:sz="0" w:space="0" w:color="auto"/>
          </w:divBdr>
        </w:div>
      </w:divsChild>
    </w:div>
    <w:div w:id="367343313">
      <w:bodyDiv w:val="1"/>
      <w:marLeft w:val="0"/>
      <w:marRight w:val="0"/>
      <w:marTop w:val="0"/>
      <w:marBottom w:val="0"/>
      <w:divBdr>
        <w:top w:val="none" w:sz="0" w:space="0" w:color="auto"/>
        <w:left w:val="none" w:sz="0" w:space="0" w:color="auto"/>
        <w:bottom w:val="none" w:sz="0" w:space="0" w:color="auto"/>
        <w:right w:val="none" w:sz="0" w:space="0" w:color="auto"/>
      </w:divBdr>
      <w:divsChild>
        <w:div w:id="377097304">
          <w:marLeft w:val="547"/>
          <w:marRight w:val="0"/>
          <w:marTop w:val="0"/>
          <w:marBottom w:val="0"/>
          <w:divBdr>
            <w:top w:val="none" w:sz="0" w:space="0" w:color="auto"/>
            <w:left w:val="none" w:sz="0" w:space="0" w:color="auto"/>
            <w:bottom w:val="none" w:sz="0" w:space="0" w:color="auto"/>
            <w:right w:val="none" w:sz="0" w:space="0" w:color="auto"/>
          </w:divBdr>
        </w:div>
      </w:divsChild>
    </w:div>
    <w:div w:id="410196690">
      <w:bodyDiv w:val="1"/>
      <w:marLeft w:val="0"/>
      <w:marRight w:val="0"/>
      <w:marTop w:val="0"/>
      <w:marBottom w:val="0"/>
      <w:divBdr>
        <w:top w:val="none" w:sz="0" w:space="0" w:color="auto"/>
        <w:left w:val="none" w:sz="0" w:space="0" w:color="auto"/>
        <w:bottom w:val="none" w:sz="0" w:space="0" w:color="auto"/>
        <w:right w:val="none" w:sz="0" w:space="0" w:color="auto"/>
      </w:divBdr>
      <w:divsChild>
        <w:div w:id="1287390323">
          <w:marLeft w:val="0"/>
          <w:marRight w:val="0"/>
          <w:marTop w:val="0"/>
          <w:marBottom w:val="0"/>
          <w:divBdr>
            <w:top w:val="none" w:sz="0" w:space="0" w:color="auto"/>
            <w:left w:val="none" w:sz="0" w:space="0" w:color="auto"/>
            <w:bottom w:val="none" w:sz="0" w:space="0" w:color="auto"/>
            <w:right w:val="none" w:sz="0" w:space="0" w:color="auto"/>
          </w:divBdr>
        </w:div>
        <w:div w:id="704984325">
          <w:marLeft w:val="0"/>
          <w:marRight w:val="0"/>
          <w:marTop w:val="0"/>
          <w:marBottom w:val="0"/>
          <w:divBdr>
            <w:top w:val="none" w:sz="0" w:space="0" w:color="auto"/>
            <w:left w:val="none" w:sz="0" w:space="0" w:color="auto"/>
            <w:bottom w:val="none" w:sz="0" w:space="0" w:color="auto"/>
            <w:right w:val="none" w:sz="0" w:space="0" w:color="auto"/>
          </w:divBdr>
        </w:div>
      </w:divsChild>
    </w:div>
    <w:div w:id="527832717">
      <w:bodyDiv w:val="1"/>
      <w:marLeft w:val="0"/>
      <w:marRight w:val="0"/>
      <w:marTop w:val="0"/>
      <w:marBottom w:val="0"/>
      <w:divBdr>
        <w:top w:val="none" w:sz="0" w:space="0" w:color="auto"/>
        <w:left w:val="none" w:sz="0" w:space="0" w:color="auto"/>
        <w:bottom w:val="none" w:sz="0" w:space="0" w:color="auto"/>
        <w:right w:val="none" w:sz="0" w:space="0" w:color="auto"/>
      </w:divBdr>
    </w:div>
    <w:div w:id="555698755">
      <w:bodyDiv w:val="1"/>
      <w:marLeft w:val="0"/>
      <w:marRight w:val="0"/>
      <w:marTop w:val="0"/>
      <w:marBottom w:val="0"/>
      <w:divBdr>
        <w:top w:val="none" w:sz="0" w:space="0" w:color="auto"/>
        <w:left w:val="none" w:sz="0" w:space="0" w:color="auto"/>
        <w:bottom w:val="none" w:sz="0" w:space="0" w:color="auto"/>
        <w:right w:val="none" w:sz="0" w:space="0" w:color="auto"/>
      </w:divBdr>
    </w:div>
    <w:div w:id="568425587">
      <w:bodyDiv w:val="1"/>
      <w:marLeft w:val="0"/>
      <w:marRight w:val="0"/>
      <w:marTop w:val="0"/>
      <w:marBottom w:val="0"/>
      <w:divBdr>
        <w:top w:val="none" w:sz="0" w:space="0" w:color="auto"/>
        <w:left w:val="none" w:sz="0" w:space="0" w:color="auto"/>
        <w:bottom w:val="none" w:sz="0" w:space="0" w:color="auto"/>
        <w:right w:val="none" w:sz="0" w:space="0" w:color="auto"/>
      </w:divBdr>
      <w:divsChild>
        <w:div w:id="60911745">
          <w:marLeft w:val="0"/>
          <w:marRight w:val="0"/>
          <w:marTop w:val="0"/>
          <w:marBottom w:val="0"/>
          <w:divBdr>
            <w:top w:val="none" w:sz="0" w:space="0" w:color="auto"/>
            <w:left w:val="none" w:sz="0" w:space="0" w:color="auto"/>
            <w:bottom w:val="none" w:sz="0" w:space="0" w:color="auto"/>
            <w:right w:val="none" w:sz="0" w:space="0" w:color="auto"/>
          </w:divBdr>
          <w:divsChild>
            <w:div w:id="532808991">
              <w:marLeft w:val="0"/>
              <w:marRight w:val="0"/>
              <w:marTop w:val="0"/>
              <w:marBottom w:val="0"/>
              <w:divBdr>
                <w:top w:val="none" w:sz="0" w:space="0" w:color="auto"/>
                <w:left w:val="none" w:sz="0" w:space="0" w:color="auto"/>
                <w:bottom w:val="none" w:sz="0" w:space="0" w:color="auto"/>
                <w:right w:val="none" w:sz="0" w:space="0" w:color="auto"/>
              </w:divBdr>
              <w:divsChild>
                <w:div w:id="1706983083">
                  <w:marLeft w:val="0"/>
                  <w:marRight w:val="0"/>
                  <w:marTop w:val="0"/>
                  <w:marBottom w:val="0"/>
                  <w:divBdr>
                    <w:top w:val="none" w:sz="0" w:space="0" w:color="auto"/>
                    <w:left w:val="none" w:sz="0" w:space="0" w:color="auto"/>
                    <w:bottom w:val="none" w:sz="0" w:space="0" w:color="auto"/>
                    <w:right w:val="none" w:sz="0" w:space="0" w:color="auto"/>
                  </w:divBdr>
                  <w:divsChild>
                    <w:div w:id="891120113">
                      <w:marLeft w:val="0"/>
                      <w:marRight w:val="0"/>
                      <w:marTop w:val="0"/>
                      <w:marBottom w:val="0"/>
                      <w:divBdr>
                        <w:top w:val="none" w:sz="0" w:space="0" w:color="auto"/>
                        <w:left w:val="none" w:sz="0" w:space="0" w:color="auto"/>
                        <w:bottom w:val="none" w:sz="0" w:space="0" w:color="auto"/>
                        <w:right w:val="none" w:sz="0" w:space="0" w:color="auto"/>
                      </w:divBdr>
                      <w:divsChild>
                        <w:div w:id="1866794009">
                          <w:marLeft w:val="0"/>
                          <w:marRight w:val="0"/>
                          <w:marTop w:val="0"/>
                          <w:marBottom w:val="0"/>
                          <w:divBdr>
                            <w:top w:val="none" w:sz="0" w:space="0" w:color="auto"/>
                            <w:left w:val="none" w:sz="0" w:space="0" w:color="auto"/>
                            <w:bottom w:val="none" w:sz="0" w:space="0" w:color="auto"/>
                            <w:right w:val="none" w:sz="0" w:space="0" w:color="auto"/>
                          </w:divBdr>
                          <w:divsChild>
                            <w:div w:id="1148085208">
                              <w:marLeft w:val="0"/>
                              <w:marRight w:val="0"/>
                              <w:marTop w:val="0"/>
                              <w:marBottom w:val="0"/>
                              <w:divBdr>
                                <w:top w:val="none" w:sz="0" w:space="0" w:color="auto"/>
                                <w:left w:val="none" w:sz="0" w:space="0" w:color="auto"/>
                                <w:bottom w:val="none" w:sz="0" w:space="0" w:color="auto"/>
                                <w:right w:val="none" w:sz="0" w:space="0" w:color="auto"/>
                              </w:divBdr>
                              <w:divsChild>
                                <w:div w:id="1520316988">
                                  <w:marLeft w:val="0"/>
                                  <w:marRight w:val="0"/>
                                  <w:marTop w:val="0"/>
                                  <w:marBottom w:val="0"/>
                                  <w:divBdr>
                                    <w:top w:val="none" w:sz="0" w:space="0" w:color="auto"/>
                                    <w:left w:val="none" w:sz="0" w:space="0" w:color="auto"/>
                                    <w:bottom w:val="none" w:sz="0" w:space="0" w:color="auto"/>
                                    <w:right w:val="none" w:sz="0" w:space="0" w:color="auto"/>
                                  </w:divBdr>
                                  <w:divsChild>
                                    <w:div w:id="385614243">
                                      <w:marLeft w:val="0"/>
                                      <w:marRight w:val="0"/>
                                      <w:marTop w:val="0"/>
                                      <w:marBottom w:val="0"/>
                                      <w:divBdr>
                                        <w:top w:val="none" w:sz="0" w:space="0" w:color="auto"/>
                                        <w:left w:val="none" w:sz="0" w:space="0" w:color="auto"/>
                                        <w:bottom w:val="none" w:sz="0" w:space="0" w:color="auto"/>
                                        <w:right w:val="none" w:sz="0" w:space="0" w:color="auto"/>
                                      </w:divBdr>
                                      <w:divsChild>
                                        <w:div w:id="1759599206">
                                          <w:marLeft w:val="0"/>
                                          <w:marRight w:val="0"/>
                                          <w:marTop w:val="0"/>
                                          <w:marBottom w:val="0"/>
                                          <w:divBdr>
                                            <w:top w:val="none" w:sz="0" w:space="0" w:color="auto"/>
                                            <w:left w:val="none" w:sz="0" w:space="0" w:color="auto"/>
                                            <w:bottom w:val="none" w:sz="0" w:space="0" w:color="auto"/>
                                            <w:right w:val="none" w:sz="0" w:space="0" w:color="auto"/>
                                          </w:divBdr>
                                          <w:divsChild>
                                            <w:div w:id="785319125">
                                              <w:marLeft w:val="0"/>
                                              <w:marRight w:val="0"/>
                                              <w:marTop w:val="0"/>
                                              <w:marBottom w:val="0"/>
                                              <w:divBdr>
                                                <w:top w:val="none" w:sz="0" w:space="0" w:color="auto"/>
                                                <w:left w:val="none" w:sz="0" w:space="0" w:color="auto"/>
                                                <w:bottom w:val="none" w:sz="0" w:space="0" w:color="auto"/>
                                                <w:right w:val="none" w:sz="0" w:space="0" w:color="auto"/>
                                              </w:divBdr>
                                              <w:divsChild>
                                                <w:div w:id="132410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18075687">
      <w:bodyDiv w:val="1"/>
      <w:marLeft w:val="0"/>
      <w:marRight w:val="0"/>
      <w:marTop w:val="0"/>
      <w:marBottom w:val="0"/>
      <w:divBdr>
        <w:top w:val="none" w:sz="0" w:space="0" w:color="auto"/>
        <w:left w:val="none" w:sz="0" w:space="0" w:color="auto"/>
        <w:bottom w:val="none" w:sz="0" w:space="0" w:color="auto"/>
        <w:right w:val="none" w:sz="0" w:space="0" w:color="auto"/>
      </w:divBdr>
    </w:div>
    <w:div w:id="632753105">
      <w:bodyDiv w:val="1"/>
      <w:marLeft w:val="0"/>
      <w:marRight w:val="0"/>
      <w:marTop w:val="0"/>
      <w:marBottom w:val="0"/>
      <w:divBdr>
        <w:top w:val="none" w:sz="0" w:space="0" w:color="auto"/>
        <w:left w:val="none" w:sz="0" w:space="0" w:color="auto"/>
        <w:bottom w:val="none" w:sz="0" w:space="0" w:color="auto"/>
        <w:right w:val="none" w:sz="0" w:space="0" w:color="auto"/>
      </w:divBdr>
    </w:div>
    <w:div w:id="640355391">
      <w:bodyDiv w:val="1"/>
      <w:marLeft w:val="0"/>
      <w:marRight w:val="0"/>
      <w:marTop w:val="0"/>
      <w:marBottom w:val="0"/>
      <w:divBdr>
        <w:top w:val="none" w:sz="0" w:space="0" w:color="auto"/>
        <w:left w:val="none" w:sz="0" w:space="0" w:color="auto"/>
        <w:bottom w:val="none" w:sz="0" w:space="0" w:color="auto"/>
        <w:right w:val="none" w:sz="0" w:space="0" w:color="auto"/>
      </w:divBdr>
    </w:div>
    <w:div w:id="660424330">
      <w:bodyDiv w:val="1"/>
      <w:marLeft w:val="0"/>
      <w:marRight w:val="0"/>
      <w:marTop w:val="0"/>
      <w:marBottom w:val="0"/>
      <w:divBdr>
        <w:top w:val="none" w:sz="0" w:space="0" w:color="auto"/>
        <w:left w:val="none" w:sz="0" w:space="0" w:color="auto"/>
        <w:bottom w:val="none" w:sz="0" w:space="0" w:color="auto"/>
        <w:right w:val="none" w:sz="0" w:space="0" w:color="auto"/>
      </w:divBdr>
    </w:div>
    <w:div w:id="720329694">
      <w:bodyDiv w:val="1"/>
      <w:marLeft w:val="0"/>
      <w:marRight w:val="0"/>
      <w:marTop w:val="0"/>
      <w:marBottom w:val="0"/>
      <w:divBdr>
        <w:top w:val="none" w:sz="0" w:space="0" w:color="auto"/>
        <w:left w:val="none" w:sz="0" w:space="0" w:color="auto"/>
        <w:bottom w:val="none" w:sz="0" w:space="0" w:color="auto"/>
        <w:right w:val="none" w:sz="0" w:space="0" w:color="auto"/>
      </w:divBdr>
    </w:div>
    <w:div w:id="726996662">
      <w:bodyDiv w:val="1"/>
      <w:marLeft w:val="0"/>
      <w:marRight w:val="0"/>
      <w:marTop w:val="0"/>
      <w:marBottom w:val="0"/>
      <w:divBdr>
        <w:top w:val="none" w:sz="0" w:space="0" w:color="auto"/>
        <w:left w:val="none" w:sz="0" w:space="0" w:color="auto"/>
        <w:bottom w:val="none" w:sz="0" w:space="0" w:color="auto"/>
        <w:right w:val="none" w:sz="0" w:space="0" w:color="auto"/>
      </w:divBdr>
    </w:div>
    <w:div w:id="737023932">
      <w:bodyDiv w:val="1"/>
      <w:marLeft w:val="0"/>
      <w:marRight w:val="0"/>
      <w:marTop w:val="0"/>
      <w:marBottom w:val="0"/>
      <w:divBdr>
        <w:top w:val="none" w:sz="0" w:space="0" w:color="auto"/>
        <w:left w:val="none" w:sz="0" w:space="0" w:color="auto"/>
        <w:bottom w:val="none" w:sz="0" w:space="0" w:color="auto"/>
        <w:right w:val="none" w:sz="0" w:space="0" w:color="auto"/>
      </w:divBdr>
    </w:div>
    <w:div w:id="740255494">
      <w:bodyDiv w:val="1"/>
      <w:marLeft w:val="0"/>
      <w:marRight w:val="0"/>
      <w:marTop w:val="0"/>
      <w:marBottom w:val="0"/>
      <w:divBdr>
        <w:top w:val="none" w:sz="0" w:space="0" w:color="auto"/>
        <w:left w:val="none" w:sz="0" w:space="0" w:color="auto"/>
        <w:bottom w:val="none" w:sz="0" w:space="0" w:color="auto"/>
        <w:right w:val="none" w:sz="0" w:space="0" w:color="auto"/>
      </w:divBdr>
      <w:divsChild>
        <w:div w:id="253131282">
          <w:marLeft w:val="0"/>
          <w:marRight w:val="0"/>
          <w:marTop w:val="0"/>
          <w:marBottom w:val="0"/>
          <w:divBdr>
            <w:top w:val="none" w:sz="0" w:space="0" w:color="auto"/>
            <w:left w:val="none" w:sz="0" w:space="0" w:color="auto"/>
            <w:bottom w:val="none" w:sz="0" w:space="0" w:color="auto"/>
            <w:right w:val="none" w:sz="0" w:space="0" w:color="auto"/>
          </w:divBdr>
          <w:divsChild>
            <w:div w:id="2090692192">
              <w:marLeft w:val="0"/>
              <w:marRight w:val="0"/>
              <w:marTop w:val="0"/>
              <w:marBottom w:val="0"/>
              <w:divBdr>
                <w:top w:val="none" w:sz="0" w:space="0" w:color="auto"/>
                <w:left w:val="none" w:sz="0" w:space="0" w:color="auto"/>
                <w:bottom w:val="none" w:sz="0" w:space="0" w:color="auto"/>
                <w:right w:val="none" w:sz="0" w:space="0" w:color="auto"/>
              </w:divBdr>
              <w:divsChild>
                <w:div w:id="669605581">
                  <w:marLeft w:val="0"/>
                  <w:marRight w:val="0"/>
                  <w:marTop w:val="0"/>
                  <w:marBottom w:val="0"/>
                  <w:divBdr>
                    <w:top w:val="none" w:sz="0" w:space="0" w:color="auto"/>
                    <w:left w:val="none" w:sz="0" w:space="0" w:color="auto"/>
                    <w:bottom w:val="none" w:sz="0" w:space="0" w:color="auto"/>
                    <w:right w:val="none" w:sz="0" w:space="0" w:color="auto"/>
                  </w:divBdr>
                  <w:divsChild>
                    <w:div w:id="1310207657">
                      <w:marLeft w:val="-150"/>
                      <w:marRight w:val="-150"/>
                      <w:marTop w:val="0"/>
                      <w:marBottom w:val="0"/>
                      <w:divBdr>
                        <w:top w:val="none" w:sz="0" w:space="0" w:color="auto"/>
                        <w:left w:val="none" w:sz="0" w:space="0" w:color="auto"/>
                        <w:bottom w:val="none" w:sz="0" w:space="0" w:color="auto"/>
                        <w:right w:val="none" w:sz="0" w:space="0" w:color="auto"/>
                      </w:divBdr>
                      <w:divsChild>
                        <w:div w:id="630981014">
                          <w:marLeft w:val="0"/>
                          <w:marRight w:val="0"/>
                          <w:marTop w:val="0"/>
                          <w:marBottom w:val="0"/>
                          <w:divBdr>
                            <w:top w:val="none" w:sz="0" w:space="0" w:color="auto"/>
                            <w:left w:val="none" w:sz="0" w:space="0" w:color="auto"/>
                            <w:bottom w:val="none" w:sz="0" w:space="0" w:color="auto"/>
                            <w:right w:val="none" w:sz="0" w:space="0" w:color="auto"/>
                          </w:divBdr>
                          <w:divsChild>
                            <w:div w:id="963149550">
                              <w:marLeft w:val="0"/>
                              <w:marRight w:val="0"/>
                              <w:marTop w:val="0"/>
                              <w:marBottom w:val="0"/>
                              <w:divBdr>
                                <w:top w:val="none" w:sz="0" w:space="0" w:color="auto"/>
                                <w:left w:val="none" w:sz="0" w:space="0" w:color="auto"/>
                                <w:bottom w:val="none" w:sz="0" w:space="0" w:color="auto"/>
                                <w:right w:val="none" w:sz="0" w:space="0" w:color="auto"/>
                              </w:divBdr>
                              <w:divsChild>
                                <w:div w:id="1597790589">
                                  <w:marLeft w:val="0"/>
                                  <w:marRight w:val="0"/>
                                  <w:marTop w:val="0"/>
                                  <w:marBottom w:val="300"/>
                                  <w:divBdr>
                                    <w:top w:val="none" w:sz="0" w:space="0" w:color="auto"/>
                                    <w:left w:val="none" w:sz="0" w:space="0" w:color="auto"/>
                                    <w:bottom w:val="none" w:sz="0" w:space="0" w:color="auto"/>
                                    <w:right w:val="none" w:sz="0" w:space="0" w:color="auto"/>
                                  </w:divBdr>
                                  <w:divsChild>
                                    <w:div w:id="1050610761">
                                      <w:marLeft w:val="0"/>
                                      <w:marRight w:val="0"/>
                                      <w:marTop w:val="0"/>
                                      <w:marBottom w:val="0"/>
                                      <w:divBdr>
                                        <w:top w:val="none" w:sz="0" w:space="0" w:color="auto"/>
                                        <w:left w:val="none" w:sz="0" w:space="0" w:color="auto"/>
                                        <w:bottom w:val="none" w:sz="0" w:space="0" w:color="auto"/>
                                        <w:right w:val="none" w:sz="0" w:space="0" w:color="auto"/>
                                      </w:divBdr>
                                      <w:divsChild>
                                        <w:div w:id="2018535309">
                                          <w:marLeft w:val="0"/>
                                          <w:marRight w:val="0"/>
                                          <w:marTop w:val="0"/>
                                          <w:marBottom w:val="0"/>
                                          <w:divBdr>
                                            <w:top w:val="none" w:sz="0" w:space="0" w:color="auto"/>
                                            <w:left w:val="none" w:sz="0" w:space="0" w:color="auto"/>
                                            <w:bottom w:val="none" w:sz="0" w:space="0" w:color="auto"/>
                                            <w:right w:val="none" w:sz="0" w:space="0" w:color="auto"/>
                                          </w:divBdr>
                                          <w:divsChild>
                                            <w:div w:id="958343621">
                                              <w:marLeft w:val="0"/>
                                              <w:marRight w:val="0"/>
                                              <w:marTop w:val="0"/>
                                              <w:marBottom w:val="0"/>
                                              <w:divBdr>
                                                <w:top w:val="none" w:sz="0" w:space="0" w:color="auto"/>
                                                <w:left w:val="none" w:sz="0" w:space="0" w:color="auto"/>
                                                <w:bottom w:val="none" w:sz="0" w:space="0" w:color="auto"/>
                                                <w:right w:val="none" w:sz="0" w:space="0" w:color="auto"/>
                                              </w:divBdr>
                                              <w:divsChild>
                                                <w:div w:id="313607291">
                                                  <w:marLeft w:val="0"/>
                                                  <w:marRight w:val="0"/>
                                                  <w:marTop w:val="0"/>
                                                  <w:marBottom w:val="0"/>
                                                  <w:divBdr>
                                                    <w:top w:val="none" w:sz="0" w:space="0" w:color="auto"/>
                                                    <w:left w:val="none" w:sz="0" w:space="0" w:color="auto"/>
                                                    <w:bottom w:val="none" w:sz="0" w:space="0" w:color="auto"/>
                                                    <w:right w:val="none" w:sz="0" w:space="0" w:color="auto"/>
                                                  </w:divBdr>
                                                  <w:divsChild>
                                                    <w:div w:id="1280840015">
                                                      <w:marLeft w:val="0"/>
                                                      <w:marRight w:val="0"/>
                                                      <w:marTop w:val="0"/>
                                                      <w:marBottom w:val="0"/>
                                                      <w:divBdr>
                                                        <w:top w:val="none" w:sz="0" w:space="0" w:color="auto"/>
                                                        <w:left w:val="none" w:sz="0" w:space="0" w:color="auto"/>
                                                        <w:bottom w:val="none" w:sz="0" w:space="0" w:color="auto"/>
                                                        <w:right w:val="none" w:sz="0" w:space="0" w:color="auto"/>
                                                      </w:divBdr>
                                                      <w:divsChild>
                                                        <w:div w:id="1916931722">
                                                          <w:marLeft w:val="0"/>
                                                          <w:marRight w:val="0"/>
                                                          <w:marTop w:val="0"/>
                                                          <w:marBottom w:val="0"/>
                                                          <w:divBdr>
                                                            <w:top w:val="none" w:sz="0" w:space="0" w:color="auto"/>
                                                            <w:left w:val="none" w:sz="0" w:space="0" w:color="auto"/>
                                                            <w:bottom w:val="none" w:sz="0" w:space="0" w:color="auto"/>
                                                            <w:right w:val="none" w:sz="0" w:space="0" w:color="auto"/>
                                                          </w:divBdr>
                                                          <w:divsChild>
                                                            <w:div w:id="51099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7767584">
      <w:bodyDiv w:val="1"/>
      <w:marLeft w:val="0"/>
      <w:marRight w:val="0"/>
      <w:marTop w:val="0"/>
      <w:marBottom w:val="0"/>
      <w:divBdr>
        <w:top w:val="none" w:sz="0" w:space="0" w:color="auto"/>
        <w:left w:val="none" w:sz="0" w:space="0" w:color="auto"/>
        <w:bottom w:val="none" w:sz="0" w:space="0" w:color="auto"/>
        <w:right w:val="none" w:sz="0" w:space="0" w:color="auto"/>
      </w:divBdr>
      <w:divsChild>
        <w:div w:id="828058018">
          <w:marLeft w:val="0"/>
          <w:marRight w:val="0"/>
          <w:marTop w:val="0"/>
          <w:marBottom w:val="0"/>
          <w:divBdr>
            <w:top w:val="none" w:sz="0" w:space="0" w:color="auto"/>
            <w:left w:val="none" w:sz="0" w:space="0" w:color="auto"/>
            <w:bottom w:val="none" w:sz="0" w:space="0" w:color="auto"/>
            <w:right w:val="none" w:sz="0" w:space="0" w:color="auto"/>
          </w:divBdr>
        </w:div>
        <w:div w:id="997458501">
          <w:marLeft w:val="0"/>
          <w:marRight w:val="0"/>
          <w:marTop w:val="0"/>
          <w:marBottom w:val="0"/>
          <w:divBdr>
            <w:top w:val="none" w:sz="0" w:space="0" w:color="auto"/>
            <w:left w:val="none" w:sz="0" w:space="0" w:color="auto"/>
            <w:bottom w:val="none" w:sz="0" w:space="0" w:color="auto"/>
            <w:right w:val="none" w:sz="0" w:space="0" w:color="auto"/>
          </w:divBdr>
        </w:div>
      </w:divsChild>
    </w:div>
    <w:div w:id="847252299">
      <w:bodyDiv w:val="1"/>
      <w:marLeft w:val="0"/>
      <w:marRight w:val="0"/>
      <w:marTop w:val="0"/>
      <w:marBottom w:val="0"/>
      <w:divBdr>
        <w:top w:val="none" w:sz="0" w:space="0" w:color="auto"/>
        <w:left w:val="none" w:sz="0" w:space="0" w:color="auto"/>
        <w:bottom w:val="none" w:sz="0" w:space="0" w:color="auto"/>
        <w:right w:val="none" w:sz="0" w:space="0" w:color="auto"/>
      </w:divBdr>
    </w:div>
    <w:div w:id="869953887">
      <w:bodyDiv w:val="1"/>
      <w:marLeft w:val="0"/>
      <w:marRight w:val="0"/>
      <w:marTop w:val="0"/>
      <w:marBottom w:val="0"/>
      <w:divBdr>
        <w:top w:val="none" w:sz="0" w:space="0" w:color="auto"/>
        <w:left w:val="none" w:sz="0" w:space="0" w:color="auto"/>
        <w:bottom w:val="none" w:sz="0" w:space="0" w:color="auto"/>
        <w:right w:val="none" w:sz="0" w:space="0" w:color="auto"/>
      </w:divBdr>
    </w:div>
    <w:div w:id="939292830">
      <w:bodyDiv w:val="1"/>
      <w:marLeft w:val="0"/>
      <w:marRight w:val="0"/>
      <w:marTop w:val="0"/>
      <w:marBottom w:val="0"/>
      <w:divBdr>
        <w:top w:val="none" w:sz="0" w:space="0" w:color="auto"/>
        <w:left w:val="none" w:sz="0" w:space="0" w:color="auto"/>
        <w:bottom w:val="none" w:sz="0" w:space="0" w:color="auto"/>
        <w:right w:val="none" w:sz="0" w:space="0" w:color="auto"/>
      </w:divBdr>
    </w:div>
    <w:div w:id="941260750">
      <w:bodyDiv w:val="1"/>
      <w:marLeft w:val="0"/>
      <w:marRight w:val="0"/>
      <w:marTop w:val="0"/>
      <w:marBottom w:val="0"/>
      <w:divBdr>
        <w:top w:val="none" w:sz="0" w:space="0" w:color="auto"/>
        <w:left w:val="none" w:sz="0" w:space="0" w:color="auto"/>
        <w:bottom w:val="none" w:sz="0" w:space="0" w:color="auto"/>
        <w:right w:val="none" w:sz="0" w:space="0" w:color="auto"/>
      </w:divBdr>
    </w:div>
    <w:div w:id="1005284999">
      <w:bodyDiv w:val="1"/>
      <w:marLeft w:val="0"/>
      <w:marRight w:val="0"/>
      <w:marTop w:val="0"/>
      <w:marBottom w:val="0"/>
      <w:divBdr>
        <w:top w:val="none" w:sz="0" w:space="0" w:color="auto"/>
        <w:left w:val="none" w:sz="0" w:space="0" w:color="auto"/>
        <w:bottom w:val="none" w:sz="0" w:space="0" w:color="auto"/>
        <w:right w:val="none" w:sz="0" w:space="0" w:color="auto"/>
      </w:divBdr>
    </w:div>
    <w:div w:id="1030767092">
      <w:bodyDiv w:val="1"/>
      <w:marLeft w:val="0"/>
      <w:marRight w:val="0"/>
      <w:marTop w:val="0"/>
      <w:marBottom w:val="0"/>
      <w:divBdr>
        <w:top w:val="none" w:sz="0" w:space="0" w:color="auto"/>
        <w:left w:val="none" w:sz="0" w:space="0" w:color="auto"/>
        <w:bottom w:val="none" w:sz="0" w:space="0" w:color="auto"/>
        <w:right w:val="none" w:sz="0" w:space="0" w:color="auto"/>
      </w:divBdr>
      <w:divsChild>
        <w:div w:id="2061900379">
          <w:marLeft w:val="480"/>
          <w:marRight w:val="0"/>
          <w:marTop w:val="0"/>
          <w:marBottom w:val="0"/>
          <w:divBdr>
            <w:top w:val="none" w:sz="0" w:space="0" w:color="auto"/>
            <w:left w:val="none" w:sz="0" w:space="0" w:color="auto"/>
            <w:bottom w:val="none" w:sz="0" w:space="0" w:color="auto"/>
            <w:right w:val="none" w:sz="0" w:space="0" w:color="auto"/>
          </w:divBdr>
        </w:div>
        <w:div w:id="302586850">
          <w:marLeft w:val="480"/>
          <w:marRight w:val="0"/>
          <w:marTop w:val="0"/>
          <w:marBottom w:val="0"/>
          <w:divBdr>
            <w:top w:val="none" w:sz="0" w:space="0" w:color="auto"/>
            <w:left w:val="none" w:sz="0" w:space="0" w:color="auto"/>
            <w:bottom w:val="none" w:sz="0" w:space="0" w:color="auto"/>
            <w:right w:val="none" w:sz="0" w:space="0" w:color="auto"/>
          </w:divBdr>
        </w:div>
      </w:divsChild>
    </w:div>
    <w:div w:id="1033383151">
      <w:bodyDiv w:val="1"/>
      <w:marLeft w:val="0"/>
      <w:marRight w:val="0"/>
      <w:marTop w:val="0"/>
      <w:marBottom w:val="0"/>
      <w:divBdr>
        <w:top w:val="none" w:sz="0" w:space="0" w:color="auto"/>
        <w:left w:val="none" w:sz="0" w:space="0" w:color="auto"/>
        <w:bottom w:val="none" w:sz="0" w:space="0" w:color="auto"/>
        <w:right w:val="none" w:sz="0" w:space="0" w:color="auto"/>
      </w:divBdr>
      <w:divsChild>
        <w:div w:id="335500998">
          <w:marLeft w:val="480"/>
          <w:marRight w:val="0"/>
          <w:marTop w:val="0"/>
          <w:marBottom w:val="0"/>
          <w:divBdr>
            <w:top w:val="none" w:sz="0" w:space="0" w:color="auto"/>
            <w:left w:val="none" w:sz="0" w:space="0" w:color="auto"/>
            <w:bottom w:val="none" w:sz="0" w:space="0" w:color="auto"/>
            <w:right w:val="none" w:sz="0" w:space="0" w:color="auto"/>
          </w:divBdr>
        </w:div>
        <w:div w:id="387343822">
          <w:marLeft w:val="480"/>
          <w:marRight w:val="0"/>
          <w:marTop w:val="0"/>
          <w:marBottom w:val="0"/>
          <w:divBdr>
            <w:top w:val="none" w:sz="0" w:space="0" w:color="auto"/>
            <w:left w:val="none" w:sz="0" w:space="0" w:color="auto"/>
            <w:bottom w:val="none" w:sz="0" w:space="0" w:color="auto"/>
            <w:right w:val="none" w:sz="0" w:space="0" w:color="auto"/>
          </w:divBdr>
        </w:div>
        <w:div w:id="970864949">
          <w:marLeft w:val="480"/>
          <w:marRight w:val="0"/>
          <w:marTop w:val="0"/>
          <w:marBottom w:val="0"/>
          <w:divBdr>
            <w:top w:val="none" w:sz="0" w:space="0" w:color="auto"/>
            <w:left w:val="none" w:sz="0" w:space="0" w:color="auto"/>
            <w:bottom w:val="none" w:sz="0" w:space="0" w:color="auto"/>
            <w:right w:val="none" w:sz="0" w:space="0" w:color="auto"/>
          </w:divBdr>
        </w:div>
      </w:divsChild>
    </w:div>
    <w:div w:id="1039815819">
      <w:bodyDiv w:val="1"/>
      <w:marLeft w:val="0"/>
      <w:marRight w:val="0"/>
      <w:marTop w:val="0"/>
      <w:marBottom w:val="0"/>
      <w:divBdr>
        <w:top w:val="none" w:sz="0" w:space="0" w:color="auto"/>
        <w:left w:val="none" w:sz="0" w:space="0" w:color="auto"/>
        <w:bottom w:val="none" w:sz="0" w:space="0" w:color="auto"/>
        <w:right w:val="none" w:sz="0" w:space="0" w:color="auto"/>
      </w:divBdr>
    </w:div>
    <w:div w:id="1085422374">
      <w:bodyDiv w:val="1"/>
      <w:marLeft w:val="0"/>
      <w:marRight w:val="0"/>
      <w:marTop w:val="0"/>
      <w:marBottom w:val="0"/>
      <w:divBdr>
        <w:top w:val="none" w:sz="0" w:space="0" w:color="auto"/>
        <w:left w:val="none" w:sz="0" w:space="0" w:color="auto"/>
        <w:bottom w:val="none" w:sz="0" w:space="0" w:color="auto"/>
        <w:right w:val="none" w:sz="0" w:space="0" w:color="auto"/>
      </w:divBdr>
    </w:div>
    <w:div w:id="1118063769">
      <w:bodyDiv w:val="1"/>
      <w:marLeft w:val="0"/>
      <w:marRight w:val="0"/>
      <w:marTop w:val="0"/>
      <w:marBottom w:val="0"/>
      <w:divBdr>
        <w:top w:val="none" w:sz="0" w:space="0" w:color="auto"/>
        <w:left w:val="none" w:sz="0" w:space="0" w:color="auto"/>
        <w:bottom w:val="none" w:sz="0" w:space="0" w:color="auto"/>
        <w:right w:val="none" w:sz="0" w:space="0" w:color="auto"/>
      </w:divBdr>
      <w:divsChild>
        <w:div w:id="1206285645">
          <w:marLeft w:val="0"/>
          <w:marRight w:val="0"/>
          <w:marTop w:val="0"/>
          <w:marBottom w:val="0"/>
          <w:divBdr>
            <w:top w:val="none" w:sz="0" w:space="0" w:color="auto"/>
            <w:left w:val="none" w:sz="0" w:space="0" w:color="auto"/>
            <w:bottom w:val="none" w:sz="0" w:space="0" w:color="auto"/>
            <w:right w:val="none" w:sz="0" w:space="0" w:color="auto"/>
          </w:divBdr>
          <w:divsChild>
            <w:div w:id="452407148">
              <w:marLeft w:val="0"/>
              <w:marRight w:val="0"/>
              <w:marTop w:val="0"/>
              <w:marBottom w:val="0"/>
              <w:divBdr>
                <w:top w:val="none" w:sz="0" w:space="0" w:color="auto"/>
                <w:left w:val="none" w:sz="0" w:space="0" w:color="auto"/>
                <w:bottom w:val="none" w:sz="0" w:space="0" w:color="auto"/>
                <w:right w:val="none" w:sz="0" w:space="0" w:color="auto"/>
              </w:divBdr>
              <w:divsChild>
                <w:div w:id="621037700">
                  <w:marLeft w:val="0"/>
                  <w:marRight w:val="0"/>
                  <w:marTop w:val="0"/>
                  <w:marBottom w:val="0"/>
                  <w:divBdr>
                    <w:top w:val="none" w:sz="0" w:space="0" w:color="auto"/>
                    <w:left w:val="none" w:sz="0" w:space="0" w:color="auto"/>
                    <w:bottom w:val="none" w:sz="0" w:space="0" w:color="auto"/>
                    <w:right w:val="none" w:sz="0" w:space="0" w:color="auto"/>
                  </w:divBdr>
                  <w:divsChild>
                    <w:div w:id="417336255">
                      <w:marLeft w:val="-150"/>
                      <w:marRight w:val="-150"/>
                      <w:marTop w:val="0"/>
                      <w:marBottom w:val="0"/>
                      <w:divBdr>
                        <w:top w:val="none" w:sz="0" w:space="0" w:color="auto"/>
                        <w:left w:val="none" w:sz="0" w:space="0" w:color="auto"/>
                        <w:bottom w:val="none" w:sz="0" w:space="0" w:color="auto"/>
                        <w:right w:val="none" w:sz="0" w:space="0" w:color="auto"/>
                      </w:divBdr>
                      <w:divsChild>
                        <w:div w:id="1607927112">
                          <w:marLeft w:val="0"/>
                          <w:marRight w:val="0"/>
                          <w:marTop w:val="0"/>
                          <w:marBottom w:val="0"/>
                          <w:divBdr>
                            <w:top w:val="none" w:sz="0" w:space="0" w:color="auto"/>
                            <w:left w:val="none" w:sz="0" w:space="0" w:color="auto"/>
                            <w:bottom w:val="none" w:sz="0" w:space="0" w:color="auto"/>
                            <w:right w:val="none" w:sz="0" w:space="0" w:color="auto"/>
                          </w:divBdr>
                          <w:divsChild>
                            <w:div w:id="357124153">
                              <w:marLeft w:val="0"/>
                              <w:marRight w:val="0"/>
                              <w:marTop w:val="0"/>
                              <w:marBottom w:val="0"/>
                              <w:divBdr>
                                <w:top w:val="none" w:sz="0" w:space="0" w:color="auto"/>
                                <w:left w:val="none" w:sz="0" w:space="0" w:color="auto"/>
                                <w:bottom w:val="none" w:sz="0" w:space="0" w:color="auto"/>
                                <w:right w:val="none" w:sz="0" w:space="0" w:color="auto"/>
                              </w:divBdr>
                              <w:divsChild>
                                <w:div w:id="1283463617">
                                  <w:marLeft w:val="0"/>
                                  <w:marRight w:val="0"/>
                                  <w:marTop w:val="0"/>
                                  <w:marBottom w:val="300"/>
                                  <w:divBdr>
                                    <w:top w:val="none" w:sz="0" w:space="0" w:color="auto"/>
                                    <w:left w:val="none" w:sz="0" w:space="0" w:color="auto"/>
                                    <w:bottom w:val="none" w:sz="0" w:space="0" w:color="auto"/>
                                    <w:right w:val="none" w:sz="0" w:space="0" w:color="auto"/>
                                  </w:divBdr>
                                  <w:divsChild>
                                    <w:div w:id="1276870420">
                                      <w:marLeft w:val="0"/>
                                      <w:marRight w:val="0"/>
                                      <w:marTop w:val="0"/>
                                      <w:marBottom w:val="0"/>
                                      <w:divBdr>
                                        <w:top w:val="none" w:sz="0" w:space="0" w:color="auto"/>
                                        <w:left w:val="none" w:sz="0" w:space="0" w:color="auto"/>
                                        <w:bottom w:val="none" w:sz="0" w:space="0" w:color="auto"/>
                                        <w:right w:val="none" w:sz="0" w:space="0" w:color="auto"/>
                                      </w:divBdr>
                                      <w:divsChild>
                                        <w:div w:id="715934110">
                                          <w:marLeft w:val="0"/>
                                          <w:marRight w:val="0"/>
                                          <w:marTop w:val="0"/>
                                          <w:marBottom w:val="0"/>
                                          <w:divBdr>
                                            <w:top w:val="none" w:sz="0" w:space="0" w:color="auto"/>
                                            <w:left w:val="none" w:sz="0" w:space="0" w:color="auto"/>
                                            <w:bottom w:val="none" w:sz="0" w:space="0" w:color="auto"/>
                                            <w:right w:val="none" w:sz="0" w:space="0" w:color="auto"/>
                                          </w:divBdr>
                                          <w:divsChild>
                                            <w:div w:id="1807746560">
                                              <w:marLeft w:val="0"/>
                                              <w:marRight w:val="0"/>
                                              <w:marTop w:val="0"/>
                                              <w:marBottom w:val="0"/>
                                              <w:divBdr>
                                                <w:top w:val="none" w:sz="0" w:space="0" w:color="auto"/>
                                                <w:left w:val="none" w:sz="0" w:space="0" w:color="auto"/>
                                                <w:bottom w:val="none" w:sz="0" w:space="0" w:color="auto"/>
                                                <w:right w:val="none" w:sz="0" w:space="0" w:color="auto"/>
                                              </w:divBdr>
                                              <w:divsChild>
                                                <w:div w:id="2101559633">
                                                  <w:marLeft w:val="0"/>
                                                  <w:marRight w:val="0"/>
                                                  <w:marTop w:val="0"/>
                                                  <w:marBottom w:val="0"/>
                                                  <w:divBdr>
                                                    <w:top w:val="none" w:sz="0" w:space="0" w:color="auto"/>
                                                    <w:left w:val="none" w:sz="0" w:space="0" w:color="auto"/>
                                                    <w:bottom w:val="none" w:sz="0" w:space="0" w:color="auto"/>
                                                    <w:right w:val="none" w:sz="0" w:space="0" w:color="auto"/>
                                                  </w:divBdr>
                                                  <w:divsChild>
                                                    <w:div w:id="1710185809">
                                                      <w:marLeft w:val="0"/>
                                                      <w:marRight w:val="0"/>
                                                      <w:marTop w:val="0"/>
                                                      <w:marBottom w:val="0"/>
                                                      <w:divBdr>
                                                        <w:top w:val="none" w:sz="0" w:space="0" w:color="auto"/>
                                                        <w:left w:val="none" w:sz="0" w:space="0" w:color="auto"/>
                                                        <w:bottom w:val="none" w:sz="0" w:space="0" w:color="auto"/>
                                                        <w:right w:val="none" w:sz="0" w:space="0" w:color="auto"/>
                                                      </w:divBdr>
                                                      <w:divsChild>
                                                        <w:div w:id="1245148734">
                                                          <w:marLeft w:val="0"/>
                                                          <w:marRight w:val="0"/>
                                                          <w:marTop w:val="0"/>
                                                          <w:marBottom w:val="0"/>
                                                          <w:divBdr>
                                                            <w:top w:val="none" w:sz="0" w:space="0" w:color="auto"/>
                                                            <w:left w:val="none" w:sz="0" w:space="0" w:color="auto"/>
                                                            <w:bottom w:val="none" w:sz="0" w:space="0" w:color="auto"/>
                                                            <w:right w:val="none" w:sz="0" w:space="0" w:color="auto"/>
                                                          </w:divBdr>
                                                          <w:divsChild>
                                                            <w:div w:id="3369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49665160">
      <w:bodyDiv w:val="1"/>
      <w:marLeft w:val="0"/>
      <w:marRight w:val="0"/>
      <w:marTop w:val="0"/>
      <w:marBottom w:val="0"/>
      <w:divBdr>
        <w:top w:val="none" w:sz="0" w:space="0" w:color="auto"/>
        <w:left w:val="none" w:sz="0" w:space="0" w:color="auto"/>
        <w:bottom w:val="none" w:sz="0" w:space="0" w:color="auto"/>
        <w:right w:val="none" w:sz="0" w:space="0" w:color="auto"/>
      </w:divBdr>
    </w:div>
    <w:div w:id="1197889081">
      <w:bodyDiv w:val="1"/>
      <w:marLeft w:val="0"/>
      <w:marRight w:val="0"/>
      <w:marTop w:val="0"/>
      <w:marBottom w:val="0"/>
      <w:divBdr>
        <w:top w:val="none" w:sz="0" w:space="0" w:color="auto"/>
        <w:left w:val="none" w:sz="0" w:space="0" w:color="auto"/>
        <w:bottom w:val="none" w:sz="0" w:space="0" w:color="auto"/>
        <w:right w:val="none" w:sz="0" w:space="0" w:color="auto"/>
      </w:divBdr>
    </w:div>
    <w:div w:id="1234661938">
      <w:bodyDiv w:val="1"/>
      <w:marLeft w:val="0"/>
      <w:marRight w:val="0"/>
      <w:marTop w:val="0"/>
      <w:marBottom w:val="0"/>
      <w:divBdr>
        <w:top w:val="none" w:sz="0" w:space="0" w:color="auto"/>
        <w:left w:val="none" w:sz="0" w:space="0" w:color="auto"/>
        <w:bottom w:val="none" w:sz="0" w:space="0" w:color="auto"/>
        <w:right w:val="none" w:sz="0" w:space="0" w:color="auto"/>
      </w:divBdr>
    </w:div>
    <w:div w:id="1259949936">
      <w:bodyDiv w:val="1"/>
      <w:marLeft w:val="0"/>
      <w:marRight w:val="0"/>
      <w:marTop w:val="0"/>
      <w:marBottom w:val="0"/>
      <w:divBdr>
        <w:top w:val="none" w:sz="0" w:space="0" w:color="auto"/>
        <w:left w:val="none" w:sz="0" w:space="0" w:color="auto"/>
        <w:bottom w:val="none" w:sz="0" w:space="0" w:color="auto"/>
        <w:right w:val="none" w:sz="0" w:space="0" w:color="auto"/>
      </w:divBdr>
    </w:div>
    <w:div w:id="1282767369">
      <w:bodyDiv w:val="1"/>
      <w:marLeft w:val="0"/>
      <w:marRight w:val="0"/>
      <w:marTop w:val="0"/>
      <w:marBottom w:val="0"/>
      <w:divBdr>
        <w:top w:val="none" w:sz="0" w:space="0" w:color="auto"/>
        <w:left w:val="none" w:sz="0" w:space="0" w:color="auto"/>
        <w:bottom w:val="none" w:sz="0" w:space="0" w:color="auto"/>
        <w:right w:val="none" w:sz="0" w:space="0" w:color="auto"/>
      </w:divBdr>
    </w:div>
    <w:div w:id="1284381326">
      <w:bodyDiv w:val="1"/>
      <w:marLeft w:val="0"/>
      <w:marRight w:val="0"/>
      <w:marTop w:val="0"/>
      <w:marBottom w:val="0"/>
      <w:divBdr>
        <w:top w:val="none" w:sz="0" w:space="0" w:color="auto"/>
        <w:left w:val="none" w:sz="0" w:space="0" w:color="auto"/>
        <w:bottom w:val="none" w:sz="0" w:space="0" w:color="auto"/>
        <w:right w:val="none" w:sz="0" w:space="0" w:color="auto"/>
      </w:divBdr>
      <w:divsChild>
        <w:div w:id="968970717">
          <w:marLeft w:val="-150"/>
          <w:marRight w:val="-150"/>
          <w:marTop w:val="0"/>
          <w:marBottom w:val="0"/>
          <w:divBdr>
            <w:top w:val="none" w:sz="0" w:space="0" w:color="auto"/>
            <w:left w:val="none" w:sz="0" w:space="0" w:color="auto"/>
            <w:bottom w:val="none" w:sz="0" w:space="0" w:color="auto"/>
            <w:right w:val="none" w:sz="0" w:space="0" w:color="auto"/>
          </w:divBdr>
          <w:divsChild>
            <w:div w:id="620459822">
              <w:marLeft w:val="-225"/>
              <w:marRight w:val="-225"/>
              <w:marTop w:val="0"/>
              <w:marBottom w:val="0"/>
              <w:divBdr>
                <w:top w:val="none" w:sz="0" w:space="0" w:color="auto"/>
                <w:left w:val="none" w:sz="0" w:space="0" w:color="auto"/>
                <w:bottom w:val="none" w:sz="0" w:space="0" w:color="auto"/>
                <w:right w:val="none" w:sz="0" w:space="0" w:color="auto"/>
              </w:divBdr>
              <w:divsChild>
                <w:div w:id="1027483612">
                  <w:marLeft w:val="0"/>
                  <w:marRight w:val="0"/>
                  <w:marTop w:val="0"/>
                  <w:marBottom w:val="0"/>
                  <w:divBdr>
                    <w:top w:val="none" w:sz="0" w:space="0" w:color="auto"/>
                    <w:left w:val="none" w:sz="0" w:space="0" w:color="auto"/>
                    <w:bottom w:val="none" w:sz="0" w:space="0" w:color="auto"/>
                    <w:right w:val="none" w:sz="0" w:space="0" w:color="auto"/>
                  </w:divBdr>
                  <w:divsChild>
                    <w:div w:id="1421095657">
                      <w:marLeft w:val="0"/>
                      <w:marRight w:val="0"/>
                      <w:marTop w:val="0"/>
                      <w:marBottom w:val="0"/>
                      <w:divBdr>
                        <w:top w:val="none" w:sz="0" w:space="0" w:color="auto"/>
                        <w:left w:val="none" w:sz="0" w:space="0" w:color="auto"/>
                        <w:bottom w:val="none" w:sz="0" w:space="0" w:color="auto"/>
                        <w:right w:val="none" w:sz="0" w:space="0" w:color="auto"/>
                      </w:divBdr>
                      <w:divsChild>
                        <w:div w:id="1865971059">
                          <w:marLeft w:val="0"/>
                          <w:marRight w:val="0"/>
                          <w:marTop w:val="0"/>
                          <w:marBottom w:val="0"/>
                          <w:divBdr>
                            <w:top w:val="none" w:sz="0" w:space="0" w:color="auto"/>
                            <w:left w:val="none" w:sz="0" w:space="0" w:color="auto"/>
                            <w:bottom w:val="none" w:sz="0" w:space="0" w:color="auto"/>
                            <w:right w:val="none" w:sz="0" w:space="0" w:color="auto"/>
                          </w:divBdr>
                          <w:divsChild>
                            <w:div w:id="1511289203">
                              <w:marLeft w:val="0"/>
                              <w:marRight w:val="0"/>
                              <w:marTop w:val="0"/>
                              <w:marBottom w:val="0"/>
                              <w:divBdr>
                                <w:top w:val="none" w:sz="0" w:space="0" w:color="auto"/>
                                <w:left w:val="none" w:sz="0" w:space="0" w:color="auto"/>
                                <w:bottom w:val="none" w:sz="0" w:space="0" w:color="auto"/>
                                <w:right w:val="none" w:sz="0" w:space="0" w:color="auto"/>
                              </w:divBdr>
                            </w:div>
                          </w:divsChild>
                        </w:div>
                        <w:div w:id="286008650">
                          <w:marLeft w:val="-15"/>
                          <w:marRight w:val="-15"/>
                          <w:marTop w:val="0"/>
                          <w:marBottom w:val="0"/>
                          <w:divBdr>
                            <w:top w:val="none" w:sz="0" w:space="0" w:color="auto"/>
                            <w:left w:val="none" w:sz="0" w:space="0" w:color="auto"/>
                            <w:bottom w:val="none" w:sz="0" w:space="0" w:color="auto"/>
                            <w:right w:val="none" w:sz="0" w:space="0" w:color="auto"/>
                          </w:divBdr>
                          <w:divsChild>
                            <w:div w:id="1656058668">
                              <w:marLeft w:val="0"/>
                              <w:marRight w:val="0"/>
                              <w:marTop w:val="0"/>
                              <w:marBottom w:val="0"/>
                              <w:divBdr>
                                <w:top w:val="none" w:sz="0" w:space="0" w:color="auto"/>
                                <w:left w:val="none" w:sz="0" w:space="0" w:color="auto"/>
                                <w:bottom w:val="none" w:sz="0" w:space="0" w:color="auto"/>
                                <w:right w:val="none" w:sz="0" w:space="0" w:color="auto"/>
                              </w:divBdr>
                            </w:div>
                          </w:divsChild>
                        </w:div>
                        <w:div w:id="193613194">
                          <w:marLeft w:val="75"/>
                          <w:marRight w:val="75"/>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1004556563">
          <w:marLeft w:val="-150"/>
          <w:marRight w:val="-150"/>
          <w:marTop w:val="0"/>
          <w:marBottom w:val="0"/>
          <w:divBdr>
            <w:top w:val="none" w:sz="0" w:space="0" w:color="auto"/>
            <w:left w:val="none" w:sz="0" w:space="0" w:color="auto"/>
            <w:bottom w:val="none" w:sz="0" w:space="0" w:color="auto"/>
            <w:right w:val="none" w:sz="0" w:space="0" w:color="auto"/>
          </w:divBdr>
        </w:div>
        <w:div w:id="1965770098">
          <w:marLeft w:val="0"/>
          <w:marRight w:val="0"/>
          <w:marTop w:val="0"/>
          <w:marBottom w:val="0"/>
          <w:divBdr>
            <w:top w:val="none" w:sz="0" w:space="0" w:color="auto"/>
            <w:left w:val="none" w:sz="0" w:space="0" w:color="auto"/>
            <w:bottom w:val="none" w:sz="0" w:space="0" w:color="auto"/>
            <w:right w:val="none" w:sz="0" w:space="0" w:color="auto"/>
          </w:divBdr>
          <w:divsChild>
            <w:div w:id="1831828932">
              <w:marLeft w:val="0"/>
              <w:marRight w:val="0"/>
              <w:marTop w:val="0"/>
              <w:marBottom w:val="0"/>
              <w:divBdr>
                <w:top w:val="none" w:sz="0" w:space="0" w:color="auto"/>
                <w:left w:val="none" w:sz="0" w:space="0" w:color="auto"/>
                <w:bottom w:val="none" w:sz="0" w:space="0" w:color="auto"/>
                <w:right w:val="none" w:sz="0" w:space="0" w:color="auto"/>
              </w:divBdr>
              <w:divsChild>
                <w:div w:id="510753913">
                  <w:marLeft w:val="-225"/>
                  <w:marRight w:val="-225"/>
                  <w:marTop w:val="0"/>
                  <w:marBottom w:val="0"/>
                  <w:divBdr>
                    <w:top w:val="none" w:sz="0" w:space="0" w:color="auto"/>
                    <w:left w:val="none" w:sz="0" w:space="0" w:color="auto"/>
                    <w:bottom w:val="none" w:sz="0" w:space="0" w:color="auto"/>
                    <w:right w:val="none" w:sz="0" w:space="0" w:color="auto"/>
                  </w:divBdr>
                  <w:divsChild>
                    <w:div w:id="1876774748">
                      <w:marLeft w:val="0"/>
                      <w:marRight w:val="0"/>
                      <w:marTop w:val="0"/>
                      <w:marBottom w:val="0"/>
                      <w:divBdr>
                        <w:top w:val="none" w:sz="0" w:space="0" w:color="auto"/>
                        <w:left w:val="none" w:sz="0" w:space="0" w:color="auto"/>
                        <w:bottom w:val="none" w:sz="0" w:space="0" w:color="auto"/>
                        <w:right w:val="none" w:sz="0" w:space="0" w:color="auto"/>
                      </w:divBdr>
                    </w:div>
                    <w:div w:id="1996831228">
                      <w:marLeft w:val="0"/>
                      <w:marRight w:val="0"/>
                      <w:marTop w:val="0"/>
                      <w:marBottom w:val="0"/>
                      <w:divBdr>
                        <w:top w:val="none" w:sz="0" w:space="0" w:color="auto"/>
                        <w:left w:val="none" w:sz="0" w:space="0" w:color="auto"/>
                        <w:bottom w:val="none" w:sz="0" w:space="0" w:color="auto"/>
                        <w:right w:val="none" w:sz="0" w:space="0" w:color="auto"/>
                      </w:divBdr>
                      <w:divsChild>
                        <w:div w:id="1184899177">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 w:id="1325665808">
              <w:marLeft w:val="-225"/>
              <w:marRight w:val="-225"/>
              <w:marTop w:val="0"/>
              <w:marBottom w:val="0"/>
              <w:divBdr>
                <w:top w:val="none" w:sz="0" w:space="0" w:color="auto"/>
                <w:left w:val="none" w:sz="0" w:space="0" w:color="auto"/>
                <w:bottom w:val="none" w:sz="0" w:space="0" w:color="auto"/>
                <w:right w:val="none" w:sz="0" w:space="0" w:color="auto"/>
              </w:divBdr>
              <w:divsChild>
                <w:div w:id="1242909450">
                  <w:marLeft w:val="0"/>
                  <w:marRight w:val="0"/>
                  <w:marTop w:val="0"/>
                  <w:marBottom w:val="0"/>
                  <w:divBdr>
                    <w:top w:val="none" w:sz="0" w:space="0" w:color="auto"/>
                    <w:left w:val="none" w:sz="0" w:space="0" w:color="auto"/>
                    <w:bottom w:val="none" w:sz="0" w:space="0" w:color="auto"/>
                    <w:right w:val="none" w:sz="0" w:space="0" w:color="auto"/>
                  </w:divBdr>
                  <w:divsChild>
                    <w:div w:id="1966812659">
                      <w:marLeft w:val="0"/>
                      <w:marRight w:val="0"/>
                      <w:marTop w:val="0"/>
                      <w:marBottom w:val="0"/>
                      <w:divBdr>
                        <w:top w:val="none" w:sz="0" w:space="0" w:color="auto"/>
                        <w:left w:val="none" w:sz="0" w:space="0" w:color="auto"/>
                        <w:bottom w:val="none" w:sz="0" w:space="0" w:color="auto"/>
                        <w:right w:val="none" w:sz="0" w:space="0" w:color="auto"/>
                      </w:divBdr>
                      <w:divsChild>
                        <w:div w:id="1647321635">
                          <w:marLeft w:val="0"/>
                          <w:marRight w:val="0"/>
                          <w:marTop w:val="0"/>
                          <w:marBottom w:val="0"/>
                          <w:divBdr>
                            <w:top w:val="none" w:sz="0" w:space="0" w:color="auto"/>
                            <w:left w:val="none" w:sz="0" w:space="0" w:color="auto"/>
                            <w:bottom w:val="none" w:sz="0" w:space="0" w:color="auto"/>
                            <w:right w:val="none" w:sz="0" w:space="0" w:color="auto"/>
                          </w:divBdr>
                          <w:divsChild>
                            <w:div w:id="411313878">
                              <w:marLeft w:val="0"/>
                              <w:marRight w:val="0"/>
                              <w:marTop w:val="0"/>
                              <w:marBottom w:val="0"/>
                              <w:divBdr>
                                <w:top w:val="none" w:sz="0" w:space="0" w:color="auto"/>
                                <w:left w:val="none" w:sz="0" w:space="0" w:color="auto"/>
                                <w:bottom w:val="none" w:sz="0" w:space="0" w:color="auto"/>
                                <w:right w:val="none" w:sz="0" w:space="0" w:color="auto"/>
                              </w:divBdr>
                            </w:div>
                          </w:divsChild>
                        </w:div>
                        <w:div w:id="690107722">
                          <w:marLeft w:val="0"/>
                          <w:marRight w:val="0"/>
                          <w:marTop w:val="7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87196025">
      <w:bodyDiv w:val="1"/>
      <w:marLeft w:val="0"/>
      <w:marRight w:val="0"/>
      <w:marTop w:val="0"/>
      <w:marBottom w:val="0"/>
      <w:divBdr>
        <w:top w:val="none" w:sz="0" w:space="0" w:color="auto"/>
        <w:left w:val="none" w:sz="0" w:space="0" w:color="auto"/>
        <w:bottom w:val="none" w:sz="0" w:space="0" w:color="auto"/>
        <w:right w:val="none" w:sz="0" w:space="0" w:color="auto"/>
      </w:divBdr>
    </w:div>
    <w:div w:id="1305740725">
      <w:bodyDiv w:val="1"/>
      <w:marLeft w:val="0"/>
      <w:marRight w:val="0"/>
      <w:marTop w:val="0"/>
      <w:marBottom w:val="0"/>
      <w:divBdr>
        <w:top w:val="none" w:sz="0" w:space="0" w:color="auto"/>
        <w:left w:val="none" w:sz="0" w:space="0" w:color="auto"/>
        <w:bottom w:val="none" w:sz="0" w:space="0" w:color="auto"/>
        <w:right w:val="none" w:sz="0" w:space="0" w:color="auto"/>
      </w:divBdr>
      <w:divsChild>
        <w:div w:id="686522355">
          <w:marLeft w:val="0"/>
          <w:marRight w:val="0"/>
          <w:marTop w:val="0"/>
          <w:marBottom w:val="0"/>
          <w:divBdr>
            <w:top w:val="none" w:sz="0" w:space="0" w:color="auto"/>
            <w:left w:val="none" w:sz="0" w:space="0" w:color="auto"/>
            <w:bottom w:val="none" w:sz="0" w:space="0" w:color="auto"/>
            <w:right w:val="none" w:sz="0" w:space="0" w:color="auto"/>
          </w:divBdr>
          <w:divsChild>
            <w:div w:id="240214281">
              <w:marLeft w:val="0"/>
              <w:marRight w:val="0"/>
              <w:marTop w:val="0"/>
              <w:marBottom w:val="0"/>
              <w:divBdr>
                <w:top w:val="none" w:sz="0" w:space="0" w:color="auto"/>
                <w:left w:val="none" w:sz="0" w:space="0" w:color="auto"/>
                <w:bottom w:val="none" w:sz="0" w:space="0" w:color="auto"/>
                <w:right w:val="none" w:sz="0" w:space="0" w:color="auto"/>
              </w:divBdr>
              <w:divsChild>
                <w:div w:id="15081641">
                  <w:marLeft w:val="0"/>
                  <w:marRight w:val="0"/>
                  <w:marTop w:val="0"/>
                  <w:marBottom w:val="0"/>
                  <w:divBdr>
                    <w:top w:val="none" w:sz="0" w:space="0" w:color="auto"/>
                    <w:left w:val="none" w:sz="0" w:space="0" w:color="auto"/>
                    <w:bottom w:val="none" w:sz="0" w:space="0" w:color="auto"/>
                    <w:right w:val="none" w:sz="0" w:space="0" w:color="auto"/>
                  </w:divBdr>
                  <w:divsChild>
                    <w:div w:id="1359741605">
                      <w:marLeft w:val="-150"/>
                      <w:marRight w:val="-150"/>
                      <w:marTop w:val="0"/>
                      <w:marBottom w:val="0"/>
                      <w:divBdr>
                        <w:top w:val="none" w:sz="0" w:space="0" w:color="auto"/>
                        <w:left w:val="none" w:sz="0" w:space="0" w:color="auto"/>
                        <w:bottom w:val="none" w:sz="0" w:space="0" w:color="auto"/>
                        <w:right w:val="none" w:sz="0" w:space="0" w:color="auto"/>
                      </w:divBdr>
                      <w:divsChild>
                        <w:div w:id="293102624">
                          <w:marLeft w:val="0"/>
                          <w:marRight w:val="0"/>
                          <w:marTop w:val="0"/>
                          <w:marBottom w:val="0"/>
                          <w:divBdr>
                            <w:top w:val="none" w:sz="0" w:space="0" w:color="auto"/>
                            <w:left w:val="none" w:sz="0" w:space="0" w:color="auto"/>
                            <w:bottom w:val="none" w:sz="0" w:space="0" w:color="auto"/>
                            <w:right w:val="none" w:sz="0" w:space="0" w:color="auto"/>
                          </w:divBdr>
                          <w:divsChild>
                            <w:div w:id="63338702">
                              <w:marLeft w:val="0"/>
                              <w:marRight w:val="0"/>
                              <w:marTop w:val="0"/>
                              <w:marBottom w:val="0"/>
                              <w:divBdr>
                                <w:top w:val="none" w:sz="0" w:space="0" w:color="auto"/>
                                <w:left w:val="none" w:sz="0" w:space="0" w:color="auto"/>
                                <w:bottom w:val="none" w:sz="0" w:space="0" w:color="auto"/>
                                <w:right w:val="none" w:sz="0" w:space="0" w:color="auto"/>
                              </w:divBdr>
                              <w:divsChild>
                                <w:div w:id="293755473">
                                  <w:marLeft w:val="0"/>
                                  <w:marRight w:val="0"/>
                                  <w:marTop w:val="0"/>
                                  <w:marBottom w:val="300"/>
                                  <w:divBdr>
                                    <w:top w:val="none" w:sz="0" w:space="0" w:color="auto"/>
                                    <w:left w:val="none" w:sz="0" w:space="0" w:color="auto"/>
                                    <w:bottom w:val="none" w:sz="0" w:space="0" w:color="auto"/>
                                    <w:right w:val="none" w:sz="0" w:space="0" w:color="auto"/>
                                  </w:divBdr>
                                  <w:divsChild>
                                    <w:div w:id="1067804319">
                                      <w:marLeft w:val="0"/>
                                      <w:marRight w:val="0"/>
                                      <w:marTop w:val="0"/>
                                      <w:marBottom w:val="0"/>
                                      <w:divBdr>
                                        <w:top w:val="none" w:sz="0" w:space="0" w:color="auto"/>
                                        <w:left w:val="none" w:sz="0" w:space="0" w:color="auto"/>
                                        <w:bottom w:val="none" w:sz="0" w:space="0" w:color="auto"/>
                                        <w:right w:val="none" w:sz="0" w:space="0" w:color="auto"/>
                                      </w:divBdr>
                                      <w:divsChild>
                                        <w:div w:id="1791897848">
                                          <w:marLeft w:val="0"/>
                                          <w:marRight w:val="0"/>
                                          <w:marTop w:val="0"/>
                                          <w:marBottom w:val="0"/>
                                          <w:divBdr>
                                            <w:top w:val="none" w:sz="0" w:space="0" w:color="auto"/>
                                            <w:left w:val="none" w:sz="0" w:space="0" w:color="auto"/>
                                            <w:bottom w:val="none" w:sz="0" w:space="0" w:color="auto"/>
                                            <w:right w:val="none" w:sz="0" w:space="0" w:color="auto"/>
                                          </w:divBdr>
                                          <w:divsChild>
                                            <w:div w:id="2056851293">
                                              <w:marLeft w:val="0"/>
                                              <w:marRight w:val="0"/>
                                              <w:marTop w:val="0"/>
                                              <w:marBottom w:val="0"/>
                                              <w:divBdr>
                                                <w:top w:val="none" w:sz="0" w:space="0" w:color="auto"/>
                                                <w:left w:val="none" w:sz="0" w:space="0" w:color="auto"/>
                                                <w:bottom w:val="none" w:sz="0" w:space="0" w:color="auto"/>
                                                <w:right w:val="none" w:sz="0" w:space="0" w:color="auto"/>
                                              </w:divBdr>
                                              <w:divsChild>
                                                <w:div w:id="20859118">
                                                  <w:marLeft w:val="0"/>
                                                  <w:marRight w:val="0"/>
                                                  <w:marTop w:val="0"/>
                                                  <w:marBottom w:val="0"/>
                                                  <w:divBdr>
                                                    <w:top w:val="none" w:sz="0" w:space="0" w:color="auto"/>
                                                    <w:left w:val="none" w:sz="0" w:space="0" w:color="auto"/>
                                                    <w:bottom w:val="none" w:sz="0" w:space="0" w:color="auto"/>
                                                    <w:right w:val="none" w:sz="0" w:space="0" w:color="auto"/>
                                                  </w:divBdr>
                                                  <w:divsChild>
                                                    <w:div w:id="443351410">
                                                      <w:marLeft w:val="0"/>
                                                      <w:marRight w:val="0"/>
                                                      <w:marTop w:val="0"/>
                                                      <w:marBottom w:val="0"/>
                                                      <w:divBdr>
                                                        <w:top w:val="none" w:sz="0" w:space="0" w:color="auto"/>
                                                        <w:left w:val="none" w:sz="0" w:space="0" w:color="auto"/>
                                                        <w:bottom w:val="none" w:sz="0" w:space="0" w:color="auto"/>
                                                        <w:right w:val="none" w:sz="0" w:space="0" w:color="auto"/>
                                                      </w:divBdr>
                                                      <w:divsChild>
                                                        <w:div w:id="1117992487">
                                                          <w:marLeft w:val="0"/>
                                                          <w:marRight w:val="0"/>
                                                          <w:marTop w:val="0"/>
                                                          <w:marBottom w:val="0"/>
                                                          <w:divBdr>
                                                            <w:top w:val="none" w:sz="0" w:space="0" w:color="auto"/>
                                                            <w:left w:val="none" w:sz="0" w:space="0" w:color="auto"/>
                                                            <w:bottom w:val="none" w:sz="0" w:space="0" w:color="auto"/>
                                                            <w:right w:val="none" w:sz="0" w:space="0" w:color="auto"/>
                                                          </w:divBdr>
                                                          <w:divsChild>
                                                            <w:div w:id="1215653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10400704">
      <w:bodyDiv w:val="1"/>
      <w:marLeft w:val="0"/>
      <w:marRight w:val="0"/>
      <w:marTop w:val="0"/>
      <w:marBottom w:val="0"/>
      <w:divBdr>
        <w:top w:val="none" w:sz="0" w:space="0" w:color="auto"/>
        <w:left w:val="none" w:sz="0" w:space="0" w:color="auto"/>
        <w:bottom w:val="none" w:sz="0" w:space="0" w:color="auto"/>
        <w:right w:val="none" w:sz="0" w:space="0" w:color="auto"/>
      </w:divBdr>
      <w:divsChild>
        <w:div w:id="877936808">
          <w:marLeft w:val="0"/>
          <w:marRight w:val="0"/>
          <w:marTop w:val="0"/>
          <w:marBottom w:val="0"/>
          <w:divBdr>
            <w:top w:val="none" w:sz="0" w:space="0" w:color="auto"/>
            <w:left w:val="none" w:sz="0" w:space="0" w:color="auto"/>
            <w:bottom w:val="none" w:sz="0" w:space="0" w:color="auto"/>
            <w:right w:val="none" w:sz="0" w:space="0" w:color="auto"/>
          </w:divBdr>
        </w:div>
        <w:div w:id="304237085">
          <w:marLeft w:val="0"/>
          <w:marRight w:val="0"/>
          <w:marTop w:val="0"/>
          <w:marBottom w:val="0"/>
          <w:divBdr>
            <w:top w:val="none" w:sz="0" w:space="0" w:color="auto"/>
            <w:left w:val="none" w:sz="0" w:space="0" w:color="auto"/>
            <w:bottom w:val="none" w:sz="0" w:space="0" w:color="auto"/>
            <w:right w:val="none" w:sz="0" w:space="0" w:color="auto"/>
          </w:divBdr>
        </w:div>
      </w:divsChild>
    </w:div>
    <w:div w:id="1330060142">
      <w:bodyDiv w:val="1"/>
      <w:marLeft w:val="0"/>
      <w:marRight w:val="0"/>
      <w:marTop w:val="0"/>
      <w:marBottom w:val="0"/>
      <w:divBdr>
        <w:top w:val="none" w:sz="0" w:space="0" w:color="auto"/>
        <w:left w:val="none" w:sz="0" w:space="0" w:color="auto"/>
        <w:bottom w:val="none" w:sz="0" w:space="0" w:color="auto"/>
        <w:right w:val="none" w:sz="0" w:space="0" w:color="auto"/>
      </w:divBdr>
    </w:div>
    <w:div w:id="1338997172">
      <w:bodyDiv w:val="1"/>
      <w:marLeft w:val="0"/>
      <w:marRight w:val="0"/>
      <w:marTop w:val="0"/>
      <w:marBottom w:val="0"/>
      <w:divBdr>
        <w:top w:val="none" w:sz="0" w:space="0" w:color="auto"/>
        <w:left w:val="none" w:sz="0" w:space="0" w:color="auto"/>
        <w:bottom w:val="none" w:sz="0" w:space="0" w:color="auto"/>
        <w:right w:val="none" w:sz="0" w:space="0" w:color="auto"/>
      </w:divBdr>
    </w:div>
    <w:div w:id="1344670349">
      <w:bodyDiv w:val="1"/>
      <w:marLeft w:val="0"/>
      <w:marRight w:val="0"/>
      <w:marTop w:val="0"/>
      <w:marBottom w:val="0"/>
      <w:divBdr>
        <w:top w:val="none" w:sz="0" w:space="0" w:color="auto"/>
        <w:left w:val="none" w:sz="0" w:space="0" w:color="auto"/>
        <w:bottom w:val="none" w:sz="0" w:space="0" w:color="auto"/>
        <w:right w:val="none" w:sz="0" w:space="0" w:color="auto"/>
      </w:divBdr>
    </w:div>
    <w:div w:id="1372539805">
      <w:bodyDiv w:val="1"/>
      <w:marLeft w:val="0"/>
      <w:marRight w:val="0"/>
      <w:marTop w:val="0"/>
      <w:marBottom w:val="0"/>
      <w:divBdr>
        <w:top w:val="none" w:sz="0" w:space="0" w:color="auto"/>
        <w:left w:val="none" w:sz="0" w:space="0" w:color="auto"/>
        <w:bottom w:val="none" w:sz="0" w:space="0" w:color="auto"/>
        <w:right w:val="none" w:sz="0" w:space="0" w:color="auto"/>
      </w:divBdr>
    </w:div>
    <w:div w:id="1380131340">
      <w:bodyDiv w:val="1"/>
      <w:marLeft w:val="0"/>
      <w:marRight w:val="0"/>
      <w:marTop w:val="0"/>
      <w:marBottom w:val="0"/>
      <w:divBdr>
        <w:top w:val="none" w:sz="0" w:space="0" w:color="auto"/>
        <w:left w:val="none" w:sz="0" w:space="0" w:color="auto"/>
        <w:bottom w:val="none" w:sz="0" w:space="0" w:color="auto"/>
        <w:right w:val="none" w:sz="0" w:space="0" w:color="auto"/>
      </w:divBdr>
    </w:div>
    <w:div w:id="1400859976">
      <w:bodyDiv w:val="1"/>
      <w:marLeft w:val="0"/>
      <w:marRight w:val="0"/>
      <w:marTop w:val="0"/>
      <w:marBottom w:val="0"/>
      <w:divBdr>
        <w:top w:val="none" w:sz="0" w:space="0" w:color="auto"/>
        <w:left w:val="none" w:sz="0" w:space="0" w:color="auto"/>
        <w:bottom w:val="none" w:sz="0" w:space="0" w:color="auto"/>
        <w:right w:val="none" w:sz="0" w:space="0" w:color="auto"/>
      </w:divBdr>
    </w:div>
    <w:div w:id="1410927111">
      <w:bodyDiv w:val="1"/>
      <w:marLeft w:val="0"/>
      <w:marRight w:val="0"/>
      <w:marTop w:val="0"/>
      <w:marBottom w:val="0"/>
      <w:divBdr>
        <w:top w:val="none" w:sz="0" w:space="0" w:color="auto"/>
        <w:left w:val="none" w:sz="0" w:space="0" w:color="auto"/>
        <w:bottom w:val="none" w:sz="0" w:space="0" w:color="auto"/>
        <w:right w:val="none" w:sz="0" w:space="0" w:color="auto"/>
      </w:divBdr>
    </w:div>
    <w:div w:id="1421830505">
      <w:bodyDiv w:val="1"/>
      <w:marLeft w:val="0"/>
      <w:marRight w:val="0"/>
      <w:marTop w:val="0"/>
      <w:marBottom w:val="0"/>
      <w:divBdr>
        <w:top w:val="none" w:sz="0" w:space="0" w:color="auto"/>
        <w:left w:val="none" w:sz="0" w:space="0" w:color="auto"/>
        <w:bottom w:val="none" w:sz="0" w:space="0" w:color="auto"/>
        <w:right w:val="none" w:sz="0" w:space="0" w:color="auto"/>
      </w:divBdr>
    </w:div>
    <w:div w:id="1450120746">
      <w:bodyDiv w:val="1"/>
      <w:marLeft w:val="0"/>
      <w:marRight w:val="0"/>
      <w:marTop w:val="0"/>
      <w:marBottom w:val="0"/>
      <w:divBdr>
        <w:top w:val="none" w:sz="0" w:space="0" w:color="auto"/>
        <w:left w:val="none" w:sz="0" w:space="0" w:color="auto"/>
        <w:bottom w:val="none" w:sz="0" w:space="0" w:color="auto"/>
        <w:right w:val="none" w:sz="0" w:space="0" w:color="auto"/>
      </w:divBdr>
    </w:div>
    <w:div w:id="1471484381">
      <w:bodyDiv w:val="1"/>
      <w:marLeft w:val="0"/>
      <w:marRight w:val="0"/>
      <w:marTop w:val="0"/>
      <w:marBottom w:val="0"/>
      <w:divBdr>
        <w:top w:val="none" w:sz="0" w:space="0" w:color="auto"/>
        <w:left w:val="none" w:sz="0" w:space="0" w:color="auto"/>
        <w:bottom w:val="none" w:sz="0" w:space="0" w:color="auto"/>
        <w:right w:val="none" w:sz="0" w:space="0" w:color="auto"/>
      </w:divBdr>
      <w:divsChild>
        <w:div w:id="2100758374">
          <w:marLeft w:val="0"/>
          <w:marRight w:val="0"/>
          <w:marTop w:val="0"/>
          <w:marBottom w:val="0"/>
          <w:divBdr>
            <w:top w:val="none" w:sz="0" w:space="0" w:color="auto"/>
            <w:left w:val="none" w:sz="0" w:space="0" w:color="auto"/>
            <w:bottom w:val="none" w:sz="0" w:space="0" w:color="auto"/>
            <w:right w:val="none" w:sz="0" w:space="0" w:color="auto"/>
          </w:divBdr>
          <w:divsChild>
            <w:div w:id="2086879290">
              <w:marLeft w:val="0"/>
              <w:marRight w:val="0"/>
              <w:marTop w:val="0"/>
              <w:marBottom w:val="0"/>
              <w:divBdr>
                <w:top w:val="none" w:sz="0" w:space="0" w:color="auto"/>
                <w:left w:val="none" w:sz="0" w:space="0" w:color="auto"/>
                <w:bottom w:val="none" w:sz="0" w:space="0" w:color="auto"/>
                <w:right w:val="none" w:sz="0" w:space="0" w:color="auto"/>
              </w:divBdr>
              <w:divsChild>
                <w:div w:id="1764446710">
                  <w:marLeft w:val="0"/>
                  <w:marRight w:val="0"/>
                  <w:marTop w:val="0"/>
                  <w:marBottom w:val="0"/>
                  <w:divBdr>
                    <w:top w:val="none" w:sz="0" w:space="0" w:color="auto"/>
                    <w:left w:val="none" w:sz="0" w:space="0" w:color="auto"/>
                    <w:bottom w:val="none" w:sz="0" w:space="0" w:color="auto"/>
                    <w:right w:val="none" w:sz="0" w:space="0" w:color="auto"/>
                  </w:divBdr>
                  <w:divsChild>
                    <w:div w:id="1497577025">
                      <w:marLeft w:val="0"/>
                      <w:marRight w:val="0"/>
                      <w:marTop w:val="0"/>
                      <w:marBottom w:val="0"/>
                      <w:divBdr>
                        <w:top w:val="none" w:sz="0" w:space="0" w:color="auto"/>
                        <w:left w:val="none" w:sz="0" w:space="0" w:color="auto"/>
                        <w:bottom w:val="none" w:sz="0" w:space="0" w:color="auto"/>
                        <w:right w:val="none" w:sz="0" w:space="0" w:color="auto"/>
                      </w:divBdr>
                      <w:divsChild>
                        <w:div w:id="1059668508">
                          <w:marLeft w:val="0"/>
                          <w:marRight w:val="0"/>
                          <w:marTop w:val="0"/>
                          <w:marBottom w:val="750"/>
                          <w:divBdr>
                            <w:top w:val="none" w:sz="0" w:space="0" w:color="auto"/>
                            <w:left w:val="none" w:sz="0" w:space="0" w:color="auto"/>
                            <w:bottom w:val="none" w:sz="0" w:space="0" w:color="auto"/>
                            <w:right w:val="none" w:sz="0" w:space="0" w:color="auto"/>
                          </w:divBdr>
                        </w:div>
                      </w:divsChild>
                    </w:div>
                  </w:divsChild>
                </w:div>
              </w:divsChild>
            </w:div>
          </w:divsChild>
        </w:div>
      </w:divsChild>
    </w:div>
    <w:div w:id="1503739944">
      <w:bodyDiv w:val="1"/>
      <w:marLeft w:val="0"/>
      <w:marRight w:val="0"/>
      <w:marTop w:val="0"/>
      <w:marBottom w:val="0"/>
      <w:divBdr>
        <w:top w:val="none" w:sz="0" w:space="0" w:color="auto"/>
        <w:left w:val="none" w:sz="0" w:space="0" w:color="auto"/>
        <w:bottom w:val="none" w:sz="0" w:space="0" w:color="auto"/>
        <w:right w:val="none" w:sz="0" w:space="0" w:color="auto"/>
      </w:divBdr>
    </w:div>
    <w:div w:id="1504126300">
      <w:bodyDiv w:val="1"/>
      <w:marLeft w:val="0"/>
      <w:marRight w:val="0"/>
      <w:marTop w:val="0"/>
      <w:marBottom w:val="0"/>
      <w:divBdr>
        <w:top w:val="none" w:sz="0" w:space="0" w:color="auto"/>
        <w:left w:val="none" w:sz="0" w:space="0" w:color="auto"/>
        <w:bottom w:val="none" w:sz="0" w:space="0" w:color="auto"/>
        <w:right w:val="none" w:sz="0" w:space="0" w:color="auto"/>
      </w:divBdr>
    </w:div>
    <w:div w:id="1544322224">
      <w:bodyDiv w:val="1"/>
      <w:marLeft w:val="0"/>
      <w:marRight w:val="0"/>
      <w:marTop w:val="0"/>
      <w:marBottom w:val="0"/>
      <w:divBdr>
        <w:top w:val="none" w:sz="0" w:space="0" w:color="auto"/>
        <w:left w:val="none" w:sz="0" w:space="0" w:color="auto"/>
        <w:bottom w:val="none" w:sz="0" w:space="0" w:color="auto"/>
        <w:right w:val="none" w:sz="0" w:space="0" w:color="auto"/>
      </w:divBdr>
    </w:div>
    <w:div w:id="1585996708">
      <w:bodyDiv w:val="1"/>
      <w:marLeft w:val="0"/>
      <w:marRight w:val="0"/>
      <w:marTop w:val="0"/>
      <w:marBottom w:val="0"/>
      <w:divBdr>
        <w:top w:val="none" w:sz="0" w:space="0" w:color="auto"/>
        <w:left w:val="none" w:sz="0" w:space="0" w:color="auto"/>
        <w:bottom w:val="none" w:sz="0" w:space="0" w:color="auto"/>
        <w:right w:val="none" w:sz="0" w:space="0" w:color="auto"/>
      </w:divBdr>
    </w:div>
    <w:div w:id="1623878983">
      <w:bodyDiv w:val="1"/>
      <w:marLeft w:val="0"/>
      <w:marRight w:val="0"/>
      <w:marTop w:val="0"/>
      <w:marBottom w:val="0"/>
      <w:divBdr>
        <w:top w:val="none" w:sz="0" w:space="0" w:color="auto"/>
        <w:left w:val="none" w:sz="0" w:space="0" w:color="auto"/>
        <w:bottom w:val="none" w:sz="0" w:space="0" w:color="auto"/>
        <w:right w:val="none" w:sz="0" w:space="0" w:color="auto"/>
      </w:divBdr>
      <w:divsChild>
        <w:div w:id="401147015">
          <w:marLeft w:val="0"/>
          <w:marRight w:val="0"/>
          <w:marTop w:val="0"/>
          <w:marBottom w:val="0"/>
          <w:divBdr>
            <w:top w:val="none" w:sz="0" w:space="0" w:color="auto"/>
            <w:left w:val="none" w:sz="0" w:space="0" w:color="auto"/>
            <w:bottom w:val="none" w:sz="0" w:space="0" w:color="auto"/>
            <w:right w:val="none" w:sz="0" w:space="0" w:color="auto"/>
          </w:divBdr>
        </w:div>
        <w:div w:id="1023164069">
          <w:marLeft w:val="0"/>
          <w:marRight w:val="0"/>
          <w:marTop w:val="0"/>
          <w:marBottom w:val="0"/>
          <w:divBdr>
            <w:top w:val="none" w:sz="0" w:space="0" w:color="auto"/>
            <w:left w:val="none" w:sz="0" w:space="0" w:color="auto"/>
            <w:bottom w:val="none" w:sz="0" w:space="0" w:color="auto"/>
            <w:right w:val="none" w:sz="0" w:space="0" w:color="auto"/>
          </w:divBdr>
        </w:div>
      </w:divsChild>
    </w:div>
    <w:div w:id="1624145690">
      <w:bodyDiv w:val="1"/>
      <w:marLeft w:val="0"/>
      <w:marRight w:val="0"/>
      <w:marTop w:val="0"/>
      <w:marBottom w:val="0"/>
      <w:divBdr>
        <w:top w:val="none" w:sz="0" w:space="0" w:color="auto"/>
        <w:left w:val="none" w:sz="0" w:space="0" w:color="auto"/>
        <w:bottom w:val="none" w:sz="0" w:space="0" w:color="auto"/>
        <w:right w:val="none" w:sz="0" w:space="0" w:color="auto"/>
      </w:divBdr>
    </w:div>
    <w:div w:id="1680615680">
      <w:bodyDiv w:val="1"/>
      <w:marLeft w:val="0"/>
      <w:marRight w:val="0"/>
      <w:marTop w:val="0"/>
      <w:marBottom w:val="0"/>
      <w:divBdr>
        <w:top w:val="none" w:sz="0" w:space="0" w:color="auto"/>
        <w:left w:val="none" w:sz="0" w:space="0" w:color="auto"/>
        <w:bottom w:val="none" w:sz="0" w:space="0" w:color="auto"/>
        <w:right w:val="none" w:sz="0" w:space="0" w:color="auto"/>
      </w:divBdr>
    </w:div>
    <w:div w:id="1717587367">
      <w:bodyDiv w:val="1"/>
      <w:marLeft w:val="0"/>
      <w:marRight w:val="0"/>
      <w:marTop w:val="0"/>
      <w:marBottom w:val="0"/>
      <w:divBdr>
        <w:top w:val="none" w:sz="0" w:space="0" w:color="auto"/>
        <w:left w:val="none" w:sz="0" w:space="0" w:color="auto"/>
        <w:bottom w:val="none" w:sz="0" w:space="0" w:color="auto"/>
        <w:right w:val="none" w:sz="0" w:space="0" w:color="auto"/>
      </w:divBdr>
    </w:div>
    <w:div w:id="1747654387">
      <w:bodyDiv w:val="1"/>
      <w:marLeft w:val="0"/>
      <w:marRight w:val="0"/>
      <w:marTop w:val="0"/>
      <w:marBottom w:val="0"/>
      <w:divBdr>
        <w:top w:val="none" w:sz="0" w:space="0" w:color="auto"/>
        <w:left w:val="none" w:sz="0" w:space="0" w:color="auto"/>
        <w:bottom w:val="none" w:sz="0" w:space="0" w:color="auto"/>
        <w:right w:val="none" w:sz="0" w:space="0" w:color="auto"/>
      </w:divBdr>
    </w:div>
    <w:div w:id="1771007587">
      <w:bodyDiv w:val="1"/>
      <w:marLeft w:val="0"/>
      <w:marRight w:val="0"/>
      <w:marTop w:val="0"/>
      <w:marBottom w:val="0"/>
      <w:divBdr>
        <w:top w:val="none" w:sz="0" w:space="0" w:color="auto"/>
        <w:left w:val="none" w:sz="0" w:space="0" w:color="auto"/>
        <w:bottom w:val="none" w:sz="0" w:space="0" w:color="auto"/>
        <w:right w:val="none" w:sz="0" w:space="0" w:color="auto"/>
      </w:divBdr>
    </w:div>
    <w:div w:id="1808931711">
      <w:bodyDiv w:val="1"/>
      <w:marLeft w:val="0"/>
      <w:marRight w:val="0"/>
      <w:marTop w:val="0"/>
      <w:marBottom w:val="0"/>
      <w:divBdr>
        <w:top w:val="none" w:sz="0" w:space="0" w:color="auto"/>
        <w:left w:val="none" w:sz="0" w:space="0" w:color="auto"/>
        <w:bottom w:val="none" w:sz="0" w:space="0" w:color="auto"/>
        <w:right w:val="none" w:sz="0" w:space="0" w:color="auto"/>
      </w:divBdr>
      <w:divsChild>
        <w:div w:id="825442154">
          <w:marLeft w:val="0"/>
          <w:marRight w:val="0"/>
          <w:marTop w:val="0"/>
          <w:marBottom w:val="0"/>
          <w:divBdr>
            <w:top w:val="none" w:sz="0" w:space="0" w:color="auto"/>
            <w:left w:val="none" w:sz="0" w:space="0" w:color="auto"/>
            <w:bottom w:val="none" w:sz="0" w:space="0" w:color="auto"/>
            <w:right w:val="none" w:sz="0" w:space="0" w:color="auto"/>
          </w:divBdr>
        </w:div>
        <w:div w:id="1755668716">
          <w:marLeft w:val="0"/>
          <w:marRight w:val="0"/>
          <w:marTop w:val="0"/>
          <w:marBottom w:val="0"/>
          <w:divBdr>
            <w:top w:val="none" w:sz="0" w:space="0" w:color="auto"/>
            <w:left w:val="none" w:sz="0" w:space="0" w:color="auto"/>
            <w:bottom w:val="none" w:sz="0" w:space="0" w:color="auto"/>
            <w:right w:val="none" w:sz="0" w:space="0" w:color="auto"/>
          </w:divBdr>
        </w:div>
      </w:divsChild>
    </w:div>
    <w:div w:id="1860385905">
      <w:bodyDiv w:val="1"/>
      <w:marLeft w:val="0"/>
      <w:marRight w:val="0"/>
      <w:marTop w:val="0"/>
      <w:marBottom w:val="0"/>
      <w:divBdr>
        <w:top w:val="none" w:sz="0" w:space="0" w:color="auto"/>
        <w:left w:val="none" w:sz="0" w:space="0" w:color="auto"/>
        <w:bottom w:val="none" w:sz="0" w:space="0" w:color="auto"/>
        <w:right w:val="none" w:sz="0" w:space="0" w:color="auto"/>
      </w:divBdr>
    </w:div>
    <w:div w:id="1938440869">
      <w:bodyDiv w:val="1"/>
      <w:marLeft w:val="0"/>
      <w:marRight w:val="0"/>
      <w:marTop w:val="0"/>
      <w:marBottom w:val="0"/>
      <w:divBdr>
        <w:top w:val="none" w:sz="0" w:space="0" w:color="auto"/>
        <w:left w:val="none" w:sz="0" w:space="0" w:color="auto"/>
        <w:bottom w:val="none" w:sz="0" w:space="0" w:color="auto"/>
        <w:right w:val="none" w:sz="0" w:space="0" w:color="auto"/>
      </w:divBdr>
    </w:div>
    <w:div w:id="1943032841">
      <w:bodyDiv w:val="1"/>
      <w:marLeft w:val="0"/>
      <w:marRight w:val="0"/>
      <w:marTop w:val="0"/>
      <w:marBottom w:val="0"/>
      <w:divBdr>
        <w:top w:val="none" w:sz="0" w:space="0" w:color="auto"/>
        <w:left w:val="none" w:sz="0" w:space="0" w:color="auto"/>
        <w:bottom w:val="none" w:sz="0" w:space="0" w:color="auto"/>
        <w:right w:val="none" w:sz="0" w:space="0" w:color="auto"/>
      </w:divBdr>
    </w:div>
    <w:div w:id="1943371311">
      <w:bodyDiv w:val="1"/>
      <w:marLeft w:val="0"/>
      <w:marRight w:val="0"/>
      <w:marTop w:val="0"/>
      <w:marBottom w:val="0"/>
      <w:divBdr>
        <w:top w:val="none" w:sz="0" w:space="0" w:color="auto"/>
        <w:left w:val="none" w:sz="0" w:space="0" w:color="auto"/>
        <w:bottom w:val="none" w:sz="0" w:space="0" w:color="auto"/>
        <w:right w:val="none" w:sz="0" w:space="0" w:color="auto"/>
      </w:divBdr>
      <w:divsChild>
        <w:div w:id="860896396">
          <w:marLeft w:val="0"/>
          <w:marRight w:val="0"/>
          <w:marTop w:val="0"/>
          <w:marBottom w:val="0"/>
          <w:divBdr>
            <w:top w:val="none" w:sz="0" w:space="0" w:color="auto"/>
            <w:left w:val="none" w:sz="0" w:space="0" w:color="auto"/>
            <w:bottom w:val="none" w:sz="0" w:space="0" w:color="auto"/>
            <w:right w:val="none" w:sz="0" w:space="0" w:color="auto"/>
          </w:divBdr>
        </w:div>
        <w:div w:id="1454596232">
          <w:marLeft w:val="0"/>
          <w:marRight w:val="0"/>
          <w:marTop w:val="0"/>
          <w:marBottom w:val="0"/>
          <w:divBdr>
            <w:top w:val="none" w:sz="0" w:space="0" w:color="auto"/>
            <w:left w:val="none" w:sz="0" w:space="0" w:color="auto"/>
            <w:bottom w:val="none" w:sz="0" w:space="0" w:color="auto"/>
            <w:right w:val="none" w:sz="0" w:space="0" w:color="auto"/>
          </w:divBdr>
        </w:div>
      </w:divsChild>
    </w:div>
    <w:div w:id="1978602787">
      <w:bodyDiv w:val="1"/>
      <w:marLeft w:val="0"/>
      <w:marRight w:val="0"/>
      <w:marTop w:val="0"/>
      <w:marBottom w:val="0"/>
      <w:divBdr>
        <w:top w:val="none" w:sz="0" w:space="0" w:color="auto"/>
        <w:left w:val="none" w:sz="0" w:space="0" w:color="auto"/>
        <w:bottom w:val="none" w:sz="0" w:space="0" w:color="auto"/>
        <w:right w:val="none" w:sz="0" w:space="0" w:color="auto"/>
      </w:divBdr>
    </w:div>
    <w:div w:id="2073428217">
      <w:bodyDiv w:val="1"/>
      <w:marLeft w:val="0"/>
      <w:marRight w:val="0"/>
      <w:marTop w:val="0"/>
      <w:marBottom w:val="0"/>
      <w:divBdr>
        <w:top w:val="none" w:sz="0" w:space="0" w:color="auto"/>
        <w:left w:val="none" w:sz="0" w:space="0" w:color="auto"/>
        <w:bottom w:val="none" w:sz="0" w:space="0" w:color="auto"/>
        <w:right w:val="none" w:sz="0" w:space="0" w:color="auto"/>
      </w:divBdr>
    </w:div>
    <w:div w:id="2110538115">
      <w:bodyDiv w:val="1"/>
      <w:marLeft w:val="0"/>
      <w:marRight w:val="0"/>
      <w:marTop w:val="0"/>
      <w:marBottom w:val="0"/>
      <w:divBdr>
        <w:top w:val="none" w:sz="0" w:space="0" w:color="auto"/>
        <w:left w:val="none" w:sz="0" w:space="0" w:color="auto"/>
        <w:bottom w:val="none" w:sz="0" w:space="0" w:color="auto"/>
        <w:right w:val="none" w:sz="0" w:space="0" w:color="auto"/>
      </w:divBdr>
    </w:div>
    <w:div w:id="2146923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microsoft.com/office/2016/09/relationships/commentsIds" Target="commentsIds.xml"/></Relationships>
</file>

<file path=word/_rels/footnotes.xml.rels><?xml version="1.0" encoding="UTF-8" standalone="yes"?>
<Relationships xmlns="http://schemas.openxmlformats.org/package/2006/relationships"><Relationship Id="rId1" Type="http://schemas.openxmlformats.org/officeDocument/2006/relationships/hyperlink" Target="https://commission.europa.eu/topics/eu-competitiveness/draghi-report_en" TargetMode="Externa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6F2B61-1C80-4B71-8462-19BF29A52F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30</Pages>
  <Words>12020</Words>
  <Characters>70923</Characters>
  <Application>Microsoft Office Word</Application>
  <DocSecurity>0</DocSecurity>
  <Lines>591</Lines>
  <Paragraphs>165</Paragraphs>
  <ScaleCrop>false</ScaleCrop>
  <HeadingPairs>
    <vt:vector size="2" baseType="variant">
      <vt:variant>
        <vt:lpstr>Název</vt:lpstr>
      </vt:variant>
      <vt:variant>
        <vt:i4>1</vt:i4>
      </vt:variant>
    </vt:vector>
  </HeadingPairs>
  <TitlesOfParts>
    <vt:vector size="1" baseType="lpstr">
      <vt:lpstr/>
    </vt:vector>
  </TitlesOfParts>
  <LinksUpToDate>false</LinksUpToDate>
  <CharactersWithSpaces>82778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2025-10-23T15:44:00Z</dcterms:created>
  <dcterms:modified xsi:type="dcterms:W3CDTF">2025-10-23T17:40:00Z</dcterms:modified>
</cp:coreProperties>
</file>