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:rsidR="00A77B3E"/>
    <w:p w:rsidR="00A77B3E">
      <w:pPr>
        <w:pStyle w:val="1"/>
      </w:pPr>
    </w:p>
    <w:p w:rsidR="00A77B3E">
      <w:pPr>
        <w:pStyle w:val="1"/>
      </w:pPr>
    </w:p>
    <w:p w:rsidR="00A77B3E">
      <w:pPr>
        <w:pStyle w:val="2"/>
      </w:pPr>
      <w:r>
        <w:t>…</w:t>
      </w:r>
    </w:p>
    <w:p w:rsidR="00A77B3E">
      <w:pPr>
        <w:pStyle w:val="3"/>
      </w:pPr>
      <w:r>
        <w:t>VYHLÁŠKA</w:t>
      </w:r>
    </w:p>
    <w:p w:rsidR="00A77B3E">
      <w:pPr>
        <w:pStyle w:val="4"/>
      </w:pPr>
      <w:r>
        <w:t>ze dne …</w:t>
      </w:r>
    </w:p>
    <w:p w:rsidR="00A77B3E">
      <w:pPr>
        <w:pStyle w:val="5"/>
      </w:pPr>
      <w:r>
        <w:t>o stanovení výše paušální částky náhrady nákladů při práci na dálku pro rok 2026</w:t>
      </w:r>
    </w:p>
    <w:p w:rsidR="00A77B3E">
      <w:pPr>
        <w:pStyle w:val="6"/>
      </w:pPr>
      <w:r>
        <w:t>Ministerstvo práce a sociálních věcí stanoví podle § 190a odst. 1 písm. b) zákona č. 262/2006 Sb., zákoník práce, ve znění zákona č. 281/2023 Sb.:</w:t>
      </w:r>
    </w:p>
    <w:p w:rsidR="00A77B3E">
      <w:pPr>
        <w:pStyle w:val="1"/>
      </w:pPr>
    </w:p>
    <w:p w:rsidR="00A77B3E">
      <w:pPr>
        <w:pStyle w:val="7"/>
      </w:pPr>
      <w:r>
        <w:t>§ 1</w:t>
      </w:r>
    </w:p>
    <w:p w:rsidR="00A77B3E">
      <w:pPr>
        <w:pStyle w:val="8"/>
      </w:pPr>
      <w:r>
        <w:t>Výše paušální částky náhrady nákladů při práci na dálku</w:t>
      </w:r>
    </w:p>
    <w:p w:rsidR="00A77B3E">
      <w:pPr>
        <w:pStyle w:val="9"/>
      </w:pPr>
      <w:r>
        <w:t>Paušální částka náhrady nákladů při práci na dálku podle § 190a odst. 1 písm. b) zákoníku práce činí 4,70 Kč.</w:t>
      </w:r>
    </w:p>
    <w:p w:rsidR="00A77B3E">
      <w:pPr>
        <w:pStyle w:val="7"/>
      </w:pPr>
      <w:r>
        <w:t>§ 2</w:t>
      </w:r>
    </w:p>
    <w:p w:rsidR="00A77B3E">
      <w:pPr>
        <w:pStyle w:val="8"/>
      </w:pPr>
      <w:r>
        <w:t>Zrušovací ustanovení</w:t>
      </w:r>
    </w:p>
    <w:p w:rsidR="00A77B3E">
      <w:pPr>
        <w:pStyle w:val="9"/>
      </w:pPr>
      <w:r>
        <w:t>Vyhláška č. 474/2024 Sb., o stanovení výše paušální částky náhrady nákladů při práci na dálku pro rok 2025, se zrušuje.</w:t>
      </w:r>
    </w:p>
    <w:p w:rsidR="00A77B3E">
      <w:pPr>
        <w:pStyle w:val="7"/>
      </w:pPr>
      <w:r>
        <w:t>§ 3</w:t>
      </w:r>
    </w:p>
    <w:p w:rsidR="00A77B3E">
      <w:pPr>
        <w:pStyle w:val="8"/>
      </w:pPr>
      <w:r>
        <w:t>Účinnost</w:t>
      </w:r>
    </w:p>
    <w:p w:rsidR="00A77B3E">
      <w:pPr>
        <w:pStyle w:val="1"/>
      </w:pPr>
    </w:p>
    <w:p w:rsidR="00A77B3E">
      <w:pPr>
        <w:pStyle w:val="9"/>
      </w:pPr>
      <w:r>
        <w:t>Tato vyhláška nabývá účinnosti dnem 1. ledna 2026.</w:t>
      </w:r>
    </w:p>
    <w:p w:rsidR="00A77B3E">
      <w:pPr>
        <w:pStyle w:val="1"/>
      </w:pPr>
    </w:p>
    <w:sectPr>
      <w:headerReference w:type="even" r:id="rId4"/>
      <w:headerReference w:type="default" r:id="rId5"/>
      <w:headerReference w:type="first" r:id="rId6"/>
      <w:pgSz w:w="12240" w:h="15840"/>
      <w:pgMar w:top="1417" w:right="1417" w:bottom="1417" w:left="1417" w:header="400" w:footer="708" w:gutter="0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1881"/>
      <w:gridCol w:w="2822"/>
      <w:gridCol w:w="2822"/>
      <w:gridCol w:w="1881"/>
    </w:tblGrid>
    <w:tr>
      <w:tblPrEx>
        <w:tblW w:w="5000" w:type="pct"/>
      </w:tblPrEx>
      <w:tc>
        <w:tcPr>
          <w:gridSpan w:val="4"/>
        </w:tcPr>
        <w:p>
          <w:pPr>
            <w:pStyle w:val="HlavickaZlutyText"/>
            <w:jc w:val="left"/>
          </w:pPr>
        </w:p>
      </w:tc>
    </w:tr>
    <w:tr>
      <w:tblPrEx>
        <w:tblW w:w="5000" w:type="pct"/>
        <w:tblBorders>
          <w:bottom w:val="single" w:sz="12" w:space="0" w:color="000000"/>
        </w:tblBorders>
      </w:tblPrEx>
      <w:tc>
        <w:tcPr>
          <w:tcW w:w="1000" w:type="pct"/>
        </w:tcPr>
        <w:p>
          <w:pPr>
            <w:pStyle w:val="Hlavicka"/>
            <w:jc w:val="left"/>
          </w:pPr>
          <w:r>
            <w:t xml:space="preserve">strana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  <w:tc>
        <w:tcPr>
          <w:tcW w:w="3000" w:type="pct"/>
          <w:gridSpan w:val="2"/>
        </w:tcPr>
        <w:p>
          <w:pPr>
            <w:pStyle w:val="Hlavicka"/>
            <w:jc w:val="center"/>
          </w:pPr>
          <w:r>
            <w:t>Návrh aktu</w:t>
          </w:r>
        </w:p>
      </w:tc>
      <w:tc>
        <w:tcPr>
          <w:tcW w:w="1000" w:type="pct"/>
        </w:tcPr>
        <w:p>
          <w:pPr>
            <w:pStyle w:val="Hlavicka"/>
            <w:jc w:val="right"/>
          </w:pPr>
        </w:p>
      </w:tc>
    </w:tr>
    <w:tr>
      <w:tblPrEx>
        <w:tblW w:w="5000" w:type="pct"/>
      </w:tblPrEx>
      <w:tc>
        <w:tcPr>
          <w:tcW w:w="2500" w:type="pct"/>
          <w:gridSpan w:val="2"/>
        </w:tcPr>
        <w:p>
          <w:pPr>
            <w:pStyle w:val="Hlavicka"/>
            <w:jc w:val="left"/>
          </w:pPr>
          <w:r>
            <w:t>Uzavřená verze: 2025-0354-002-TVO</w:t>
          </w:r>
        </w:p>
      </w:tc>
      <w:tc>
        <w:tcPr>
          <w:tcW w:w="2500" w:type="pct"/>
          <w:gridSpan w:val="2"/>
        </w:tcPr>
        <w:p>
          <w:pPr>
            <w:pStyle w:val="Hlavicka"/>
            <w:jc w:val="right"/>
          </w:pPr>
        </w:p>
      </w:tc>
    </w:tr>
  </w:tbl>
  <w:p>
    <w:pPr>
      <w:pStyle w:val="Hlavic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1881"/>
      <w:gridCol w:w="2822"/>
      <w:gridCol w:w="2822"/>
      <w:gridCol w:w="1881"/>
    </w:tblGrid>
    <w:tr>
      <w:tblPrEx>
        <w:tblW w:w="5000" w:type="pct"/>
      </w:tblPrEx>
      <w:tc>
        <w:tcPr>
          <w:tcW w:w="2500" w:type="pct"/>
          <w:gridSpan w:val="4"/>
        </w:tcPr>
        <w:p>
          <w:pPr>
            <w:pStyle w:val="HlavickaZlutyText"/>
            <w:jc w:val="right"/>
          </w:pPr>
        </w:p>
      </w:tc>
    </w:tr>
    <w:tr>
      <w:tblPrEx>
        <w:tblW w:w="5000" w:type="pct"/>
        <w:tblBorders>
          <w:bottom w:val="single" w:sz="12" w:space="0" w:color="000000"/>
        </w:tblBorders>
      </w:tblPrEx>
      <w:tc>
        <w:tcPr>
          <w:tcW w:w="1000" w:type="pct"/>
        </w:tcPr>
        <w:p>
          <w:pPr>
            <w:pStyle w:val="Hlavicka"/>
            <w:jc w:val="left"/>
          </w:pPr>
        </w:p>
      </w:tc>
      <w:tc>
        <w:tcPr>
          <w:tcW w:w="3000" w:type="pct"/>
          <w:gridSpan w:val="2"/>
        </w:tcPr>
        <w:p>
          <w:pPr>
            <w:pStyle w:val="Hlavicka"/>
            <w:jc w:val="center"/>
          </w:pPr>
          <w:r>
            <w:t>Návrh aktu</w:t>
          </w:r>
        </w:p>
      </w:tc>
      <w:tc>
        <w:tcPr>
          <w:tcW w:w="1000" w:type="pct"/>
        </w:tcPr>
        <w:p>
          <w:pPr>
            <w:pStyle w:val="Hlavicka"/>
            <w:jc w:val="right"/>
          </w:pPr>
          <w:r>
            <w:t xml:space="preserve">strana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</w:tr>
    <w:tr>
      <w:tblPrEx>
        <w:tblW w:w="5000" w:type="pct"/>
      </w:tblPrEx>
      <w:tc>
        <w:tcPr>
          <w:tcW w:w="2500" w:type="pct"/>
          <w:gridSpan w:val="2"/>
        </w:tcPr>
        <w:p>
          <w:pPr>
            <w:pStyle w:val="Hlavicka"/>
            <w:jc w:val="left"/>
          </w:pPr>
        </w:p>
      </w:tc>
      <w:tc>
        <w:tcPr>
          <w:tcW w:w="2500" w:type="pct"/>
          <w:gridSpan w:val="2"/>
        </w:tcPr>
        <w:p>
          <w:pPr>
            <w:pStyle w:val="Hlavicka"/>
            <w:jc w:val="right"/>
          </w:pPr>
          <w:r>
            <w:t>Uzavřená verze: 2025-0354-002-TVO</w:t>
          </w:r>
        </w:p>
      </w:tc>
    </w:tr>
  </w:tbl>
  <w:p>
    <w:pPr>
      <w:pStyle w:val="Hlavic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9406"/>
    </w:tblGrid>
    <w:tr>
      <w:tblPrEx>
        <w:tblW w:w="5000" w:type="pct"/>
      </w:tblPrEx>
      <w:tc>
        <w:tcPr/>
        <w:p>
          <w:pPr>
            <w:pStyle w:val="HlavickaZlutyText"/>
            <w:jc w:val="right"/>
          </w:pPr>
        </w:p>
      </w:tc>
    </w:tr>
    <w:tr>
      <w:tblPrEx>
        <w:tblW w:w="5000" w:type="pct"/>
      </w:tblPrEx>
      <w:tc>
        <w:tcPr/>
        <w:p>
          <w:pPr>
            <w:pStyle w:val="Hlavicka"/>
            <w:jc w:val="right"/>
          </w:pPr>
        </w:p>
      </w:tc>
    </w:tr>
  </w:tbl>
  <w:p>
    <w:pPr>
      <w:pStyle w:val="Hlavic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evenAndOddHeaders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Hlavicka">
    <w:name w:val="Hlavicka"/>
    <w:rPr>
      <w:i/>
      <w:sz w:val="20"/>
    </w:rPr>
  </w:style>
  <w:style w:type="paragraph" w:customStyle="1" w:styleId="HlavickaZlutyText">
    <w:name w:val="HlavickaZlutyText"/>
    <w:rPr>
      <w:i w:val="0"/>
      <w:sz w:val="18"/>
    </w:rPr>
  </w:style>
  <w:style w:type="paragraph" w:customStyle="1" w:styleId="Variantastart">
    <w:name w:val="Varianta_start"/>
    <w:pPr>
      <w:pBdr>
        <w:top w:val="single" w:sz="8" w:space="0" w:color="80008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konec">
    <w:name w:val="Varianta_konec"/>
    <w:pPr>
      <w:pBdr>
        <w:bottom w:val="single" w:sz="8" w:space="0" w:color="80008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start">
    <w:name w:val="Ucinnost_start"/>
    <w:pPr>
      <w:pBdr>
        <w:top w:val="single" w:sz="8" w:space="0" w:color="8B000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konec">
    <w:name w:val="Ucinnost_konec"/>
    <w:pPr>
      <w:pBdr>
        <w:bottom w:val="single" w:sz="8" w:space="0" w:color="8B000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Celex">
    <w:name w:val="Celex"/>
    <w:pPr>
      <w:spacing w:before="120" w:after="120"/>
      <w:jc w:val="left"/>
    </w:pPr>
    <w:rPr>
      <w:rFonts w:ascii="Times New Roman" w:eastAsia="Times New Roman" w:hAnsi="Times New Roman" w:cs="Times New Roman"/>
      <w:i/>
      <w:sz w:val="20"/>
    </w:rPr>
  </w:style>
  <w:style w:type="paragraph" w:customStyle="1" w:styleId="Pripominkystart">
    <w:name w:val="Pripominky_start"/>
    <w:pPr>
      <w:pBdr>
        <w:top w:val="single" w:sz="8" w:space="0" w:color="87CEFA"/>
      </w:pBdr>
      <w:spacing w:before="0" w:after="10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">
    <w:name w:val="1"/>
    <w:pPr>
      <w:spacing w:before="11" w:after="0"/>
      <w:ind w:right="0"/>
      <w:jc w:val="left"/>
    </w:pPr>
    <w:rPr>
      <w:rFonts w:ascii="Times New Roman" w:eastAsia="Times New Roman" w:hAnsi="Times New Roman" w:cs="Times New Roman"/>
      <w:sz w:val="0"/>
    </w:rPr>
  </w:style>
  <w:style w:type="paragraph" w:customStyle="1" w:styleId="2">
    <w:name w:val="2"/>
    <w:pPr>
      <w:spacing w:before="57" w:after="227"/>
      <w:ind w:right="0"/>
      <w:jc w:val="center"/>
    </w:pPr>
    <w:rPr>
      <w:rFonts w:ascii="Times New Roman" w:eastAsia="Times New Roman" w:hAnsi="Times New Roman" w:cs="Times New Roman"/>
      <w:b/>
      <w:sz w:val="32"/>
    </w:rPr>
  </w:style>
  <w:style w:type="paragraph" w:customStyle="1" w:styleId="3">
    <w:name w:val="3"/>
    <w:pPr>
      <w:spacing w:before="0" w:after="0"/>
      <w:ind w:left="680" w:right="680"/>
      <w:jc w:val="center"/>
    </w:pPr>
    <w:rPr>
      <w:rFonts w:ascii="Times New Roman" w:eastAsia="Times New Roman" w:hAnsi="Times New Roman" w:cs="Times New Roman"/>
      <w:b/>
      <w:caps/>
      <w:sz w:val="32"/>
    </w:rPr>
  </w:style>
  <w:style w:type="paragraph" w:customStyle="1" w:styleId="4">
    <w:name w:val="4"/>
    <w:pPr>
      <w:spacing w:before="0" w:after="170"/>
      <w:ind w:left="850" w:right="850"/>
      <w:jc w:val="center"/>
    </w:pPr>
    <w:rPr>
      <w:rFonts w:ascii="Times New Roman" w:eastAsia="Times New Roman" w:hAnsi="Times New Roman" w:cs="Times New Roman"/>
      <w:b/>
      <w:sz w:val="28"/>
    </w:rPr>
  </w:style>
  <w:style w:type="paragraph" w:customStyle="1" w:styleId="5">
    <w:name w:val="5"/>
    <w:pPr>
      <w:spacing w:before="340" w:after="113"/>
      <w:ind w:left="850" w:right="850"/>
      <w:jc w:val="center"/>
    </w:pPr>
    <w:rPr>
      <w:rFonts w:ascii="Times New Roman" w:eastAsia="Times New Roman" w:hAnsi="Times New Roman" w:cs="Times New Roman"/>
      <w:b/>
      <w:sz w:val="34"/>
    </w:rPr>
  </w:style>
  <w:style w:type="paragraph" w:customStyle="1" w:styleId="6">
    <w:name w:val="6"/>
    <w:pPr>
      <w:spacing w:before="283" w:after="340"/>
      <w:ind w:right="0"/>
      <w:jc w:val="left"/>
    </w:pPr>
    <w:rPr>
      <w:rFonts w:ascii="Times New Roman" w:eastAsia="Times New Roman" w:hAnsi="Times New Roman" w:cs="Times New Roman"/>
      <w:sz w:val="30"/>
    </w:rPr>
  </w:style>
  <w:style w:type="paragraph" w:customStyle="1" w:styleId="7">
    <w:name w:val="7"/>
    <w:pPr>
      <w:overflowPunct/>
      <w:spacing w:before="227" w:after="113"/>
      <w:ind w:left="0" w:right="0" w:firstLine="0"/>
      <w:jc w:val="center"/>
    </w:pPr>
    <w:rPr>
      <w:rFonts w:ascii="Times New Roman" w:eastAsia="Times New Roman" w:hAnsi="Times New Roman" w:cs="Times New Roman"/>
      <w:sz w:val="28"/>
    </w:rPr>
  </w:style>
  <w:style w:type="paragraph" w:customStyle="1" w:styleId="8">
    <w:name w:val="8"/>
    <w:pPr>
      <w:spacing w:before="0" w:after="57"/>
      <w:ind w:left="850" w:right="850"/>
      <w:jc w:val="center"/>
    </w:pPr>
    <w:rPr>
      <w:rFonts w:ascii="Times New Roman" w:eastAsia="Times New Roman" w:hAnsi="Times New Roman" w:cs="Times New Roman"/>
      <w:b/>
      <w:sz w:val="28"/>
    </w:rPr>
  </w:style>
  <w:style w:type="paragraph" w:customStyle="1" w:styleId="9">
    <w:name w:val="9"/>
    <w:pPr>
      <w:spacing w:before="0" w:after="57"/>
      <w:ind w:right="0"/>
      <w:jc w:val="both"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