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:rsidR="00A77B3E"/>
    <w:p w:rsidR="00A77B3E">
      <w:pPr>
        <w:pStyle w:val="1"/>
      </w:pPr>
    </w:p>
    <w:p w:rsidR="00A77B3E">
      <w:pPr>
        <w:pStyle w:val="1"/>
      </w:pPr>
    </w:p>
    <w:p w:rsidR="00A77B3E">
      <w:pPr>
        <w:pStyle w:val="2"/>
      </w:pPr>
      <w:r>
        <w:t>…</w:t>
      </w:r>
    </w:p>
    <w:p w:rsidR="00A77B3E">
      <w:pPr>
        <w:pStyle w:val="3"/>
      </w:pPr>
      <w:r>
        <w:t>NAŘÍZENÍ VLÁDY</w:t>
      </w:r>
    </w:p>
    <w:p w:rsidR="00A77B3E">
      <w:pPr>
        <w:pStyle w:val="4"/>
      </w:pPr>
      <w:r>
        <w:t xml:space="preserve">ze dne …, </w:t>
      </w:r>
    </w:p>
    <w:p w:rsidR="00A77B3E">
      <w:pPr>
        <w:pStyle w:val="5"/>
      </w:pPr>
      <w:r>
        <w:t>kterým se mění nařízení vlády č. 29/2023 Sb., o vzorovém poučení o právu na odstoupení od smluv uzavřených distančním způsobem nebo mimo obchodní prostory a vzorovém formuláři pro odstoupení od těchto smluv</w:t>
      </w:r>
    </w:p>
    <w:p w:rsidR="00A77B3E">
      <w:pPr>
        <w:pStyle w:val="6"/>
      </w:pPr>
      <w:r>
        <w:t>Vláda nařizuje podle § 1820 odst. 2 zákona č. 89/2012 Sb., občanský zákoník, ve znění zákona č. 374/2022 Sb.:</w:t>
      </w:r>
    </w:p>
    <w:p w:rsidR="00A77B3E">
      <w:pPr>
        <w:pStyle w:val="1"/>
      </w:pPr>
    </w:p>
    <w:p w:rsidR="00A77B3E">
      <w:pPr>
        <w:pStyle w:val="7"/>
      </w:pPr>
      <w:r>
        <w:t>Čl. I</w:t>
      </w:r>
    </w:p>
    <w:p w:rsidR="00A77B3E">
      <w:pPr>
        <w:pStyle w:val="8"/>
      </w:pPr>
      <w:r>
        <w:t>Nařízení vlády č. 29/2023 Sb., o vzorovém poučení o právu na odstoupení od smluv uzavřených distančním způsobem nebo mimo obchodní prostory a vzorovém formuláři pro odstoupení od těchto smluv, se mění takto:</w:t>
      </w:r>
    </w:p>
    <w:p w:rsidR="00A77B3E">
      <w:pPr>
        <w:pStyle w:val="9"/>
      </w:pPr>
      <w:r>
        <w:t>V příloze písm. a) oddílu Pokyny pro vyplnění formuláře v pokynu č. 4 se na začátek vkládá věta „Pokud jste povinen umožnit spotřebiteli odstoupit od smlouvy prohlášením učiněným v on-line rozhraní použitím tlačítka nebo obdobného ovládacího prvku pro odstoupení od smlouvy, vložte text: „</w:t>
      </w:r>
      <w:r>
        <w:rPr>
          <w:b/>
          <w:bCs/>
        </w:rPr>
        <w:t>Můžete rovněž uplatnit své právo odstoupit od smlouvy online na</w:t>
      </w:r>
      <w:r>
        <w:t xml:space="preserve"> [vložte internetovou adresu nebo jiné vhodné vysvětlení toho, kde lze tlačítko nebo obdobný ovládací prvek pro odstoupení od smlouvy nalézt]</w:t>
      </w:r>
      <w:r>
        <w:rPr>
          <w:b/>
          <w:bCs/>
        </w:rPr>
        <w:t>. Využijete-li této možnosti, bez zbytečného odkladu Vám potvrdíme přijetí prohlášení o odstoupení od smlouvy v textové podobě (například prostřednictvím elektronické pošty), včetně jeho obsahu a data a času jeho odeslání</w:t>
      </w:r>
      <w:r>
        <w:t>.“.“.</w:t>
      </w:r>
    </w:p>
    <w:p w:rsidR="00A77B3E">
      <w:pPr>
        <w:pStyle w:val="7"/>
      </w:pPr>
      <w:r>
        <w:t>Čl. II</w:t>
      </w:r>
    </w:p>
    <w:p w:rsidR="00A77B3E">
      <w:pPr>
        <w:pStyle w:val="10"/>
      </w:pPr>
      <w:r>
        <w:t>Účinnost</w:t>
      </w:r>
    </w:p>
    <w:p w:rsidR="00A77B3E">
      <w:pPr>
        <w:pStyle w:val="1"/>
      </w:pPr>
    </w:p>
    <w:p w:rsidR="00A77B3E">
      <w:pPr>
        <w:pStyle w:val="11"/>
      </w:pPr>
      <w:r>
        <w:t>Toto nařízení nabývá účinnosti dnem 19. června 2026.</w:t>
      </w:r>
    </w:p>
    <w:p w:rsidR="00A77B3E">
      <w:pPr>
        <w:pStyle w:val="1"/>
      </w:pPr>
    </w:p>
    <w:sectPr>
      <w:headerReference w:type="even" r:id="rId4"/>
      <w:headerReference w:type="default" r:id="rId5"/>
      <w:headerReference w:type="first" r:id="rId6"/>
      <w:pgSz w:w="12240" w:h="15840"/>
      <w:pgMar w:top="1417" w:right="1417" w:bottom="1417" w:left="1417" w:header="400" w:footer="708" w:gutter="0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gridSpan w:val="4"/>
        </w:tcPr>
        <w:p>
          <w:pPr>
            <w:pStyle w:val="HlavickaZlutyText"/>
            <w:jc w:val="lef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Návrh aktu</w:t>
          </w:r>
        </w:p>
      </w:tc>
      <w:tc>
        <w:tcPr>
          <w:tcW w:w="1000" w:type="pct"/>
        </w:tcPr>
        <w:p>
          <w:pPr>
            <w:pStyle w:val="Hlavicka"/>
            <w:jc w:val="right"/>
          </w:pP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  <w:r>
            <w:t>Uzavřená verze: 2025-0330-002-TVO</w:t>
          </w: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tcW w:w="2500" w:type="pct"/>
          <w:gridSpan w:val="4"/>
        </w:tcPr>
        <w:p>
          <w:pPr>
            <w:pStyle w:val="HlavickaZlutyText"/>
            <w:jc w:val="righ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Návrh aktu</w:t>
          </w:r>
        </w:p>
      </w:tc>
      <w:tc>
        <w:tcPr>
          <w:tcW w:w="1000" w:type="pct"/>
        </w:tcPr>
        <w:p>
          <w:pPr>
            <w:pStyle w:val="Hlavicka"/>
            <w:jc w:val="righ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  <w:r>
            <w:t>Uzavřená verze: 2025-0330-002-TVO</w:t>
          </w:r>
        </w:p>
      </w:tc>
    </w:tr>
  </w:tbl>
  <w:p>
    <w:pPr>
      <w:pStyle w:val="Hlavic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9406"/>
    </w:tblGrid>
    <w:tr>
      <w:tblPrEx>
        <w:tblW w:w="5000" w:type="pct"/>
      </w:tblPrEx>
      <w:tc>
        <w:tcPr/>
        <w:p>
          <w:pPr>
            <w:pStyle w:val="HlavickaZlutyText"/>
            <w:jc w:val="right"/>
          </w:pPr>
        </w:p>
      </w:tc>
    </w:tr>
    <w:tr>
      <w:tblPrEx>
        <w:tblW w:w="5000" w:type="pct"/>
      </w:tblPrEx>
      <w:tc>
        <w:tcPr/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evenAndOddHeaders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Hlavicka">
    <w:name w:val="Hlavicka"/>
    <w:rPr>
      <w:i/>
      <w:sz w:val="20"/>
    </w:rPr>
  </w:style>
  <w:style w:type="paragraph" w:customStyle="1" w:styleId="HlavickaZlutyText">
    <w:name w:val="HlavickaZlutyText"/>
    <w:rPr>
      <w:i w:val="0"/>
      <w:sz w:val="18"/>
    </w:rPr>
  </w:style>
  <w:style w:type="paragraph" w:customStyle="1" w:styleId="Variantastart">
    <w:name w:val="Varianta_start"/>
    <w:pPr>
      <w:pBdr>
        <w:top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konec">
    <w:name w:val="Varianta_konec"/>
    <w:pPr>
      <w:pBdr>
        <w:bottom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start">
    <w:name w:val="Ucinnost_start"/>
    <w:pPr>
      <w:pBdr>
        <w:top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konec">
    <w:name w:val="Ucinnost_konec"/>
    <w:pPr>
      <w:pBdr>
        <w:bottom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Celex">
    <w:name w:val="Celex"/>
    <w:pPr>
      <w:spacing w:before="120" w:after="120"/>
      <w:jc w:val="left"/>
    </w:pPr>
    <w:rPr>
      <w:rFonts w:ascii="Times New Roman" w:eastAsia="Times New Roman" w:hAnsi="Times New Roman" w:cs="Times New Roman"/>
      <w:i/>
      <w:sz w:val="20"/>
    </w:rPr>
  </w:style>
  <w:style w:type="paragraph" w:customStyle="1" w:styleId="Pripominkystart">
    <w:name w:val="Pripominky_start"/>
    <w:pPr>
      <w:pBdr>
        <w:top w:val="single" w:sz="8" w:space="0" w:color="87CEFA"/>
      </w:pBdr>
      <w:spacing w:before="0" w:after="10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">
    <w:name w:val="1"/>
    <w:pPr>
      <w:spacing w:before="11" w:after="0"/>
      <w:ind w:right="0"/>
      <w:jc w:val="left"/>
    </w:pPr>
    <w:rPr>
      <w:rFonts w:ascii="Times New Roman" w:eastAsia="Times New Roman" w:hAnsi="Times New Roman" w:cs="Times New Roman"/>
      <w:sz w:val="0"/>
    </w:rPr>
  </w:style>
  <w:style w:type="paragraph" w:customStyle="1" w:styleId="2">
    <w:name w:val="2"/>
    <w:pPr>
      <w:spacing w:before="57" w:after="227"/>
      <w:ind w:right="0"/>
      <w:jc w:val="center"/>
    </w:pPr>
    <w:rPr>
      <w:rFonts w:ascii="Times New Roman" w:eastAsia="Times New Roman" w:hAnsi="Times New Roman" w:cs="Times New Roman"/>
      <w:b/>
      <w:sz w:val="32"/>
    </w:rPr>
  </w:style>
  <w:style w:type="paragraph" w:customStyle="1" w:styleId="3">
    <w:name w:val="3"/>
    <w:pPr>
      <w:spacing w:before="0" w:after="0"/>
      <w:ind w:left="680" w:right="680"/>
      <w:jc w:val="center"/>
    </w:pPr>
    <w:rPr>
      <w:rFonts w:ascii="Times New Roman" w:eastAsia="Times New Roman" w:hAnsi="Times New Roman" w:cs="Times New Roman"/>
      <w:b/>
      <w:caps/>
      <w:sz w:val="32"/>
    </w:rPr>
  </w:style>
  <w:style w:type="paragraph" w:customStyle="1" w:styleId="4">
    <w:name w:val="4"/>
    <w:pPr>
      <w:spacing w:before="0" w:after="170"/>
      <w:ind w:left="850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5">
    <w:name w:val="5"/>
    <w:pPr>
      <w:spacing w:before="340" w:after="113"/>
      <w:ind w:left="850" w:right="850"/>
      <w:jc w:val="center"/>
    </w:pPr>
    <w:rPr>
      <w:rFonts w:ascii="Times New Roman" w:eastAsia="Times New Roman" w:hAnsi="Times New Roman" w:cs="Times New Roman"/>
      <w:b/>
      <w:sz w:val="34"/>
    </w:rPr>
  </w:style>
  <w:style w:type="paragraph" w:customStyle="1" w:styleId="6">
    <w:name w:val="6"/>
    <w:pPr>
      <w:spacing w:before="283" w:after="340"/>
      <w:ind w:right="0"/>
      <w:jc w:val="left"/>
    </w:pPr>
    <w:rPr>
      <w:rFonts w:ascii="Times New Roman" w:eastAsia="Times New Roman" w:hAnsi="Times New Roman" w:cs="Times New Roman"/>
      <w:sz w:val="30"/>
    </w:rPr>
  </w:style>
  <w:style w:type="paragraph" w:customStyle="1" w:styleId="7">
    <w:name w:val="7"/>
    <w:pPr>
      <w:overflowPunct/>
      <w:spacing w:before="227" w:after="113"/>
      <w:ind w:left="0" w:right="0" w:firstLine="0"/>
      <w:jc w:val="center"/>
    </w:pPr>
    <w:rPr>
      <w:rFonts w:ascii="Times New Roman" w:eastAsia="Times New Roman" w:hAnsi="Times New Roman" w:cs="Times New Roman"/>
      <w:sz w:val="28"/>
    </w:rPr>
  </w:style>
  <w:style w:type="paragraph" w:customStyle="1" w:styleId="8">
    <w:name w:val="8"/>
    <w:pPr>
      <w:spacing w:before="0" w:after="113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9">
    <w:name w:val="9"/>
    <w:pPr>
      <w:spacing w:before="113" w:after="57"/>
      <w:ind w:left="0"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10">
    <w:name w:val="10"/>
    <w:pPr>
      <w:spacing w:before="0" w:after="57"/>
      <w:ind w:left="850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11">
    <w:name w:val="11"/>
    <w:pPr>
      <w:spacing w:before="0" w:after="57"/>
      <w:ind w:right="0"/>
      <w:jc w:val="both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