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2"/>
      </w:pPr>
      <w:r>
        <w:t>V.</w:t>
      </w:r>
    </w:p>
    <w:p w:rsidR="00A77B3E">
      <w:pPr>
        <w:pStyle w:val="1"/>
      </w:pPr>
    </w:p>
    <w:p w:rsidR="00A77B3E">
      <w:pPr>
        <w:pStyle w:val="3"/>
      </w:pPr>
      <w:r>
        <w:t>Důvodová zpráva</w:t>
      </w:r>
    </w:p>
    <w:p w:rsidR="00A77B3E">
      <w:pPr>
        <w:pStyle w:val="4"/>
      </w:pPr>
      <w:r>
        <w:t>Návrh nařízení vlády, kterým se mění nařízení vlády č. 29/2023 Sb., o vzorovém poučení o právu na odstoupení od smluv uzavřených distančním způsobem nebo mimo obchodní prostory a vzorovém formuláři pro odstoupení od těchto smluv</w:t>
      </w:r>
    </w:p>
    <w:p w:rsidR="00A77B3E">
      <w:pPr>
        <w:pStyle w:val="1"/>
      </w:pPr>
    </w:p>
    <w:p w:rsidR="00A77B3E">
      <w:pPr>
        <w:pStyle w:val="5"/>
      </w:pPr>
      <w:r>
        <w:t>I. Obecná část</w:t>
      </w:r>
    </w:p>
    <w:p w:rsidR="00A77B3E">
      <w:pPr>
        <w:pStyle w:val="6"/>
      </w:pPr>
      <w:r>
        <w:t>1.</w:t>
      </w:r>
      <w:r>
        <w:t>   Popis obsahu návrhu právního předpisu s uvedením důvodů, které k jeho předložení vedou, a shrnutí základních zásad a nejdůležitějších změn, které oproti stávající právní úpravě zavádí.</w:t>
      </w:r>
    </w:p>
    <w:p w:rsidR="00A77B3E">
      <w:pPr>
        <w:pStyle w:val="7"/>
      </w:pPr>
      <w:r>
        <w:t>Cílem návrhu nařízení vlády je úprava pokynů k vyplnění vzorového poučení o právu na odstoupení od smluv uzavřených distančním způsobem nebo mimo obchodní prostory. Návrh nařízení navazuje na novelu občanského zákoníku, jíž se transponuje směrnice Evropského parlamentu a Rady (EU) 2023/2673 ze dne 22. listopadu 2023, kterou se mění směrnice 2011/83/EU, pokud jde o smlouvy o finančních službách uzavřené na dálku, a zrušuje směrnice 2002/65/ES (dále též „DMFS“), a je v souladu se zákonným zmocněním uvedeným v § 1820 odst. 2 občanského zákoníku.</w:t>
      </w:r>
    </w:p>
    <w:p w:rsidR="00A77B3E">
      <w:pPr>
        <w:pStyle w:val="8"/>
      </w:pPr>
      <w:r>
        <w:t>Novela občanského zákoníku zavádí možnost spotřebitele odstoupit od smlouvy uzavřené v on-line rozhraní prostřednictvím tlačítka nebo obdobného ovládacího prvku pro odstoupení od smlouvy. Současně se zavádí povinnost podnikatele o této možnosti spotřebitele informovat. Tuto informační povinnost může podnikatel splnit poskytnutím vzorového poučení o právu na odstoupení od smlouvy, jehož náležitosti stanoví nařízení vlády č. 29/2023 Sb. Vzhledem k rozšíření informační povinnosti podnikatele je tak potřeba upravit nařízení vlády a doplnit ​příslušný pokyn k vyplnění vzorového poučení.</w:t>
      </w:r>
    </w:p>
    <w:p w:rsidR="00A77B3E">
      <w:pPr>
        <w:pStyle w:val="9"/>
      </w:pPr>
      <w:r>
        <w:t>Návrhem nařízení vlády se tak stanoví konkrétní formulace, kterou má podnikatel použít pro informování spotřebitele o možnosti odstoupit od smlouvy online prostřednictvím tlačítka nebo obdobného ovládacího prvku pro odstoupení.</w:t>
      </w:r>
    </w:p>
    <w:p w:rsidR="00A77B3E">
      <w:pPr>
        <w:pStyle w:val="6"/>
      </w:pPr>
      <w:r>
        <w:t>2.</w:t>
      </w:r>
      <w:r>
        <w:t>   Zhodnocení platného právního stavu</w:t>
      </w:r>
    </w:p>
    <w:p w:rsidR="00A77B3E">
      <w:pPr>
        <w:pStyle w:val="7"/>
      </w:pPr>
      <w:r>
        <w:t>Nařízení vlády č. 29/2023 Sb., o vzorovém poučení o právu na odstoupení od smluv uzavřených distančním způsobem nebo mimo obchodní prostory a vzorovém formuláři pro odstoupení od těchto smluv, představuje transpozici přílohy I směrnice Evropského parlamentu a Rady 2011/83/EU ze dne 25. října 2011 o právech spotřebitelů, kterou se mění směrnice Rady 93/13/EHS a směrnice Evropského parlamentu a Rady 1999/44/ES a zrušuje směrnice Rady 85/577/EHS a směrnice Evropského parlamentu a Rady 97/7/ES (dále také „CRD“). Směrnice CRD je v maximální harmonizaci, obsah vzorového poučení včetně pokynů k jeho vyplnění v nařízení vlády tak odpovídá evropské předloze.</w:t>
      </w:r>
    </w:p>
    <w:p w:rsidR="00A77B3E">
      <w:pPr>
        <w:pStyle w:val="8"/>
      </w:pPr>
      <w:r>
        <w:t>Směrnice CRD stanoví řadu informačních povinností, které musí podnikatel spotřebiteli sdělit v dostatečném předstihu před uzavřením smlouvy, včetně informace o právu na odstoupení od smlouvy uzavřené distančním způsobem nebo mimo obchodní prostory. Ve své Příloze I pak směrnice CRD zavádí harmonizované poučení o odstoupení a vzorový formulář pro odstoupení od těchto smluv. Toto vzorové poučení a formulář mají sloužit spotřebiteli pro snadnější odstoupení od smlouvy. Řádným poskytnutím informací podle vzorového poučení splní podnikatel informační povinnost o právu na odstoupení od smlouvy podle § 1820 odst. 1 písm. i) občanského zákoníku.</w:t>
      </w:r>
    </w:p>
    <w:p w:rsidR="00A77B3E">
      <w:pPr>
        <w:pStyle w:val="8"/>
      </w:pPr>
      <w:r>
        <w:t>Směrnice DMFS nyní směrnici CRD novelizuje a nově upravuje povinnost podnikatele umožnit spotřebiteli odstoupit od smlouvy uzavřené v online rozhraní prostřednictvím online funkce pro odstoupení od smlouvy (tlačítko nebo obdobný ovládací prvek pro odstoupení od smlouvy dostupný v online rozhraní). V souvislosti s tím rozšiřuje i informační povinnost o právu na odstoupení od smlouvy a doplňuje přílohu I směrnice CRD o úpravu způsobu vyplnění vzorového poučení.</w:t>
      </w:r>
    </w:p>
    <w:p w:rsidR="00A77B3E">
      <w:pPr>
        <w:pStyle w:val="9"/>
      </w:pPr>
      <w:r>
        <w:t>Nové požadavky směrnice ve vztahu k odstoupení od smlouvy online a příslušné informační povinnosti budou transponovány do občanského zákoníku. Změnu přílohy směrnice CRD je nutné do českého právního řádu provést prostřednictvím úpravy nařízení vlády č. 29/2023 Sb.</w:t>
      </w:r>
    </w:p>
    <w:p w:rsidR="00A77B3E">
      <w:pPr>
        <w:pStyle w:val="6"/>
      </w:pPr>
      <w:r>
        <w:t>3.</w:t>
      </w:r>
      <w:r>
        <w:t>   Zhodnocení souladu návrhu právního předpisu s ústavním pořádkem a ostatními součástmi právního řádu České republiky.</w:t>
      </w:r>
    </w:p>
    <w:p w:rsidR="00A77B3E">
      <w:pPr>
        <w:pStyle w:val="7"/>
      </w:pPr>
      <w:r>
        <w:t>Z ústavního pořádku České republiky nevyplývají specifické právní normy ústavněprávní síly dopadající na oblast uzavírání smluv na dálku. Navrhovaná úprava je v souladu s ústavním pořádkem, zejména s čl. 2 odst. 2 Listiny základních práv a svobod (státní moc lze uplatňovat jen v případech a v mezích stanovených zákonem, a to způsobem, který zákon stanoví) a s čl. 4 odst. 1 Listiny základních práv a svobod (povinnosti mohou být ukládány toliko na základě zákona a v jeho mezích a jen při zachování základních práv a svobod).</w:t>
      </w:r>
    </w:p>
    <w:p w:rsidR="00A77B3E">
      <w:pPr>
        <w:pStyle w:val="9"/>
      </w:pPr>
      <w:r>
        <w:t>Návrh nařízení je v souladu se zákonným zmocněním uvedeným v § 1820 odst. 2 občanského zákoníku. Zmocnění se týká stanovení náležitostí vzorového poučení o právu na odstoupení od smlouvy, jehož prostřednictvím je možné splnit povinnosti stanovené v § 1820 odst. 1 písm. i) až k) občanského zákoníku.</w:t>
      </w:r>
    </w:p>
    <w:p w:rsidR="00A77B3E">
      <w:pPr>
        <w:pStyle w:val="6"/>
      </w:pPr>
      <w:r>
        <w:t>4.</w:t>
      </w:r>
      <w:r>
        <w:t>   Zhodnocení souladu návrhu právního předpisu se závazky vyplývajícími pro Českou republiku z jejího členství v Evropské unii.</w:t>
      </w:r>
    </w:p>
    <w:p w:rsidR="00A77B3E">
      <w:pPr>
        <w:pStyle w:val="10"/>
      </w:pPr>
      <w:r>
        <w:t>Navrhovaná právní úprava je transpozicí směrnice DMFS. Předložený návrh je, spolu s příslušnou novelou občanského zákoníku, se směrnicí plně slučitelný. Návrh nařízení je v souladu s právními akty Evropské unie, s judikaturou soudních orgánů Evropské unie a s obecnými právními zásadami práva Evropské unie, zejména se zásadou proporcionality a subsidiarity, se zásadou rovného zacházení, zásadou nediskriminace a právní jistoty.</w:t>
      </w:r>
    </w:p>
    <w:p w:rsidR="00A77B3E">
      <w:pPr>
        <w:pStyle w:val="6"/>
      </w:pPr>
      <w:r>
        <w:t>5.</w:t>
      </w:r>
      <w:r>
        <w:t>   Zhodnocení souladu návrhu právního předpisu s mezinárodními smlouvami, jimiž je Česká republika vázána.</w:t>
      </w:r>
    </w:p>
    <w:p w:rsidR="00A77B3E">
      <w:pPr>
        <w:pStyle w:val="10"/>
      </w:pPr>
      <w:r>
        <w:t>Návrh nařízení vlády je v souladu s mezinárodními smlouvami, resp. mezinárodní smlouvy danou problematiku neupravují.</w:t>
      </w:r>
    </w:p>
    <w:p w:rsidR="00A77B3E">
      <w:pPr>
        <w:pStyle w:val="6"/>
      </w:pPr>
      <w:r>
        <w:t>6.</w:t>
      </w:r>
      <w:r>
        <w:t>   Předpokládaný hospodářský a finanční dopad návrhu právního předpisu na státní rozpočet a ostatní veřejné rozpočty.</w:t>
      </w:r>
    </w:p>
    <w:p w:rsidR="00A77B3E">
      <w:pPr>
        <w:pStyle w:val="10"/>
      </w:pPr>
      <w:r>
        <w:t>V souvislosti s navrhovanou právní úpravou se nepředpokládají zvýšené náklady na straně orgánů dozoru. Dopad na státní rozpočet a ostatní veřejné rozpočty se tak neočekávají.</w:t>
      </w:r>
    </w:p>
    <w:p w:rsidR="00A77B3E">
      <w:pPr>
        <w:pStyle w:val="6"/>
      </w:pPr>
      <w:r>
        <w:t>7.</w:t>
      </w:r>
      <w:r>
        <w:t>   Odůvodnění případného návrhu, aby navrhovaná právní úprava nabyla účinnosti k jinému dni než k 1. lednu nebo k 1. červenci kalendářního roku.</w:t>
      </w:r>
    </w:p>
    <w:p w:rsidR="00A77B3E">
      <w:pPr>
        <w:pStyle w:val="10"/>
      </w:pPr>
      <w:r>
        <w:t>Návrh nařízení představuje transpoziční úpravu, jejíž účinnost se odvíjí od data stanoveného příslušným předpisem EU. Směrnice DMFS v čl. 2 odst. 1 pododst. 2 stanoví, že nová pravidla se použijí od 19. června 2026. Navržené datum účinnosti nařízení vlády tedy odpovídá požadavku směrnice DMFS.</w:t>
      </w:r>
    </w:p>
    <w:p w:rsidR="00A77B3E">
      <w:pPr>
        <w:pStyle w:val="6"/>
      </w:pPr>
      <w:r>
        <w:t>8.</w:t>
      </w:r>
      <w:r>
        <w:t>   Zhodnocení, zda návrh právního předpisu neobsahuje ustanovení, které by bylo svou povahou technickým předpisem podle právního předpisu upravujícího technické požadavky na výrobky, a informace o splnění oznamovací povinnosti podle tohoto právního předpisu.</w:t>
      </w:r>
    </w:p>
    <w:p w:rsidR="00A77B3E">
      <w:pPr>
        <w:pStyle w:val="10"/>
      </w:pPr>
      <w:r>
        <w:t>Takovou úpravu návrh právního předpisu neobsahuje.</w:t>
      </w:r>
    </w:p>
    <w:p w:rsidR="00A77B3E">
      <w:pPr>
        <w:pStyle w:val="6"/>
      </w:pPr>
      <w:r>
        <w:t>9.</w:t>
      </w:r>
      <w:r>
        <w:t>   Předpokládaný dopad návrhu právního předpisu, zejména.</w:t>
      </w:r>
    </w:p>
    <w:p w:rsidR="00A77B3E">
      <w:pPr>
        <w:pStyle w:val="11"/>
      </w:pPr>
      <w:r>
        <w:t>9.1</w:t>
      </w:r>
      <w:r>
        <w:t>   Dopad na práva a povinnosti fyzických a právnických osob.</w:t>
      </w:r>
    </w:p>
    <w:p w:rsidR="00A77B3E">
      <w:pPr>
        <w:pStyle w:val="7"/>
      </w:pPr>
      <w:r>
        <w:t>Návrh nařízení vlády se dotýká práv a povinností spotřebitelů a podnikajících fyzických a právnických osob, a to v oblasti informování spotřebitelů o odstoupení od smlouvy uzavřené na dálku v online rozhraní.</w:t>
      </w:r>
    </w:p>
    <w:p w:rsidR="00A77B3E">
      <w:pPr>
        <w:pStyle w:val="8"/>
      </w:pPr>
      <w:r>
        <w:t>Návrh nařízení vlády navazuje na novou povinnost podnikatelů umožnit spotřebiteli v případě smluv uzavřených na dálku v online prostředí odstoupit taktéž v online prostředí (§ 1830a občanského zákoníku) a související informační povinnost (§ 1820 odst. 1 písm. i) občanského zákoníku). Návrh nařízení upravuje obsah již nyní existujícího vzorového poučení o právu na odstoupení od smlouvy. Stanovením konkrétního způsobu vyplnění vzorového formuláře umožňuje podnikatelům snazší plnění jejich zákonných povinností při informování spotřebitele.</w:t>
      </w:r>
    </w:p>
    <w:p w:rsidR="00A77B3E">
      <w:pPr>
        <w:pStyle w:val="9"/>
      </w:pPr>
      <w:r>
        <w:t>Ve vztahu k fyzickým osobám - spotřebitelům přináší navrhovaná právní úprava vyšší míru informovanosti o možnosti odstoupit od smlouvy v online prostředí, a tím směřuje ke zlepšení jejich postavení při sjednávání smluv online.</w:t>
      </w:r>
    </w:p>
    <w:p w:rsidR="00A77B3E">
      <w:pPr>
        <w:pStyle w:val="11"/>
      </w:pPr>
      <w:r>
        <w:t>9.2</w:t>
      </w:r>
      <w:r>
        <w:t>   Dopad na podnikatelské prostředí České republiky.</w:t>
      </w:r>
    </w:p>
    <w:p w:rsidR="00A77B3E">
      <w:pPr>
        <w:pStyle w:val="10"/>
      </w:pPr>
      <w:r>
        <w:t>Navržená úprava dopadne na obchodníky sjednávající smlouvy se spotřebiteli v online prostředí (např. e-shopy). Lze očekávat jednorázové náklady na úpravu vzorového poučení o odstoupení od smlouvy v souvislosti s doplněním informace o možnosti odstoupit od smlouvy online prostřednictvím tlačítka nebo obdobného ovládacího prvku pro odstoupení od smlouvy.</w:t>
      </w:r>
    </w:p>
    <w:p w:rsidR="00A77B3E">
      <w:pPr>
        <w:pStyle w:val="11"/>
      </w:pPr>
      <w:r>
        <w:t>9.3</w:t>
      </w:r>
      <w:r>
        <w:t>   Zhodnocení, zda návrhem právního předpisu není zakládána veřejná podpora.</w:t>
      </w:r>
    </w:p>
    <w:p w:rsidR="00A77B3E">
      <w:pPr>
        <w:pStyle w:val="10"/>
      </w:pPr>
      <w:r>
        <w:t>Návrhem nařízení vlády se nezakládá žádná veřejná podpora.</w:t>
      </w:r>
    </w:p>
    <w:p w:rsidR="00A77B3E">
      <w:pPr>
        <w:pStyle w:val="11"/>
      </w:pPr>
      <w:r>
        <w:t>9.4</w:t>
      </w:r>
      <w:r>
        <w:t>   Sociální dopad, včetně dopadu na specifické skupiny obyvatel, především na osoby sociálně slabé, osoby se zdravotním postižením a národnostní menšiny.</w:t>
      </w:r>
    </w:p>
    <w:p w:rsidR="00A77B3E">
      <w:pPr>
        <w:pStyle w:val="10"/>
      </w:pPr>
      <w:r>
        <w:t>Návrh nařízení vlády nemá negativní sociální dopady ani nemá dopady na specifické skupiny obyvatel, zejména sociálně slabé, osoby se zdravotním postižením a národnostní menšiny.</w:t>
      </w:r>
    </w:p>
    <w:p w:rsidR="00A77B3E">
      <w:pPr>
        <w:pStyle w:val="11"/>
      </w:pPr>
      <w:r>
        <w:t>9.5</w:t>
      </w:r>
      <w:r>
        <w:t>   Dopad na rovnost mužů a žen, upravuje-li návrh právního předpisu postavení fyzických osob nebo se tohoto postavení dotýká.</w:t>
      </w:r>
    </w:p>
    <w:p w:rsidR="00A77B3E">
      <w:pPr>
        <w:pStyle w:val="10"/>
      </w:pPr>
      <w:r>
        <w:t>Navrhovaná právní úprava se aplikuje vůči všem obchodníkům sjednávajícím smlouvy na dálku a všem spotřebitelům bez ohledu na pohlaví. Úprava tedy není v rozporu se zákazem diskriminace a nemá žádné dopady na rovnost žen a mužů.</w:t>
      </w:r>
    </w:p>
    <w:p w:rsidR="00A77B3E">
      <w:pPr>
        <w:pStyle w:val="11"/>
      </w:pPr>
      <w:r>
        <w:t>9.6</w:t>
      </w:r>
      <w:r>
        <w:t>   Dopad na životní prostředí.</w:t>
      </w:r>
    </w:p>
    <w:p w:rsidR="00A77B3E">
      <w:pPr>
        <w:pStyle w:val="10"/>
      </w:pPr>
      <w:r>
        <w:t>Návrh nařízení vlády nemá dopad na životní prostředí.</w:t>
      </w:r>
    </w:p>
    <w:p w:rsidR="00A77B3E">
      <w:pPr>
        <w:pStyle w:val="11"/>
      </w:pPr>
      <w:r>
        <w:t>9.7</w:t>
      </w:r>
      <w:r>
        <w:t>   Dopad na ochranu práv dětí.</w:t>
      </w:r>
    </w:p>
    <w:p w:rsidR="00A77B3E">
      <w:pPr>
        <w:pStyle w:val="10"/>
      </w:pPr>
      <w:r>
        <w:t>Návrh nařízení vlády nemá dopad na ochranu práv dětí.</w:t>
      </w:r>
    </w:p>
    <w:p w:rsidR="00A77B3E">
      <w:pPr>
        <w:pStyle w:val="11"/>
      </w:pPr>
      <w:r>
        <w:t>9.8</w:t>
      </w:r>
      <w:r>
        <w:t>   Dopad na bezpečnost nebo obranu státu.</w:t>
      </w:r>
    </w:p>
    <w:p w:rsidR="00A77B3E">
      <w:pPr>
        <w:pStyle w:val="10"/>
      </w:pPr>
      <w:r>
        <w:t>Návrh nařízení vlády nemá dopad na bezpečnost nebo obranu státu.</w:t>
      </w:r>
    </w:p>
    <w:p w:rsidR="00A77B3E">
      <w:pPr>
        <w:pStyle w:val="11"/>
      </w:pPr>
      <w:r>
        <w:t>9.9</w:t>
      </w:r>
      <w:r>
        <w:t>   Dopad ve vztahu k ochraně soukromí a osobních údajů.</w:t>
      </w:r>
    </w:p>
    <w:p w:rsidR="00A77B3E">
      <w:pPr>
        <w:pStyle w:val="10"/>
      </w:pPr>
      <w:r>
        <w:t>Navrhovaná změna nařízení vlády nemá ve vztahu k ochraně soukromí a osobních údajů přímé dopady a nepřináší žádná nová práva ani povinnosti adresátů právní úpravy ve vztahu k této problematice.</w:t>
      </w:r>
    </w:p>
    <w:p w:rsidR="00A77B3E">
      <w:pPr>
        <w:pStyle w:val="11"/>
      </w:pPr>
      <w:r>
        <w:t>9.10</w:t>
      </w:r>
      <w:r>
        <w:t>   Zhodnocení územních dopadů, včetně dopadů na územní samosprávné celky</w:t>
      </w:r>
    </w:p>
    <w:p w:rsidR="00A77B3E">
      <w:pPr>
        <w:pStyle w:val="10"/>
      </w:pPr>
      <w:r>
        <w:t>Návrh nařízení vlády nemá žádné územní dopady ani dopady na územní samosprávné celky.</w:t>
      </w:r>
    </w:p>
    <w:p w:rsidR="00A77B3E">
      <w:pPr>
        <w:pStyle w:val="6"/>
      </w:pPr>
      <w:r>
        <w:t>10.</w:t>
      </w:r>
      <w:r>
        <w:t>   Zhodnocení korupčních rizik návrhu právního předpisu.</w:t>
      </w:r>
    </w:p>
    <w:p w:rsidR="00A77B3E">
      <w:pPr>
        <w:pStyle w:val="10"/>
      </w:pPr>
      <w:r>
        <w:t>Návrh nařízení vlády nepřináší žádná korupční rizika.</w:t>
      </w:r>
    </w:p>
    <w:p w:rsidR="00A77B3E">
      <w:pPr>
        <w:pStyle w:val="6"/>
      </w:pPr>
      <w:r>
        <w:t>11.</w:t>
      </w:r>
      <w:r>
        <w:t>   Zhodnocení souladu navrhovaného řešení se zásadami tvorby digitálně přívětivé legislativy, včetně zhodnocení rizika vyloučení nebo omezení možnosti přístupu specifických skupin osob k některým službám v důsledku digitalizace jejich poskytování (digitální vyloučení)</w:t>
      </w:r>
    </w:p>
    <w:p w:rsidR="00A77B3E">
      <w:pPr>
        <w:pStyle w:val="7"/>
      </w:pPr>
      <w:r>
        <w:t>Návrh nařízení vlády není v rozporu se zásadami tvorby digitálně přívětivé legislativy.</w:t>
      </w:r>
    </w:p>
    <w:p w:rsidR="00A77B3E">
      <w:pPr>
        <w:pStyle w:val="9"/>
      </w:pPr>
      <w:r>
        <w:t>U návrhu nebyla zjištěna rizika vyloučení ani omezení možnosti přístupu specifických skupin osob k některým službám v důsledku digitalizace jejich poskytování, neboť návrh neupravuje poskytování žádné služby veřejné správy.</w:t>
      </w:r>
    </w:p>
    <w:p w:rsidR="00A77B3E">
      <w:pPr>
        <w:pStyle w:val="6"/>
      </w:pPr>
      <w:r>
        <w:t>12.</w:t>
      </w:r>
      <w:r>
        <w:t>   Odůvodnění případné navrhované odchylky v postupu projednání návrhu právního předpisu.</w:t>
      </w:r>
    </w:p>
    <w:p w:rsidR="00A77B3E">
      <w:pPr>
        <w:pStyle w:val="10"/>
      </w:pPr>
      <w:r>
        <w:t>Návrh představuje čistě technickou novelu s minimálními dopady, a proto byla podle čl. 76 odst. 2 Legislativních pravidel vlády a bodu 5. 5 Obecných zásad pro hodnocení dopadů regulace dopisem ministryně spravedlnosti a předsedkyně Legislativní rady vlády Evy Decroix, Ph.D., MBA, MPA pod č. j. 41061-2025-UVCR ze dne 22. října 2025 udělena výjimka z povinnosti zpracovat hodnocení dopadů regulace.</w:t>
      </w:r>
    </w:p>
    <w:p w:rsidR="00A77B3E">
      <w:pPr>
        <w:pStyle w:val="6"/>
      </w:pPr>
      <w:r>
        <w:t>13.</w:t>
      </w:r>
      <w:r>
        <w:t>   Informace dle zákona o regulaci lobbování</w:t>
      </w:r>
    </w:p>
    <w:p w:rsidR="00A77B3E">
      <w:pPr>
        <w:pStyle w:val="10"/>
      </w:pPr>
      <w:r>
        <w:t>-</w:t>
      </w:r>
    </w:p>
    <w:p w:rsidR="00A77B3E">
      <w:pPr>
        <w:pStyle w:val="1"/>
      </w:pPr>
    </w:p>
    <w:p w:rsidR="00A77B3E">
      <w:pPr>
        <w:pStyle w:val="5"/>
      </w:pPr>
      <w:r>
        <w:t>II. Zvláštní část</w:t>
      </w:r>
    </w:p>
    <w:p w:rsidR="00A77B3E">
      <w:pPr>
        <w:pStyle w:val="12"/>
      </w:pPr>
      <w:r>
        <w:t>K čl. I (Změna nařízení vlády č. 29/2023 Sb.)</w:t>
      </w:r>
    </w:p>
    <w:p w:rsidR="00A77B3E">
      <w:pPr>
        <w:pStyle w:val="13"/>
      </w:pPr>
      <w:r>
        <w:t>K příloze písm. a)</w:t>
      </w:r>
    </w:p>
    <w:p w:rsidR="00A77B3E">
      <w:pPr>
        <w:pStyle w:val="7"/>
      </w:pPr>
      <w:r>
        <w:t>Do pokynů k vyplnění vzorového poučení o právu na odstoupení od smlouvy uzavřené distančním způsobem nebo mimo obchodní prostory se doplňuje konkrétní formulace, kterou má podnikatel použít pro informování spotřebitele o možnosti odstoupit od smlouvy online prostřednictvím tlačítka nebo obdobného ovládacího prvku pro odstoupení. Spolu s informací o možnosti odstoupit od smlouvy online podnikatel ve vzorovém poučení uvede také informaci o umístění tlačítka (např. na internetových stránkách nebo v mobilní aplikaci) a o tom, že spotřebitel obdrží potvrzení o přijetí odstoupení od smlouvy na trvalém nosiči dat (např. e-mailem).</w:t>
      </w:r>
    </w:p>
    <w:p w:rsidR="00A77B3E">
      <w:pPr>
        <w:pStyle w:val="8"/>
      </w:pPr>
      <w:r>
        <w:t>Požadovaný text podnikatel do vzorového poučení doplní pouze v případě, kdy bude povinen umožnit spotřebiteli odstoupit od smlouvy online prostřednictvím tlačítka podle § 1830a občanského zákoníku, tj. pouze u smluv uzavíraných distančním způsobem v online rozhraní (např. na e-shopu).</w:t>
      </w:r>
    </w:p>
    <w:p w:rsidR="00A77B3E">
      <w:pPr>
        <w:pStyle w:val="9"/>
      </w:pPr>
      <w:r>
        <w:t>Vyplněním vzorového poučení podle požadavků nařízení vlády pak podnikatel podle § 1820 odst. 2 občanského zákoníku splní svou informační povinnost stanovenou v § 1820 odst. 1 písm. i) občanského zákoníku.</w:t>
      </w:r>
    </w:p>
    <w:p w:rsidR="00A77B3E">
      <w:pPr>
        <w:pStyle w:val="12"/>
      </w:pPr>
      <w:r>
        <w:t>K čl. II (Účinnostní ustanovení)</w:t>
      </w:r>
    </w:p>
    <w:p w:rsidR="00A77B3E">
      <w:pPr>
        <w:pStyle w:val="10"/>
      </w:pPr>
      <w:r>
        <w:t>V souladu se směrnicí se navrhuje účinnost od 19. června 2026.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Důvodová zpráva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2025-0330-002-TVO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Důvodová zpráva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2025-0330-002-TVO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57" w:after="0"/>
      <w:ind w:right="227"/>
      <w:jc w:val="right"/>
    </w:pPr>
    <w:rPr>
      <w:rFonts w:ascii="Times New Roman" w:eastAsia="Times New Roman" w:hAnsi="Times New Roman" w:cs="Times New Roman"/>
      <w:b/>
      <w:sz w:val="40"/>
    </w:rPr>
  </w:style>
  <w:style w:type="paragraph" w:customStyle="1" w:styleId="3">
    <w:name w:val="3"/>
    <w:pPr>
      <w:spacing w:before="0" w:after="340"/>
      <w:ind w:left="680" w:right="680"/>
      <w:jc w:val="center"/>
    </w:pPr>
    <w:rPr>
      <w:rFonts w:ascii="Times New Roman" w:eastAsia="Times New Roman" w:hAnsi="Times New Roman" w:cs="Times New Roman"/>
      <w:b/>
      <w:sz w:val="44"/>
    </w:rPr>
  </w:style>
  <w:style w:type="paragraph" w:customStyle="1" w:styleId="4">
    <w:name w:val="4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5">
    <w:name w:val="5"/>
    <w:pPr>
      <w:spacing w:before="510" w:after="0"/>
      <w:ind w:left="850" w:right="85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6">
    <w:name w:val="6"/>
    <w:pPr>
      <w:overflowPunct/>
      <w:spacing w:before="283" w:after="113"/>
      <w:ind w:left="340" w:right="0" w:hanging="340"/>
      <w:jc w:val="left"/>
    </w:pPr>
    <w:rPr>
      <w:rFonts w:ascii="Times New Roman" w:eastAsia="Times New Roman" w:hAnsi="Times New Roman" w:cs="Times New Roman"/>
      <w:b/>
      <w:sz w:val="26"/>
    </w:rPr>
  </w:style>
  <w:style w:type="paragraph" w:customStyle="1" w:styleId="Varianta6start">
    <w:name w:val="Varianta_6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6konec">
    <w:name w:val="Varianta_6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6start">
    <w:name w:val="Ucinnost_6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6konec">
    <w:name w:val="Ucinnost_6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6start">
    <w:name w:val="Pripominky_6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7">
    <w:name w:val="7"/>
    <w:pPr>
      <w:spacing w:before="0" w:after="113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8">
    <w:name w:val="8"/>
    <w:pPr>
      <w:spacing w:before="113" w:after="113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9">
    <w:name w:val="9"/>
    <w:pPr>
      <w:spacing w:before="113" w:after="57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10">
    <w:name w:val="10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11">
    <w:name w:val="11"/>
    <w:pPr>
      <w:overflowPunct/>
      <w:spacing w:before="170" w:after="57"/>
      <w:ind w:left="510" w:right="0" w:hanging="510"/>
      <w:jc w:val="left"/>
    </w:pPr>
    <w:rPr>
      <w:rFonts w:ascii="Times New Roman" w:eastAsia="Times New Roman" w:hAnsi="Times New Roman" w:cs="Times New Roman"/>
      <w:b/>
      <w:sz w:val="26"/>
    </w:rPr>
  </w:style>
  <w:style w:type="paragraph" w:customStyle="1" w:styleId="Varianta11start">
    <w:name w:val="Varianta_11_start"/>
    <w:pPr>
      <w:pBdr>
        <w:top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1konec">
    <w:name w:val="Varianta_11_konec"/>
    <w:pPr>
      <w:pBdr>
        <w:bottom w:val="single" w:sz="8" w:space="0" w:color="80008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1start">
    <w:name w:val="Ucinnost_11_start"/>
    <w:pPr>
      <w:pBdr>
        <w:top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1konec">
    <w:name w:val="Ucinnost_11_konec"/>
    <w:pPr>
      <w:pBdr>
        <w:bottom w:val="single" w:sz="8" w:space="0" w:color="8B0000"/>
      </w:pBdr>
      <w:spacing w:before="0" w:after="100"/>
      <w:ind w:left="51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1start">
    <w:name w:val="Pripominky_11_start"/>
    <w:pPr>
      <w:pBdr>
        <w:top w:val="single" w:sz="8" w:space="0" w:color="87CEFA"/>
      </w:pBdr>
      <w:spacing w:before="0" w:after="100"/>
      <w:ind w:left="51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2">
    <w:name w:val="12"/>
    <w:pPr>
      <w:spacing w:before="170" w:after="0"/>
      <w:ind w:left="850" w:right="85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13">
    <w:name w:val="13"/>
    <w:pPr>
      <w:spacing w:before="57" w:after="0"/>
      <w:ind w:right="0"/>
      <w:jc w:val="left"/>
    </w:pPr>
    <w:rPr>
      <w:rFonts w:ascii="Times New Roman" w:eastAsia="Times New Roman" w:hAnsi="Times New Roman" w:cs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