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0DBD" w14:textId="77777777" w:rsidR="00EA3329" w:rsidRDefault="00EA3329" w:rsidP="00EA3329">
      <w:pPr>
        <w:pStyle w:val="1"/>
      </w:pPr>
    </w:p>
    <w:p w14:paraId="0942C954" w14:textId="77777777" w:rsidR="00EA3329" w:rsidRDefault="00EA3329" w:rsidP="00EA3329">
      <w:pPr>
        <w:pStyle w:val="1"/>
      </w:pPr>
    </w:p>
    <w:p w14:paraId="623261CC" w14:textId="77777777" w:rsidR="00EA3329" w:rsidRPr="00D52368" w:rsidRDefault="00EA3329" w:rsidP="00D25270">
      <w:pPr>
        <w:pStyle w:val="CELEX"/>
        <w:jc w:val="center"/>
        <w:rPr>
          <w:b/>
          <w:i w:val="0"/>
          <w:sz w:val="44"/>
          <w:szCs w:val="44"/>
        </w:rPr>
      </w:pPr>
      <w:r w:rsidRPr="00D52368">
        <w:rPr>
          <w:b/>
          <w:i w:val="0"/>
          <w:sz w:val="44"/>
          <w:szCs w:val="44"/>
        </w:rPr>
        <w:t>Důvodová zpráva</w:t>
      </w:r>
    </w:p>
    <w:p w14:paraId="41DEB77C" w14:textId="77777777" w:rsidR="00EA3329" w:rsidRDefault="00EA3329" w:rsidP="00EA3329">
      <w:pPr>
        <w:pStyle w:val="1"/>
      </w:pPr>
    </w:p>
    <w:p w14:paraId="1831EADD" w14:textId="77777777" w:rsidR="00EA3329" w:rsidRPr="00E928A8" w:rsidRDefault="00EA3329" w:rsidP="007E460F">
      <w:pPr>
        <w:pStyle w:val="Nadpis1"/>
        <w:keepNext w:val="0"/>
        <w:rPr>
          <w:rFonts w:cs="Times New Roman"/>
          <w:sz w:val="32"/>
          <w:szCs w:val="28"/>
        </w:rPr>
      </w:pPr>
      <w:r w:rsidRPr="00E928A8">
        <w:rPr>
          <w:rFonts w:cs="Times New Roman"/>
          <w:sz w:val="32"/>
          <w:szCs w:val="28"/>
        </w:rPr>
        <w:t>I. Obecná část</w:t>
      </w:r>
    </w:p>
    <w:p w14:paraId="319A2787" w14:textId="5357D5FD" w:rsidR="00EA3329" w:rsidRPr="002A6C5C" w:rsidRDefault="6E464B03" w:rsidP="002A6C5C">
      <w:pPr>
        <w:pStyle w:val="6"/>
        <w:jc w:val="both"/>
        <w:outlineLvl w:val="1"/>
      </w:pPr>
      <w:r w:rsidRPr="002A6C5C">
        <w:t>1.   Zhodnocení platného právního stavu</w:t>
      </w:r>
    </w:p>
    <w:p w14:paraId="5F10F5CC" w14:textId="63250D37" w:rsidR="5B731C4C" w:rsidRPr="00964487" w:rsidRDefault="5B731C4C" w:rsidP="00964487">
      <w:pPr>
        <w:pStyle w:val="8"/>
        <w:spacing w:after="120"/>
      </w:pPr>
      <w:r w:rsidRPr="00964487">
        <w:t>Daň z přidané hodnoty tvoří jeden ze základních pilířů daňové soustavy</w:t>
      </w:r>
      <w:r w:rsidR="00306514" w:rsidRPr="00964487">
        <w:t xml:space="preserve"> nejen v České republice, ale rovněž v Evropské uni</w:t>
      </w:r>
      <w:r w:rsidR="00337F55">
        <w:t>i</w:t>
      </w:r>
      <w:r w:rsidRPr="00964487">
        <w:t>. Její důležitost podtrhává i vysoká harmonizace této daně na úrovni Evropské unie.</w:t>
      </w:r>
      <w:r w:rsidR="00306514" w:rsidRPr="00964487">
        <w:t xml:space="preserve"> </w:t>
      </w:r>
      <w:r w:rsidRPr="00964487">
        <w:t xml:space="preserve">Základním právním předpisem pro oblast daně z přidané hodnoty v Evropské unii je směrnice Rady 2006/112/ES ze dne 28. listopadu 2006 o společném systému daně z přidané hodnoty (dále </w:t>
      </w:r>
      <w:r w:rsidR="0038032C">
        <w:t>rovněž</w:t>
      </w:r>
      <w:r w:rsidRPr="00964487">
        <w:t xml:space="preserve"> „směrnice o dani z přidané hodnoty“). Do českého právního řádu j</w:t>
      </w:r>
      <w:r w:rsidR="00D336A7">
        <w:t xml:space="preserve">e unijní úprava v oblasti daně z přidané hodnoty </w:t>
      </w:r>
      <w:r w:rsidRPr="00964487">
        <w:t>transponován</w:t>
      </w:r>
      <w:r w:rsidR="00D336A7">
        <w:t>a primárně</w:t>
      </w:r>
      <w:r w:rsidRPr="00964487">
        <w:t xml:space="preserve"> prostřednictvím zákona </w:t>
      </w:r>
      <w:r w:rsidR="00D336A7">
        <w:t>č.</w:t>
      </w:r>
      <w:r w:rsidR="00113E8A">
        <w:t> </w:t>
      </w:r>
      <w:r w:rsidR="00D336A7">
        <w:t xml:space="preserve">235/2004 Sb., </w:t>
      </w:r>
      <w:r w:rsidRPr="00964487">
        <w:t>o dani z přidané hodnoty</w:t>
      </w:r>
      <w:r w:rsidR="00D336A7">
        <w:t>, ve znění pozdějších předpisů (dále jen „zákon o dani z přidané hodnoty“)</w:t>
      </w:r>
      <w:r w:rsidRPr="00964487">
        <w:t xml:space="preserve">. </w:t>
      </w:r>
    </w:p>
    <w:p w14:paraId="2CECBFA3" w14:textId="609BC0FE" w:rsidR="0034120F" w:rsidRPr="00964487" w:rsidRDefault="0034120F" w:rsidP="00964487">
      <w:pPr>
        <w:pStyle w:val="8"/>
        <w:spacing w:after="120"/>
        <w:rPr>
          <w:szCs w:val="24"/>
        </w:rPr>
      </w:pPr>
      <w:r w:rsidRPr="00964487">
        <w:rPr>
          <w:szCs w:val="24"/>
        </w:rPr>
        <w:t xml:space="preserve">Stávající znění zákona o </w:t>
      </w:r>
      <w:r w:rsidRPr="00754CC9">
        <w:rPr>
          <w:szCs w:val="24"/>
        </w:rPr>
        <w:t xml:space="preserve">dani z přidané hodnoty </w:t>
      </w:r>
      <w:r w:rsidRPr="00964487">
        <w:rPr>
          <w:szCs w:val="24"/>
        </w:rPr>
        <w:t>obsahuje pravidla zavedená směrnicemi Rady (EU) 2017/2455 a (EU) 2019/1995 (tzv.</w:t>
      </w:r>
      <w:r w:rsidR="0028297E">
        <w:rPr>
          <w:szCs w:val="24"/>
        </w:rPr>
        <w:t> </w:t>
      </w:r>
      <w:r w:rsidRPr="00964487">
        <w:rPr>
          <w:szCs w:val="24"/>
        </w:rPr>
        <w:t>balíč</w:t>
      </w:r>
      <w:r w:rsidRPr="00754CC9">
        <w:rPr>
          <w:szCs w:val="24"/>
        </w:rPr>
        <w:t>e</w:t>
      </w:r>
      <w:r w:rsidRPr="00964487">
        <w:rPr>
          <w:szCs w:val="24"/>
        </w:rPr>
        <w:t>k e-</w:t>
      </w:r>
      <w:proofErr w:type="spellStart"/>
      <w:r w:rsidRPr="00964487">
        <w:rPr>
          <w:szCs w:val="24"/>
        </w:rPr>
        <w:t>commerce</w:t>
      </w:r>
      <w:proofErr w:type="spellEnd"/>
      <w:r w:rsidRPr="00964487">
        <w:rPr>
          <w:szCs w:val="24"/>
        </w:rPr>
        <w:t xml:space="preserve">), který byl do zákona o </w:t>
      </w:r>
      <w:r w:rsidR="005F6D62">
        <w:t>dani z přidané hodnoty</w:t>
      </w:r>
      <w:r w:rsidR="005F6D62" w:rsidRPr="00964487">
        <w:rPr>
          <w:szCs w:val="24"/>
        </w:rPr>
        <w:t xml:space="preserve"> </w:t>
      </w:r>
      <w:r w:rsidRPr="00964487">
        <w:rPr>
          <w:szCs w:val="24"/>
        </w:rPr>
        <w:t>transponován v průběhu roku 2021 zákonem č. 355/2021 Sb. Tímto došlo k</w:t>
      </w:r>
      <w:r w:rsidR="0028297E">
        <w:rPr>
          <w:szCs w:val="24"/>
        </w:rPr>
        <w:t> </w:t>
      </w:r>
      <w:r w:rsidRPr="00964487">
        <w:rPr>
          <w:szCs w:val="24"/>
        </w:rPr>
        <w:t>významnému rozšíření zvláštního režimu jednoho správního místa, který usnadňuje plnění povinností v oblasti DPH (zejména podávání daňového přiznání a odvod DPH) prostřednictvím jednoho členského státu Evropské unie z plnění uskutečněných v ostatních členských státech EU bez nutnosti registrace k</w:t>
      </w:r>
      <w:r w:rsidRPr="00754CC9">
        <w:rPr>
          <w:szCs w:val="24"/>
        </w:rPr>
        <w:t> </w:t>
      </w:r>
      <w:r w:rsidRPr="00964487">
        <w:rPr>
          <w:szCs w:val="24"/>
        </w:rPr>
        <w:t>DPH v těchto ostatních členských státech EU. Nyní je možné přes režim mimo Unii odvést DPH z poskytnutí služby osobou neusazenou v</w:t>
      </w:r>
      <w:r w:rsidRPr="00754CC9">
        <w:rPr>
          <w:szCs w:val="24"/>
        </w:rPr>
        <w:t> Evropské u</w:t>
      </w:r>
      <w:r w:rsidRPr="00964487">
        <w:rPr>
          <w:szCs w:val="24"/>
        </w:rPr>
        <w:t>nii osobě nepovinné k dani s</w:t>
      </w:r>
      <w:r w:rsidR="00AF66AF">
        <w:rPr>
          <w:szCs w:val="24"/>
        </w:rPr>
        <w:t> </w:t>
      </w:r>
      <w:r w:rsidRPr="00964487">
        <w:rPr>
          <w:szCs w:val="24"/>
        </w:rPr>
        <w:t>místem usazení v EU (koncovému spotřebiteli), pokud je daná služba poskytnuta na území E</w:t>
      </w:r>
      <w:r w:rsidRPr="00754CC9">
        <w:rPr>
          <w:szCs w:val="24"/>
        </w:rPr>
        <w:t>vropské unie</w:t>
      </w:r>
      <w:r w:rsidRPr="00964487">
        <w:rPr>
          <w:szCs w:val="24"/>
        </w:rPr>
        <w:t>. V</w:t>
      </w:r>
      <w:r w:rsidRPr="00754CC9">
        <w:rPr>
          <w:szCs w:val="24"/>
        </w:rPr>
        <w:t> </w:t>
      </w:r>
      <w:r w:rsidRPr="00964487">
        <w:rPr>
          <w:szCs w:val="24"/>
        </w:rPr>
        <w:t>režimu Unie je možné odvést DPH z poskytnutí služby mezi osobou neusazenou v členském státě spotřeby a osobou nepovinnou k dani z prodeje zboží na dálku a z dodání zboží provozovatelem elektronického rozhraní (platformou), pokud se jedná o prodej zboží na dálku v</w:t>
      </w:r>
      <w:r w:rsidRPr="00863F90">
        <w:rPr>
          <w:szCs w:val="24"/>
        </w:rPr>
        <w:t> </w:t>
      </w:r>
      <w:r w:rsidRPr="00964487">
        <w:rPr>
          <w:szCs w:val="24"/>
        </w:rPr>
        <w:t>rámci Unie nebo o dodání zboží v rámci jednoho členského státu osobě nepovinné k dani. Kromě režimu mimo Unii a režimu Unie byl zvláštní režim jednoho správního místa rozšířen o dovozní režim, ve kterém je možné odvést DPH z prodeje dovezeného zboží na dálku, jehož hodnota nepřesahuje 150 EUR a není předmětem spotřební daně.</w:t>
      </w:r>
    </w:p>
    <w:p w14:paraId="04988729" w14:textId="38A6B999" w:rsidR="733F3335" w:rsidRPr="00964487" w:rsidRDefault="18C15EE6" w:rsidP="00964487">
      <w:pPr>
        <w:pStyle w:val="8"/>
        <w:spacing w:after="120"/>
        <w:rPr>
          <w:szCs w:val="24"/>
        </w:rPr>
      </w:pPr>
      <w:r w:rsidRPr="00964487">
        <w:rPr>
          <w:szCs w:val="24"/>
        </w:rPr>
        <w:t xml:space="preserve">Dne 25. března 2025 byla publikovaná směrnice Rady (EU) 2025/516 ze dne 11. března 2025, kterou se mění směrnice 2006/112/ES, pokud jde o pravidla DPH pro digitální věk (dále jen „směrnice </w:t>
      </w:r>
      <w:r w:rsidR="382BE7C6" w:rsidRPr="00964487">
        <w:rPr>
          <w:szCs w:val="24"/>
        </w:rPr>
        <w:t>DPH v digitálním věku</w:t>
      </w:r>
      <w:r w:rsidRPr="00964487">
        <w:rPr>
          <w:szCs w:val="24"/>
        </w:rPr>
        <w:t>“). Tato směrnice se věnuje úpravě řad</w:t>
      </w:r>
      <w:r w:rsidR="00F8062F">
        <w:rPr>
          <w:szCs w:val="24"/>
        </w:rPr>
        <w:t>y</w:t>
      </w:r>
      <w:r w:rsidRPr="00964487">
        <w:rPr>
          <w:szCs w:val="24"/>
        </w:rPr>
        <w:t xml:space="preserve"> témat, z</w:t>
      </w:r>
      <w:r w:rsidR="0028297E">
        <w:rPr>
          <w:szCs w:val="24"/>
        </w:rPr>
        <w:t> </w:t>
      </w:r>
      <w:r w:rsidRPr="00964487">
        <w:rPr>
          <w:szCs w:val="24"/>
        </w:rPr>
        <w:t xml:space="preserve">nichž některá jsou pouhé parciální </w:t>
      </w:r>
      <w:r w:rsidR="003040C4">
        <w:rPr>
          <w:szCs w:val="24"/>
        </w:rPr>
        <w:t>povahy</w:t>
      </w:r>
      <w:r w:rsidRPr="00964487">
        <w:rPr>
          <w:szCs w:val="24"/>
        </w:rPr>
        <w:t xml:space="preserve"> a vylepšení stávající úpravy a některá jsou komplexnější povahy, jenž zavádějí zcela </w:t>
      </w:r>
      <w:r w:rsidR="270D3230" w:rsidRPr="00964487">
        <w:rPr>
          <w:szCs w:val="24"/>
        </w:rPr>
        <w:t>nová pravidla</w:t>
      </w:r>
      <w:r w:rsidRPr="00964487">
        <w:rPr>
          <w:szCs w:val="24"/>
        </w:rPr>
        <w:t xml:space="preserve"> v oblasti ekonomiky platforem, př</w:t>
      </w:r>
      <w:r w:rsidR="55070812" w:rsidRPr="00964487">
        <w:rPr>
          <w:szCs w:val="24"/>
        </w:rPr>
        <w:t>emístění zboží a digitálního výkaznictví</w:t>
      </w:r>
      <w:r w:rsidRPr="00964487">
        <w:rPr>
          <w:szCs w:val="24"/>
        </w:rPr>
        <w:t xml:space="preserve">. </w:t>
      </w:r>
    </w:p>
    <w:p w14:paraId="76B5C47A" w14:textId="585A3FF9" w:rsidR="1C57BD38" w:rsidRPr="00964487" w:rsidRDefault="1C57BD38" w:rsidP="55F1879D">
      <w:pPr>
        <w:pStyle w:val="8"/>
        <w:rPr>
          <w:szCs w:val="24"/>
        </w:rPr>
      </w:pPr>
      <w:r w:rsidRPr="00964487">
        <w:rPr>
          <w:szCs w:val="24"/>
        </w:rPr>
        <w:t>T</w:t>
      </w:r>
      <w:r w:rsidR="733F3335" w:rsidRPr="00964487">
        <w:rPr>
          <w:szCs w:val="24"/>
        </w:rPr>
        <w:t>émata, kterým se tato směrnice věnuje, lze rozdělit na následující oblasti:</w:t>
      </w:r>
    </w:p>
    <w:p w14:paraId="105F2697" w14:textId="6AE992AE" w:rsidR="062502DA" w:rsidRPr="00964487" w:rsidRDefault="062502DA" w:rsidP="55F1879D">
      <w:pPr>
        <w:pStyle w:val="8"/>
        <w:numPr>
          <w:ilvl w:val="0"/>
          <w:numId w:val="1"/>
        </w:numPr>
        <w:rPr>
          <w:szCs w:val="24"/>
        </w:rPr>
      </w:pPr>
      <w:r w:rsidRPr="00964487">
        <w:rPr>
          <w:szCs w:val="24"/>
        </w:rPr>
        <w:t>Z</w:t>
      </w:r>
      <w:r w:rsidR="733F3335" w:rsidRPr="00964487">
        <w:rPr>
          <w:szCs w:val="24"/>
        </w:rPr>
        <w:t>vláštní</w:t>
      </w:r>
      <w:r w:rsidRPr="00964487">
        <w:rPr>
          <w:szCs w:val="24"/>
        </w:rPr>
        <w:t xml:space="preserve"> </w:t>
      </w:r>
      <w:r w:rsidR="733F3335" w:rsidRPr="00964487">
        <w:rPr>
          <w:szCs w:val="24"/>
        </w:rPr>
        <w:t xml:space="preserve">režim jednoho správního místa (OSS) </w:t>
      </w:r>
      <w:r w:rsidR="003040C4" w:rsidRPr="00964487">
        <w:rPr>
          <w:szCs w:val="24"/>
        </w:rPr>
        <w:t>–</w:t>
      </w:r>
      <w:r w:rsidR="733F3335" w:rsidRPr="00964487">
        <w:rPr>
          <w:szCs w:val="24"/>
        </w:rPr>
        <w:t xml:space="preserve"> rozšíření a vy</w:t>
      </w:r>
      <w:r w:rsidR="3D501665" w:rsidRPr="00964487">
        <w:rPr>
          <w:szCs w:val="24"/>
        </w:rPr>
        <w:t>jasnění</w:t>
      </w:r>
      <w:r w:rsidR="733F3335" w:rsidRPr="00964487">
        <w:rPr>
          <w:szCs w:val="24"/>
        </w:rPr>
        <w:t xml:space="preserve"> pravidel fungování,</w:t>
      </w:r>
    </w:p>
    <w:p w14:paraId="086998DD" w14:textId="0ED5EAF4" w:rsidR="7B123676" w:rsidRPr="00964487" w:rsidRDefault="7B123676" w:rsidP="55F1879D">
      <w:pPr>
        <w:pStyle w:val="8"/>
        <w:numPr>
          <w:ilvl w:val="0"/>
          <w:numId w:val="1"/>
        </w:numPr>
        <w:rPr>
          <w:szCs w:val="24"/>
        </w:rPr>
      </w:pPr>
      <w:r w:rsidRPr="00964487">
        <w:rPr>
          <w:szCs w:val="24"/>
        </w:rPr>
        <w:t>P</w:t>
      </w:r>
      <w:r w:rsidR="733F3335" w:rsidRPr="00964487">
        <w:rPr>
          <w:szCs w:val="24"/>
        </w:rPr>
        <w:t xml:space="preserve">řemístění </w:t>
      </w:r>
      <w:r w:rsidR="003040C4" w:rsidRPr="00964487">
        <w:rPr>
          <w:szCs w:val="24"/>
        </w:rPr>
        <w:t>zboží – zavedení</w:t>
      </w:r>
      <w:r w:rsidR="733F3335" w:rsidRPr="00964487">
        <w:rPr>
          <w:szCs w:val="24"/>
        </w:rPr>
        <w:t xml:space="preserve"> nového zvláštního režimu pro přemístění vlastního zboží a</w:t>
      </w:r>
      <w:r w:rsidR="00230900">
        <w:rPr>
          <w:szCs w:val="24"/>
        </w:rPr>
        <w:t> </w:t>
      </w:r>
      <w:r w:rsidR="733F3335" w:rsidRPr="00964487">
        <w:rPr>
          <w:szCs w:val="24"/>
        </w:rPr>
        <w:t>zrušení režimu skladu (</w:t>
      </w:r>
      <w:r w:rsidR="733F3335" w:rsidRPr="00B8591C">
        <w:rPr>
          <w:i/>
          <w:iCs/>
          <w:szCs w:val="24"/>
        </w:rPr>
        <w:t>call-</w:t>
      </w:r>
      <w:proofErr w:type="spellStart"/>
      <w:r w:rsidR="733F3335" w:rsidRPr="00B8591C">
        <w:rPr>
          <w:i/>
          <w:iCs/>
          <w:szCs w:val="24"/>
        </w:rPr>
        <w:t>off</w:t>
      </w:r>
      <w:proofErr w:type="spellEnd"/>
      <w:r w:rsidR="733F3335" w:rsidRPr="00B8591C">
        <w:rPr>
          <w:i/>
          <w:iCs/>
          <w:szCs w:val="24"/>
        </w:rPr>
        <w:t xml:space="preserve"> </w:t>
      </w:r>
      <w:proofErr w:type="spellStart"/>
      <w:r w:rsidR="733F3335" w:rsidRPr="00B8591C">
        <w:rPr>
          <w:i/>
          <w:iCs/>
          <w:szCs w:val="24"/>
        </w:rPr>
        <w:t>stock</w:t>
      </w:r>
      <w:proofErr w:type="spellEnd"/>
      <w:r w:rsidR="733F3335" w:rsidRPr="00964487">
        <w:rPr>
          <w:szCs w:val="24"/>
        </w:rPr>
        <w:t xml:space="preserve">), </w:t>
      </w:r>
    </w:p>
    <w:p w14:paraId="24F663BD" w14:textId="74A3B6EB" w:rsidR="52406229" w:rsidRPr="00964487" w:rsidRDefault="52406229" w:rsidP="55F1879D">
      <w:pPr>
        <w:pStyle w:val="8"/>
        <w:numPr>
          <w:ilvl w:val="0"/>
          <w:numId w:val="1"/>
        </w:numPr>
        <w:rPr>
          <w:szCs w:val="24"/>
        </w:rPr>
      </w:pPr>
      <w:r w:rsidRPr="00964487">
        <w:rPr>
          <w:szCs w:val="24"/>
        </w:rPr>
        <w:t xml:space="preserve">Ekonomika </w:t>
      </w:r>
      <w:r w:rsidR="00230900" w:rsidRPr="00964487">
        <w:rPr>
          <w:szCs w:val="24"/>
        </w:rPr>
        <w:t>platforem – poskytování</w:t>
      </w:r>
      <w:r w:rsidR="733F3335" w:rsidRPr="00964487">
        <w:rPr>
          <w:szCs w:val="24"/>
        </w:rPr>
        <w:t xml:space="preserve"> plnění, které usnadňuje platforma (provozovatel elektronického rozhraní) </w:t>
      </w:r>
      <w:r w:rsidR="00230900" w:rsidRPr="00964487">
        <w:rPr>
          <w:szCs w:val="24"/>
        </w:rPr>
        <w:t>–</w:t>
      </w:r>
      <w:r w:rsidR="0403CF84" w:rsidRPr="00964487">
        <w:rPr>
          <w:szCs w:val="24"/>
        </w:rPr>
        <w:t xml:space="preserve"> rozšíření konceptu domnělého dodavatele na oblast poskytování služeb, a to u</w:t>
      </w:r>
      <w:r w:rsidR="733F3335" w:rsidRPr="00964487">
        <w:rPr>
          <w:szCs w:val="24"/>
        </w:rPr>
        <w:t xml:space="preserve"> krátkodob</w:t>
      </w:r>
      <w:r w:rsidR="675A0EB8" w:rsidRPr="00964487">
        <w:rPr>
          <w:szCs w:val="24"/>
        </w:rPr>
        <w:t>ého</w:t>
      </w:r>
      <w:r w:rsidR="733F3335" w:rsidRPr="00964487">
        <w:rPr>
          <w:szCs w:val="24"/>
        </w:rPr>
        <w:t xml:space="preserve"> pronájm</w:t>
      </w:r>
      <w:r w:rsidR="0905DDEB" w:rsidRPr="00964487">
        <w:rPr>
          <w:szCs w:val="24"/>
        </w:rPr>
        <w:t>u</w:t>
      </w:r>
      <w:r w:rsidR="733F3335" w:rsidRPr="00964487">
        <w:rPr>
          <w:szCs w:val="24"/>
        </w:rPr>
        <w:t xml:space="preserve"> ubytování a silniční přepravy cestujících</w:t>
      </w:r>
      <w:r w:rsidR="00230900">
        <w:rPr>
          <w:szCs w:val="24"/>
        </w:rPr>
        <w:t>,</w:t>
      </w:r>
      <w:r w:rsidR="733F3335" w:rsidRPr="00964487">
        <w:rPr>
          <w:szCs w:val="24"/>
        </w:rPr>
        <w:t xml:space="preserve"> a </w:t>
      </w:r>
    </w:p>
    <w:p w14:paraId="07F222DB" w14:textId="01252B4D" w:rsidR="62F6BBC3" w:rsidRPr="00964487" w:rsidRDefault="62F6BBC3" w:rsidP="55F1879D">
      <w:pPr>
        <w:pStyle w:val="8"/>
        <w:numPr>
          <w:ilvl w:val="0"/>
          <w:numId w:val="1"/>
        </w:numPr>
        <w:rPr>
          <w:szCs w:val="24"/>
        </w:rPr>
      </w:pPr>
      <w:r w:rsidRPr="00964487">
        <w:rPr>
          <w:szCs w:val="24"/>
        </w:rPr>
        <w:lastRenderedPageBreak/>
        <w:t>Z</w:t>
      </w:r>
      <w:r w:rsidR="733F3335" w:rsidRPr="00964487">
        <w:rPr>
          <w:szCs w:val="24"/>
        </w:rPr>
        <w:t xml:space="preserve">avedení digitálního výkaznictví – </w:t>
      </w:r>
      <w:r w:rsidR="40C1A73A" w:rsidRPr="00964487">
        <w:rPr>
          <w:szCs w:val="24"/>
        </w:rPr>
        <w:t>povinnost zavedení digitálního výkaznictví v oblasti přeshraničních plnění založeného na</w:t>
      </w:r>
      <w:r w:rsidR="0028297E">
        <w:rPr>
          <w:szCs w:val="24"/>
        </w:rPr>
        <w:t> </w:t>
      </w:r>
      <w:r w:rsidR="40C1A73A" w:rsidRPr="00964487">
        <w:rPr>
          <w:szCs w:val="24"/>
        </w:rPr>
        <w:t>bázi digitální faktury.</w:t>
      </w:r>
    </w:p>
    <w:p w14:paraId="1B3C83A2" w14:textId="1963D6BF" w:rsidR="4F96061E" w:rsidRPr="00964487" w:rsidRDefault="4F96061E" w:rsidP="00964487">
      <w:pPr>
        <w:pStyle w:val="8"/>
        <w:spacing w:after="120"/>
        <w:rPr>
          <w:szCs w:val="24"/>
        </w:rPr>
      </w:pPr>
      <w:r w:rsidRPr="00964487">
        <w:rPr>
          <w:szCs w:val="24"/>
        </w:rPr>
        <w:t>Z</w:t>
      </w:r>
      <w:r w:rsidR="5CEE65A5" w:rsidRPr="00964487">
        <w:rPr>
          <w:szCs w:val="24"/>
        </w:rPr>
        <w:t xml:space="preserve">měnám v oblasti přemístění vlastního zboží, ekonomiky platforem a zavedení digitálního výkaznictví </w:t>
      </w:r>
      <w:r w:rsidRPr="00964487">
        <w:rPr>
          <w:szCs w:val="24"/>
        </w:rPr>
        <w:t xml:space="preserve">se bude věnovat příští novela zákona o </w:t>
      </w:r>
      <w:r w:rsidR="00D20C06">
        <w:rPr>
          <w:szCs w:val="24"/>
        </w:rPr>
        <w:t>dani z přidané hodnoty</w:t>
      </w:r>
      <w:r w:rsidRPr="00964487">
        <w:rPr>
          <w:szCs w:val="24"/>
        </w:rPr>
        <w:t>,</w:t>
      </w:r>
      <w:r w:rsidR="2C7A3E5B" w:rsidRPr="00964487">
        <w:rPr>
          <w:szCs w:val="24"/>
        </w:rPr>
        <w:t xml:space="preserve"> neboť </w:t>
      </w:r>
      <w:r w:rsidR="00D20C06">
        <w:rPr>
          <w:szCs w:val="24"/>
        </w:rPr>
        <w:t xml:space="preserve">stanovená aplikovatelnost dané úpravy </w:t>
      </w:r>
      <w:r w:rsidR="2C7A3E5B" w:rsidRPr="00964487">
        <w:rPr>
          <w:szCs w:val="24"/>
        </w:rPr>
        <w:t>v</w:t>
      </w:r>
      <w:r w:rsidR="03011C20" w:rsidRPr="00964487">
        <w:rPr>
          <w:szCs w:val="24"/>
        </w:rPr>
        <w:t xml:space="preserve"> těchto oblastech je</w:t>
      </w:r>
      <w:r w:rsidR="2C7A3E5B" w:rsidRPr="00964487">
        <w:rPr>
          <w:szCs w:val="24"/>
        </w:rPr>
        <w:t xml:space="preserve"> od 1. července 2028</w:t>
      </w:r>
      <w:r w:rsidR="064EE193" w:rsidRPr="00964487">
        <w:rPr>
          <w:szCs w:val="24"/>
        </w:rPr>
        <w:t>, resp.</w:t>
      </w:r>
      <w:r w:rsidR="2C7A3E5B" w:rsidRPr="00964487">
        <w:rPr>
          <w:szCs w:val="24"/>
        </w:rPr>
        <w:t xml:space="preserve"> v oblasti digitálního výkaznictví až od 1. července 2030. </w:t>
      </w:r>
    </w:p>
    <w:p w14:paraId="71CFCDE2" w14:textId="486A6385" w:rsidR="65A09E7A" w:rsidRPr="00500BA3" w:rsidRDefault="65A09E7A" w:rsidP="00500BA3">
      <w:pPr>
        <w:pStyle w:val="9"/>
        <w:keepNext/>
        <w:numPr>
          <w:ilvl w:val="0"/>
          <w:numId w:val="14"/>
        </w:numPr>
        <w:jc w:val="both"/>
        <w:outlineLvl w:val="2"/>
        <w:rPr>
          <w:bCs/>
          <w:i/>
          <w:iCs/>
          <w:sz w:val="24"/>
          <w:szCs w:val="22"/>
        </w:rPr>
      </w:pPr>
      <w:r w:rsidRPr="00500BA3">
        <w:rPr>
          <w:bCs/>
          <w:i/>
          <w:iCs/>
          <w:sz w:val="24"/>
          <w:szCs w:val="22"/>
        </w:rPr>
        <w:t>Dodání zboží, které usnadňuje provozovatel elektronického rozhraní</w:t>
      </w:r>
    </w:p>
    <w:p w14:paraId="49F09E73" w14:textId="02AFFDD9" w:rsidR="65A09E7A" w:rsidRPr="00FF0273" w:rsidRDefault="65A09E7A" w:rsidP="00964487">
      <w:pPr>
        <w:pStyle w:val="8"/>
        <w:spacing w:after="120"/>
        <w:rPr>
          <w:szCs w:val="24"/>
        </w:rPr>
      </w:pPr>
      <w:r w:rsidRPr="00FF0273">
        <w:rPr>
          <w:szCs w:val="24"/>
        </w:rPr>
        <w:t xml:space="preserve">Stávající znění </w:t>
      </w:r>
      <w:r w:rsidR="00FF0273">
        <w:rPr>
          <w:szCs w:val="24"/>
        </w:rPr>
        <w:t xml:space="preserve">zákona o dani z přidané hodnoty </w:t>
      </w:r>
      <w:r w:rsidRPr="00FF0273">
        <w:rPr>
          <w:szCs w:val="24"/>
        </w:rPr>
        <w:t>obsahuje také</w:t>
      </w:r>
      <w:r w:rsidR="4216172F" w:rsidRPr="00FF0273">
        <w:rPr>
          <w:szCs w:val="24"/>
        </w:rPr>
        <w:t xml:space="preserve"> koncept tzv. domnělého dodavatele (dodání zboží usnadněné provozovatelem elektronického rozhraní podle § 13a). V rámci tohoto konceptu došlo k převodu povinnosti odvést DPH </w:t>
      </w:r>
      <w:r w:rsidR="00F77972">
        <w:rPr>
          <w:szCs w:val="24"/>
        </w:rPr>
        <w:t xml:space="preserve">(včetně povinnosti přiznat) </w:t>
      </w:r>
      <w:r w:rsidR="4216172F" w:rsidRPr="00FF0273">
        <w:rPr>
          <w:szCs w:val="24"/>
        </w:rPr>
        <w:t xml:space="preserve">na provozovatele elektronického rozhraní namísto </w:t>
      </w:r>
      <w:r w:rsidR="019CDEE1" w:rsidRPr="00FF0273">
        <w:rPr>
          <w:szCs w:val="24"/>
        </w:rPr>
        <w:t>zahraniční osoby</w:t>
      </w:r>
      <w:r w:rsidR="4216172F" w:rsidRPr="00FF0273">
        <w:rPr>
          <w:szCs w:val="24"/>
        </w:rPr>
        <w:t xml:space="preserve"> (skutečný dodavatel zboží</w:t>
      </w:r>
      <w:r w:rsidR="0C584D98" w:rsidRPr="00FF0273">
        <w:rPr>
          <w:szCs w:val="24"/>
        </w:rPr>
        <w:t xml:space="preserve"> se sídlem nebo</w:t>
      </w:r>
      <w:r w:rsidR="0028297E">
        <w:rPr>
          <w:szCs w:val="24"/>
        </w:rPr>
        <w:t> </w:t>
      </w:r>
      <w:r w:rsidR="0C584D98" w:rsidRPr="00FF0273">
        <w:rPr>
          <w:szCs w:val="24"/>
        </w:rPr>
        <w:t>provozovnou mimo EU</w:t>
      </w:r>
      <w:r w:rsidR="4216172F" w:rsidRPr="00FF0273">
        <w:rPr>
          <w:szCs w:val="24"/>
        </w:rPr>
        <w:t xml:space="preserve">), pokud provozovatel usnadňuje dodání zboží mezi </w:t>
      </w:r>
      <w:r w:rsidR="2F3B6D79" w:rsidRPr="00FF0273">
        <w:rPr>
          <w:szCs w:val="24"/>
        </w:rPr>
        <w:t>zahraniční osobou a</w:t>
      </w:r>
      <w:r w:rsidR="005D61BF">
        <w:rPr>
          <w:szCs w:val="24"/>
        </w:rPr>
        <w:t> </w:t>
      </w:r>
      <w:r w:rsidR="2F3B6D79" w:rsidRPr="00FF0273">
        <w:rPr>
          <w:szCs w:val="24"/>
        </w:rPr>
        <w:t>osobou nepovinnou k dani (koncovým spotřebitelem)</w:t>
      </w:r>
      <w:r w:rsidR="00A200EF">
        <w:rPr>
          <w:szCs w:val="24"/>
        </w:rPr>
        <w:t>.</w:t>
      </w:r>
      <w:r w:rsidR="4216172F" w:rsidRPr="00FF0273">
        <w:rPr>
          <w:szCs w:val="24"/>
        </w:rPr>
        <w:t xml:space="preserve"> Koncept domnělého dodavatele je založen na tom, že jedno plnění </w:t>
      </w:r>
      <w:r w:rsidR="0030586C">
        <w:rPr>
          <w:szCs w:val="24"/>
        </w:rPr>
        <w:t>(</w:t>
      </w:r>
      <w:r w:rsidR="4216172F" w:rsidRPr="00FF0273">
        <w:rPr>
          <w:szCs w:val="24"/>
        </w:rPr>
        <w:t>dodání zboží</w:t>
      </w:r>
      <w:r w:rsidR="0030586C">
        <w:rPr>
          <w:szCs w:val="24"/>
        </w:rPr>
        <w:t>,</w:t>
      </w:r>
      <w:r w:rsidR="4216172F" w:rsidRPr="00FF0273">
        <w:rPr>
          <w:szCs w:val="24"/>
        </w:rPr>
        <w:t xml:space="preserve"> prodej zboží na dálku nebo</w:t>
      </w:r>
      <w:r w:rsidR="0028297E">
        <w:rPr>
          <w:szCs w:val="24"/>
        </w:rPr>
        <w:t> </w:t>
      </w:r>
      <w:r w:rsidR="4216172F" w:rsidRPr="00FF0273">
        <w:rPr>
          <w:szCs w:val="24"/>
        </w:rPr>
        <w:t>prodej dováženého zboží na dálku do 150 EUR mezi zahraničním dodavatelem a</w:t>
      </w:r>
      <w:r w:rsidR="00A200EF">
        <w:rPr>
          <w:szCs w:val="24"/>
        </w:rPr>
        <w:t> </w:t>
      </w:r>
      <w:r w:rsidR="4216172F" w:rsidRPr="00FF0273">
        <w:rPr>
          <w:szCs w:val="24"/>
        </w:rPr>
        <w:t>osobou nepovinnou k</w:t>
      </w:r>
      <w:r w:rsidR="0030586C">
        <w:rPr>
          <w:szCs w:val="24"/>
        </w:rPr>
        <w:t> </w:t>
      </w:r>
      <w:r w:rsidR="4216172F" w:rsidRPr="00FF0273">
        <w:rPr>
          <w:szCs w:val="24"/>
        </w:rPr>
        <w:t>dani</w:t>
      </w:r>
      <w:r w:rsidR="0030586C">
        <w:rPr>
          <w:szCs w:val="24"/>
        </w:rPr>
        <w:t>)</w:t>
      </w:r>
      <w:r w:rsidR="4216172F" w:rsidRPr="00FF0273">
        <w:rPr>
          <w:szCs w:val="24"/>
        </w:rPr>
        <w:t xml:space="preserve"> je rozděleno na dvě (fiktivní) plnění z důvodu </w:t>
      </w:r>
      <w:r w:rsidR="001E467D">
        <w:rPr>
          <w:szCs w:val="24"/>
        </w:rPr>
        <w:t xml:space="preserve">přenesení povinností vztahujících se k DPH na </w:t>
      </w:r>
      <w:r w:rsidR="4216172F" w:rsidRPr="00FF0273">
        <w:rPr>
          <w:szCs w:val="24"/>
        </w:rPr>
        <w:t xml:space="preserve">provozovatele elektronického rozhraní. </w:t>
      </w:r>
      <w:r w:rsidR="7007A6F2" w:rsidRPr="00FF0273">
        <w:rPr>
          <w:szCs w:val="24"/>
        </w:rPr>
        <w:t>K p</w:t>
      </w:r>
      <w:r w:rsidR="4216172F" w:rsidRPr="00FF0273">
        <w:rPr>
          <w:szCs w:val="24"/>
        </w:rPr>
        <w:t>rvní</w:t>
      </w:r>
      <w:r w:rsidR="3B47FEAB" w:rsidRPr="00FF0273">
        <w:rPr>
          <w:szCs w:val="24"/>
        </w:rPr>
        <w:t>mu</w:t>
      </w:r>
      <w:r w:rsidR="4216172F" w:rsidRPr="00FF0273">
        <w:rPr>
          <w:szCs w:val="24"/>
        </w:rPr>
        <w:t xml:space="preserve"> plnění</w:t>
      </w:r>
      <w:r w:rsidR="60FEB233" w:rsidRPr="00FF0273">
        <w:rPr>
          <w:szCs w:val="24"/>
        </w:rPr>
        <w:t xml:space="preserve"> dochází</w:t>
      </w:r>
      <w:r w:rsidR="4216172F" w:rsidRPr="00FF0273">
        <w:rPr>
          <w:szCs w:val="24"/>
        </w:rPr>
        <w:t xml:space="preserve"> mezi skutečným dodavatelem a</w:t>
      </w:r>
      <w:r w:rsidR="001E467D">
        <w:rPr>
          <w:szCs w:val="24"/>
        </w:rPr>
        <w:t> </w:t>
      </w:r>
      <w:r w:rsidR="4216172F" w:rsidRPr="00FF0273">
        <w:rPr>
          <w:szCs w:val="24"/>
        </w:rPr>
        <w:t xml:space="preserve">provozovatelem elektronického rozhraní (obvykle platformou), což se považuje za dodání zboží bez odeslání nebo přepravy. Toto první plnění není předmětem daně, neboť místo plnění je mimo </w:t>
      </w:r>
      <w:r w:rsidR="00080A35">
        <w:rPr>
          <w:szCs w:val="24"/>
        </w:rPr>
        <w:t xml:space="preserve">území </w:t>
      </w:r>
      <w:r w:rsidR="4216172F" w:rsidRPr="00FF0273">
        <w:rPr>
          <w:szCs w:val="24"/>
        </w:rPr>
        <w:t>E</w:t>
      </w:r>
      <w:r w:rsidR="7FA26961" w:rsidRPr="00FF0273">
        <w:rPr>
          <w:szCs w:val="24"/>
        </w:rPr>
        <w:t>vropské uni</w:t>
      </w:r>
      <w:r w:rsidR="00A44A7E">
        <w:rPr>
          <w:szCs w:val="24"/>
        </w:rPr>
        <w:t>e</w:t>
      </w:r>
      <w:r w:rsidR="7FA26961" w:rsidRPr="00FF0273">
        <w:rPr>
          <w:szCs w:val="24"/>
        </w:rPr>
        <w:t xml:space="preserve">, nebo </w:t>
      </w:r>
      <w:r w:rsidR="00254A3A">
        <w:rPr>
          <w:szCs w:val="24"/>
        </w:rPr>
        <w:t>je osvobozeno od</w:t>
      </w:r>
      <w:r w:rsidR="0028297E">
        <w:rPr>
          <w:szCs w:val="24"/>
        </w:rPr>
        <w:t> </w:t>
      </w:r>
      <w:r w:rsidR="00254A3A">
        <w:rPr>
          <w:szCs w:val="24"/>
        </w:rPr>
        <w:t xml:space="preserve">daně </w:t>
      </w:r>
      <w:r w:rsidR="7FA26961" w:rsidRPr="00FF0273">
        <w:rPr>
          <w:szCs w:val="24"/>
        </w:rPr>
        <w:t>v případě dodání zboží, u kterého je místo plnění v</w:t>
      </w:r>
      <w:r w:rsidR="00254A3A">
        <w:rPr>
          <w:szCs w:val="24"/>
        </w:rPr>
        <w:t> </w:t>
      </w:r>
      <w:r w:rsidR="7FA26961" w:rsidRPr="00FF0273">
        <w:rPr>
          <w:szCs w:val="24"/>
        </w:rPr>
        <w:t>Evropské unii</w:t>
      </w:r>
      <w:r w:rsidR="00254A3A">
        <w:rPr>
          <w:szCs w:val="24"/>
        </w:rPr>
        <w:t xml:space="preserve"> </w:t>
      </w:r>
      <w:r w:rsidR="7FA26961" w:rsidRPr="00FF0273">
        <w:rPr>
          <w:szCs w:val="24"/>
        </w:rPr>
        <w:t>(</w:t>
      </w:r>
      <w:r w:rsidR="1571B335" w:rsidRPr="00FF0273">
        <w:rPr>
          <w:szCs w:val="24"/>
        </w:rPr>
        <w:t xml:space="preserve">pro dodání zboží s místem plnění v České republice </w:t>
      </w:r>
      <w:r w:rsidR="002952D6">
        <w:rPr>
          <w:szCs w:val="24"/>
        </w:rPr>
        <w:t>se jedná o osvobození podle</w:t>
      </w:r>
      <w:r w:rsidR="1571B335" w:rsidRPr="00FF0273">
        <w:rPr>
          <w:szCs w:val="24"/>
        </w:rPr>
        <w:t xml:space="preserve"> </w:t>
      </w:r>
      <w:r w:rsidR="7FA26961" w:rsidRPr="00FF0273">
        <w:rPr>
          <w:szCs w:val="24"/>
        </w:rPr>
        <w:t xml:space="preserve">§ </w:t>
      </w:r>
      <w:r w:rsidR="6AB57C49" w:rsidRPr="00FF0273">
        <w:rPr>
          <w:szCs w:val="24"/>
        </w:rPr>
        <w:t>71h zákona o dani z</w:t>
      </w:r>
      <w:r w:rsidR="002952D6">
        <w:rPr>
          <w:szCs w:val="24"/>
        </w:rPr>
        <w:t> </w:t>
      </w:r>
      <w:r w:rsidR="6AB57C49" w:rsidRPr="00FF0273">
        <w:rPr>
          <w:szCs w:val="24"/>
        </w:rPr>
        <w:t>přidané hodnoty)</w:t>
      </w:r>
      <w:r w:rsidR="4216172F" w:rsidRPr="00FF0273">
        <w:rPr>
          <w:szCs w:val="24"/>
        </w:rPr>
        <w:t>. Druhé plnění je mezi provozovatelem elektronického rozhraní a osobou nepovin</w:t>
      </w:r>
      <w:r w:rsidR="00A44A7E">
        <w:rPr>
          <w:szCs w:val="24"/>
        </w:rPr>
        <w:t>n</w:t>
      </w:r>
      <w:r w:rsidR="4216172F" w:rsidRPr="00FF0273">
        <w:rPr>
          <w:szCs w:val="24"/>
        </w:rPr>
        <w:t>ou k dani (konečný</w:t>
      </w:r>
      <w:r w:rsidR="3316A335" w:rsidRPr="00FF0273">
        <w:rPr>
          <w:szCs w:val="24"/>
        </w:rPr>
        <w:t>m</w:t>
      </w:r>
      <w:r w:rsidR="4216172F" w:rsidRPr="00FF0273">
        <w:rPr>
          <w:szCs w:val="24"/>
        </w:rPr>
        <w:t xml:space="preserve"> spotřebitel</w:t>
      </w:r>
      <w:r w:rsidR="277E0D94" w:rsidRPr="00FF0273">
        <w:rPr>
          <w:szCs w:val="24"/>
        </w:rPr>
        <w:t>em</w:t>
      </w:r>
      <w:r w:rsidR="4216172F" w:rsidRPr="00FF0273">
        <w:rPr>
          <w:szCs w:val="24"/>
        </w:rPr>
        <w:t>), což se považuje za dodání zboží s</w:t>
      </w:r>
      <w:r w:rsidR="002952D6">
        <w:rPr>
          <w:szCs w:val="24"/>
        </w:rPr>
        <w:t> </w:t>
      </w:r>
      <w:r w:rsidR="4216172F" w:rsidRPr="00FF0273">
        <w:rPr>
          <w:szCs w:val="24"/>
        </w:rPr>
        <w:t>odesláním nebo přepravou. Druhé plnění podléhá DPH, a to v místě, kde končí odeslání nebo přeprava zboží. Z důvodu zavedení konceptu tzv. domnělého dodavatele, je rovněž umožněno provozovateli elektronického rozhraní odvádět DPH prostřednictvím zvláštního režimu jednoho správního místa, a to pro prodej zboží na dálku a dodání zboží se začátkem a koncem přepravy v</w:t>
      </w:r>
      <w:r w:rsidR="0040694C">
        <w:rPr>
          <w:szCs w:val="24"/>
        </w:rPr>
        <w:t> </w:t>
      </w:r>
      <w:r w:rsidR="4216172F" w:rsidRPr="00FF0273">
        <w:rPr>
          <w:szCs w:val="24"/>
        </w:rPr>
        <w:t>jednom členském státě.</w:t>
      </w:r>
      <w:r w:rsidR="0F0E6A9A" w:rsidRPr="00FF0273">
        <w:rPr>
          <w:szCs w:val="24"/>
        </w:rPr>
        <w:t xml:space="preserve"> </w:t>
      </w:r>
    </w:p>
    <w:p w14:paraId="099F125A" w14:textId="4A64B02A" w:rsidR="62E63D71" w:rsidRPr="00500BA3" w:rsidRDefault="62E63D71" w:rsidP="00500BA3">
      <w:pPr>
        <w:pStyle w:val="9"/>
        <w:keepNext/>
        <w:numPr>
          <w:ilvl w:val="0"/>
          <w:numId w:val="14"/>
        </w:numPr>
        <w:jc w:val="both"/>
        <w:outlineLvl w:val="2"/>
        <w:rPr>
          <w:bCs/>
          <w:i/>
          <w:iCs/>
          <w:sz w:val="24"/>
          <w:szCs w:val="22"/>
        </w:rPr>
      </w:pPr>
      <w:r w:rsidRPr="00500BA3">
        <w:rPr>
          <w:bCs/>
          <w:i/>
          <w:iCs/>
          <w:sz w:val="24"/>
          <w:szCs w:val="22"/>
        </w:rPr>
        <w:t>Místo plnění u prodeje zboží na dálku a u telekomunikačních služeb, služeb rozhlasového a</w:t>
      </w:r>
      <w:r w:rsidR="0080108D" w:rsidRPr="00500BA3">
        <w:rPr>
          <w:bCs/>
          <w:i/>
          <w:iCs/>
          <w:sz w:val="24"/>
          <w:szCs w:val="22"/>
        </w:rPr>
        <w:t> </w:t>
      </w:r>
      <w:r w:rsidRPr="00500BA3">
        <w:rPr>
          <w:bCs/>
          <w:i/>
          <w:iCs/>
          <w:sz w:val="24"/>
          <w:szCs w:val="22"/>
        </w:rPr>
        <w:t>televizního vysílání a elektronicky poskytované služby osobě nepovinné k dani</w:t>
      </w:r>
    </w:p>
    <w:p w14:paraId="520F6ECC" w14:textId="60EA8B0F" w:rsidR="27A3B844" w:rsidRPr="00964487" w:rsidRDefault="27A3B844" w:rsidP="00964487">
      <w:pPr>
        <w:pStyle w:val="8"/>
        <w:spacing w:after="120"/>
        <w:rPr>
          <w:szCs w:val="24"/>
        </w:rPr>
      </w:pPr>
      <w:r w:rsidRPr="00964487">
        <w:rPr>
          <w:szCs w:val="24"/>
        </w:rPr>
        <w:t>Místo plnění a datum uskutečnění zdanitelného plnění ne</w:t>
      </w:r>
      <w:r w:rsidR="006D7A64">
        <w:rPr>
          <w:szCs w:val="24"/>
        </w:rPr>
        <w:t>jsou</w:t>
      </w:r>
      <w:r w:rsidRPr="00964487">
        <w:rPr>
          <w:szCs w:val="24"/>
        </w:rPr>
        <w:t xml:space="preserve"> ve stávajícím znění speciálně upraven</w:t>
      </w:r>
      <w:r w:rsidR="006D7A64">
        <w:rPr>
          <w:szCs w:val="24"/>
        </w:rPr>
        <w:t>a</w:t>
      </w:r>
      <w:r w:rsidRPr="00964487">
        <w:rPr>
          <w:szCs w:val="24"/>
        </w:rPr>
        <w:t xml:space="preserve"> pro plnění, která jsou považován</w:t>
      </w:r>
      <w:r w:rsidR="00935457" w:rsidRPr="00964487">
        <w:rPr>
          <w:szCs w:val="24"/>
        </w:rPr>
        <w:t>a</w:t>
      </w:r>
      <w:r w:rsidRPr="00964487">
        <w:rPr>
          <w:szCs w:val="24"/>
        </w:rPr>
        <w:t xml:space="preserve"> za vybran</w:t>
      </w:r>
      <w:r w:rsidR="00874059" w:rsidRPr="00964487">
        <w:rPr>
          <w:szCs w:val="24"/>
        </w:rPr>
        <w:t>á</w:t>
      </w:r>
      <w:r w:rsidRPr="00964487">
        <w:rPr>
          <w:szCs w:val="24"/>
        </w:rPr>
        <w:t xml:space="preserve"> plnění</w:t>
      </w:r>
      <w:r w:rsidR="024E20E7" w:rsidRPr="00964487">
        <w:rPr>
          <w:szCs w:val="24"/>
        </w:rPr>
        <w:t xml:space="preserve"> ve </w:t>
      </w:r>
      <w:r w:rsidRPr="00964487">
        <w:rPr>
          <w:szCs w:val="24"/>
        </w:rPr>
        <w:t>zvláštní</w:t>
      </w:r>
      <w:r w:rsidR="05B8EAB4" w:rsidRPr="00964487">
        <w:rPr>
          <w:szCs w:val="24"/>
        </w:rPr>
        <w:t>m</w:t>
      </w:r>
      <w:r w:rsidRPr="00964487">
        <w:rPr>
          <w:szCs w:val="24"/>
        </w:rPr>
        <w:t xml:space="preserve"> režimu jednoho správního místa. </w:t>
      </w:r>
      <w:r w:rsidR="009B0CE3" w:rsidRPr="00964487">
        <w:rPr>
          <w:szCs w:val="24"/>
        </w:rPr>
        <w:t xml:space="preserve">Podle stávajícího znění se </w:t>
      </w:r>
      <w:r w:rsidR="49767DB4" w:rsidRPr="00964487">
        <w:rPr>
          <w:szCs w:val="24"/>
        </w:rPr>
        <w:t xml:space="preserve">místo plnění u prodeje zboží na dálku </w:t>
      </w:r>
      <w:r w:rsidR="009B0CE3" w:rsidRPr="00964487">
        <w:rPr>
          <w:szCs w:val="24"/>
        </w:rPr>
        <w:t xml:space="preserve">stanoví </w:t>
      </w:r>
      <w:r w:rsidR="49767DB4" w:rsidRPr="00964487">
        <w:rPr>
          <w:szCs w:val="24"/>
        </w:rPr>
        <w:t>podle §</w:t>
      </w:r>
      <w:r w:rsidR="003D3CBF">
        <w:rPr>
          <w:szCs w:val="24"/>
        </w:rPr>
        <w:t> </w:t>
      </w:r>
      <w:r w:rsidR="49767DB4" w:rsidRPr="00964487">
        <w:rPr>
          <w:szCs w:val="24"/>
        </w:rPr>
        <w:t>8</w:t>
      </w:r>
      <w:r w:rsidR="59CA39B1" w:rsidRPr="00964487">
        <w:rPr>
          <w:szCs w:val="24"/>
        </w:rPr>
        <w:t xml:space="preserve"> </w:t>
      </w:r>
      <w:r w:rsidR="00785193" w:rsidRPr="00964487">
        <w:rPr>
          <w:szCs w:val="24"/>
        </w:rPr>
        <w:t xml:space="preserve">zákona o dani z přidané hodnoty </w:t>
      </w:r>
      <w:r w:rsidR="59CA39B1" w:rsidRPr="00964487">
        <w:rPr>
          <w:szCs w:val="24"/>
        </w:rPr>
        <w:t>a</w:t>
      </w:r>
      <w:r w:rsidR="49767DB4" w:rsidRPr="00964487">
        <w:rPr>
          <w:szCs w:val="24"/>
        </w:rPr>
        <w:t xml:space="preserve"> u poskytnu</w:t>
      </w:r>
      <w:r w:rsidR="305F9A06" w:rsidRPr="00964487">
        <w:rPr>
          <w:szCs w:val="24"/>
        </w:rPr>
        <w:t>tí telekomunikačních služeb, služeb rozhlasového a</w:t>
      </w:r>
      <w:r w:rsidR="00785193">
        <w:rPr>
          <w:szCs w:val="24"/>
        </w:rPr>
        <w:t> </w:t>
      </w:r>
      <w:r w:rsidR="305F9A06" w:rsidRPr="00964487">
        <w:rPr>
          <w:szCs w:val="24"/>
        </w:rPr>
        <w:t>televizního vysílání a elektronicky poskytované služby osobě nepovinné k dani podle § 10i zákona o dani z přidané hodnoty.</w:t>
      </w:r>
      <w:r w:rsidR="3D4E7290" w:rsidRPr="00964487">
        <w:rPr>
          <w:szCs w:val="24"/>
        </w:rPr>
        <w:t xml:space="preserve"> </w:t>
      </w:r>
    </w:p>
    <w:p w14:paraId="10D4E3D4" w14:textId="4D4B2D1A" w:rsidR="007A0E9A" w:rsidRDefault="0E3B008B" w:rsidP="00EE2EAB">
      <w:pPr>
        <w:pStyle w:val="8"/>
        <w:spacing w:after="120"/>
        <w:rPr>
          <w:szCs w:val="24"/>
        </w:rPr>
      </w:pPr>
      <w:r w:rsidRPr="00964487">
        <w:t>Pokud celková hodnota těchto plnění</w:t>
      </w:r>
      <w:r w:rsidR="4C9AC81E" w:rsidRPr="00964487">
        <w:t xml:space="preserve"> (prodeje zboží na dálku a telekomunikačních služeb, služeb rozhlasového a televizního vysílání a</w:t>
      </w:r>
      <w:r w:rsidR="0028297E">
        <w:t> </w:t>
      </w:r>
      <w:r w:rsidR="4C9AC81E" w:rsidRPr="00964487">
        <w:t>elektronicky poskytované služby osobě nepovinné k dani)</w:t>
      </w:r>
      <w:r w:rsidRPr="00964487">
        <w:t xml:space="preserve"> nepřesáhne 10 000 EUR, </w:t>
      </w:r>
      <w:r w:rsidR="71D1BD5A" w:rsidRPr="00964487">
        <w:t>je</w:t>
      </w:r>
      <w:r w:rsidR="64C48B84" w:rsidRPr="00964487">
        <w:t xml:space="preserve"> místo plnění u p</w:t>
      </w:r>
      <w:r w:rsidR="64A1FEEF" w:rsidRPr="00964487">
        <w:t>rodej</w:t>
      </w:r>
      <w:r w:rsidR="2568C50C" w:rsidRPr="00964487">
        <w:t>e</w:t>
      </w:r>
      <w:r w:rsidR="64A1FEEF" w:rsidRPr="00964487">
        <w:t xml:space="preserve"> zboží na dálku</w:t>
      </w:r>
      <w:r w:rsidR="121CDD1F" w:rsidRPr="00964487">
        <w:t xml:space="preserve"> </w:t>
      </w:r>
      <w:r w:rsidR="79E6930A" w:rsidRPr="00964487">
        <w:t xml:space="preserve">v </w:t>
      </w:r>
      <w:r w:rsidRPr="00964487">
        <w:t>člensk</w:t>
      </w:r>
      <w:r w:rsidR="1B2BEB6B" w:rsidRPr="00964487">
        <w:t>ém</w:t>
      </w:r>
      <w:r w:rsidRPr="00964487">
        <w:t xml:space="preserve"> stát</w:t>
      </w:r>
      <w:r w:rsidR="1876933D" w:rsidRPr="00964487">
        <w:t>ě</w:t>
      </w:r>
      <w:r w:rsidRPr="00964487">
        <w:t>, ve kterém je zahájena přeprava zboží</w:t>
      </w:r>
      <w:r w:rsidR="3B467CDA" w:rsidRPr="00964487">
        <w:t xml:space="preserve"> (§ 8 odst. 2</w:t>
      </w:r>
      <w:r w:rsidR="002F14C7" w:rsidRPr="002F14C7">
        <w:rPr>
          <w:szCs w:val="24"/>
        </w:rPr>
        <w:t xml:space="preserve"> </w:t>
      </w:r>
      <w:r w:rsidR="002F14C7" w:rsidRPr="00964487">
        <w:rPr>
          <w:szCs w:val="24"/>
        </w:rPr>
        <w:t>zákona o dani z přidané hodnoty</w:t>
      </w:r>
      <w:r w:rsidR="3B467CDA" w:rsidRPr="00964487">
        <w:t>)</w:t>
      </w:r>
      <w:r w:rsidRPr="00964487">
        <w:t>.</w:t>
      </w:r>
      <w:r w:rsidR="56411DF7" w:rsidRPr="00964487">
        <w:t xml:space="preserve"> O</w:t>
      </w:r>
      <w:r w:rsidR="60443AF4" w:rsidRPr="00964487">
        <w:t>soba, která prodává zboží na dálku,</w:t>
      </w:r>
      <w:r w:rsidR="5B43E65A" w:rsidRPr="00964487">
        <w:t xml:space="preserve"> se</w:t>
      </w:r>
      <w:r w:rsidRPr="00964487">
        <w:t xml:space="preserve"> může rozhodnout, že místem plnění bude členský stát, ve kterém je přeprava ukončena (</w:t>
      </w:r>
      <w:r w:rsidR="3840A95B" w:rsidRPr="00964487">
        <w:t>§ 8 odst. 4</w:t>
      </w:r>
      <w:r w:rsidR="005A691B" w:rsidRPr="005A691B">
        <w:rPr>
          <w:szCs w:val="24"/>
        </w:rPr>
        <w:t xml:space="preserve"> </w:t>
      </w:r>
      <w:r w:rsidR="005A691B" w:rsidRPr="00964487">
        <w:rPr>
          <w:szCs w:val="24"/>
        </w:rPr>
        <w:t>zákona o dani z přidané hodnoty</w:t>
      </w:r>
      <w:r w:rsidRPr="00964487">
        <w:t>).</w:t>
      </w:r>
      <w:r w:rsidR="06D29C01" w:rsidRPr="00964487">
        <w:t xml:space="preserve"> </w:t>
      </w:r>
      <w:r w:rsidR="0A8DC598" w:rsidRPr="00964487">
        <w:t>Místo plnění u</w:t>
      </w:r>
      <w:r w:rsidR="000F1830">
        <w:rPr>
          <w:szCs w:val="24"/>
        </w:rPr>
        <w:t> </w:t>
      </w:r>
      <w:r w:rsidR="0A8DC598" w:rsidRPr="00964487">
        <w:t>telekomunikačních služeb, služeb rozhlasového a</w:t>
      </w:r>
      <w:r w:rsidR="0028297E">
        <w:t> </w:t>
      </w:r>
      <w:r w:rsidR="0A8DC598" w:rsidRPr="00964487">
        <w:t xml:space="preserve">televizního vysílání a elektronicky poskytované služby osobě nepovinné k dani je </w:t>
      </w:r>
      <w:r w:rsidR="786531D4" w:rsidRPr="00964487">
        <w:t>místo, kde má poskytovatel služby své sídlo (§ 10i odst. 3</w:t>
      </w:r>
      <w:r w:rsidR="005A691B" w:rsidRPr="005A691B">
        <w:rPr>
          <w:szCs w:val="24"/>
        </w:rPr>
        <w:t xml:space="preserve"> </w:t>
      </w:r>
      <w:r w:rsidR="005A691B" w:rsidRPr="00964487">
        <w:rPr>
          <w:szCs w:val="24"/>
        </w:rPr>
        <w:t>zákona o dani z přidané hodnoty</w:t>
      </w:r>
      <w:r w:rsidR="786531D4" w:rsidRPr="00964487">
        <w:t xml:space="preserve">). </w:t>
      </w:r>
      <w:r w:rsidR="61D8D6BF" w:rsidRPr="00964487">
        <w:lastRenderedPageBreak/>
        <w:t xml:space="preserve">Poskytovatel služby </w:t>
      </w:r>
      <w:r w:rsidRPr="00964487">
        <w:t>se však</w:t>
      </w:r>
      <w:r w:rsidR="51E6C959" w:rsidRPr="00964487">
        <w:t xml:space="preserve"> </w:t>
      </w:r>
      <w:r w:rsidRPr="00964487">
        <w:t>může rozhodnout, že místem plnění bude členský stát příjemce služby</w:t>
      </w:r>
      <w:r w:rsidR="78B00EE0" w:rsidRPr="00964487">
        <w:t xml:space="preserve"> (§ 10i odst. 5</w:t>
      </w:r>
      <w:r w:rsidR="005A691B" w:rsidRPr="005A691B">
        <w:rPr>
          <w:szCs w:val="24"/>
        </w:rPr>
        <w:t xml:space="preserve"> </w:t>
      </w:r>
      <w:r w:rsidR="005A691B" w:rsidRPr="00964487">
        <w:rPr>
          <w:szCs w:val="24"/>
        </w:rPr>
        <w:t>zákona o dani z přidané hodnoty</w:t>
      </w:r>
      <w:r w:rsidR="78B00EE0" w:rsidRPr="00964487">
        <w:t>)</w:t>
      </w:r>
      <w:r w:rsidRPr="00964487">
        <w:t>.</w:t>
      </w:r>
      <w:r w:rsidR="51FF1760" w:rsidRPr="00964487">
        <w:t xml:space="preserve"> </w:t>
      </w:r>
      <w:r w:rsidRPr="00964487">
        <w:rPr>
          <w:szCs w:val="24"/>
        </w:rPr>
        <w:t>Do limitu 10</w:t>
      </w:r>
      <w:r w:rsidR="0028297E">
        <w:rPr>
          <w:szCs w:val="24"/>
        </w:rPr>
        <w:t> </w:t>
      </w:r>
      <w:r w:rsidRPr="00964487">
        <w:rPr>
          <w:szCs w:val="24"/>
        </w:rPr>
        <w:t>000 EUR tedy platí možnost volby – osoba se může rozhodnout, zda bude uplatňovat DPH v</w:t>
      </w:r>
      <w:r w:rsidR="61A3E8F1" w:rsidRPr="00964487">
        <w:rPr>
          <w:szCs w:val="24"/>
        </w:rPr>
        <w:t xml:space="preserve"> </w:t>
      </w:r>
      <w:r w:rsidRPr="00964487">
        <w:rPr>
          <w:szCs w:val="24"/>
        </w:rPr>
        <w:t>členském státě</w:t>
      </w:r>
      <w:r w:rsidR="711F6B5E" w:rsidRPr="00964487">
        <w:rPr>
          <w:szCs w:val="24"/>
        </w:rPr>
        <w:t xml:space="preserve"> usazení</w:t>
      </w:r>
      <w:r w:rsidRPr="00964487">
        <w:rPr>
          <w:szCs w:val="24"/>
        </w:rPr>
        <w:t>, nebo ve státě zákazníka.</w:t>
      </w:r>
    </w:p>
    <w:p w14:paraId="11FF4AF2" w14:textId="2BEBE79A" w:rsidR="0E3B008B" w:rsidRPr="00964487" w:rsidRDefault="57C08449" w:rsidP="00964487">
      <w:pPr>
        <w:pStyle w:val="8"/>
        <w:spacing w:after="120"/>
        <w:rPr>
          <w:szCs w:val="24"/>
        </w:rPr>
      </w:pPr>
      <w:r w:rsidRPr="00964487">
        <w:rPr>
          <w:szCs w:val="24"/>
        </w:rPr>
        <w:t xml:space="preserve">Na oba druhy plnění, pokud jsou uskutečněny v rámci Evropské unie, </w:t>
      </w:r>
      <w:r w:rsidR="3E010005" w:rsidRPr="00964487">
        <w:rPr>
          <w:szCs w:val="24"/>
        </w:rPr>
        <w:t>lze použít zvláštní režim jednoho správního místa, který je primárně založen na zdanění v členském státě spotřeby</w:t>
      </w:r>
      <w:r w:rsidR="0028297E">
        <w:rPr>
          <w:szCs w:val="24"/>
        </w:rPr>
        <w:t>,</w:t>
      </w:r>
      <w:r w:rsidR="3E010005" w:rsidRPr="00964487">
        <w:rPr>
          <w:szCs w:val="24"/>
        </w:rPr>
        <w:t xml:space="preserve"> tj.</w:t>
      </w:r>
      <w:r w:rsidR="007A0E9A">
        <w:rPr>
          <w:szCs w:val="24"/>
        </w:rPr>
        <w:t> </w:t>
      </w:r>
      <w:r w:rsidR="006C1C03">
        <w:rPr>
          <w:szCs w:val="24"/>
        </w:rPr>
        <w:t>u</w:t>
      </w:r>
      <w:r w:rsidR="007A0E9A">
        <w:rPr>
          <w:szCs w:val="24"/>
        </w:rPr>
        <w:t> </w:t>
      </w:r>
      <w:r w:rsidR="020820CA" w:rsidRPr="00964487">
        <w:rPr>
          <w:szCs w:val="24"/>
        </w:rPr>
        <w:t xml:space="preserve">příjemce služby nebo v místě ukončení odeslání nebo přepravy. </w:t>
      </w:r>
    </w:p>
    <w:p w14:paraId="1B9C81EF" w14:textId="3CA88262" w:rsidR="728F2918" w:rsidRPr="00500BA3" w:rsidRDefault="728F2918" w:rsidP="00500BA3">
      <w:pPr>
        <w:pStyle w:val="9"/>
        <w:keepNext/>
        <w:numPr>
          <w:ilvl w:val="0"/>
          <w:numId w:val="14"/>
        </w:numPr>
        <w:jc w:val="both"/>
        <w:outlineLvl w:val="2"/>
        <w:rPr>
          <w:bCs/>
          <w:i/>
          <w:iCs/>
          <w:sz w:val="24"/>
          <w:szCs w:val="22"/>
        </w:rPr>
      </w:pPr>
      <w:r w:rsidRPr="00500BA3">
        <w:rPr>
          <w:bCs/>
          <w:i/>
          <w:iCs/>
          <w:sz w:val="24"/>
          <w:szCs w:val="22"/>
        </w:rPr>
        <w:t xml:space="preserve">Datum uskutečnění plnění u dodání zboží a u poskytnutí služby </w:t>
      </w:r>
    </w:p>
    <w:p w14:paraId="54FAEDB9" w14:textId="52DF6155" w:rsidR="728F2918" w:rsidRPr="00C129B1" w:rsidRDefault="728F2918" w:rsidP="00964487">
      <w:pPr>
        <w:pStyle w:val="8"/>
        <w:spacing w:after="120"/>
        <w:rPr>
          <w:szCs w:val="24"/>
        </w:rPr>
      </w:pPr>
      <w:r w:rsidRPr="00964487">
        <w:rPr>
          <w:szCs w:val="24"/>
        </w:rPr>
        <w:t>Datum uskutečnění plnění u dodání zboží a u poskytnutí služby je</w:t>
      </w:r>
      <w:r w:rsidR="7FEEB330" w:rsidRPr="00964487">
        <w:rPr>
          <w:szCs w:val="24"/>
        </w:rPr>
        <w:t xml:space="preserve"> obecně</w:t>
      </w:r>
      <w:r w:rsidRPr="00964487">
        <w:rPr>
          <w:szCs w:val="24"/>
        </w:rPr>
        <w:t xml:space="preserve"> upraven</w:t>
      </w:r>
      <w:r w:rsidR="006D55F7">
        <w:rPr>
          <w:szCs w:val="24"/>
        </w:rPr>
        <w:t>o</w:t>
      </w:r>
      <w:r w:rsidRPr="00964487">
        <w:rPr>
          <w:szCs w:val="24"/>
        </w:rPr>
        <w:t xml:space="preserve"> v § </w:t>
      </w:r>
      <w:r w:rsidR="37E01711" w:rsidRPr="00964487">
        <w:rPr>
          <w:szCs w:val="24"/>
        </w:rPr>
        <w:t xml:space="preserve">21 </w:t>
      </w:r>
      <w:r w:rsidR="37E01711" w:rsidRPr="00C129B1">
        <w:rPr>
          <w:szCs w:val="24"/>
        </w:rPr>
        <w:t>odst. 1 a</w:t>
      </w:r>
      <w:r w:rsidR="001713B9">
        <w:rPr>
          <w:szCs w:val="24"/>
        </w:rPr>
        <w:t> </w:t>
      </w:r>
      <w:r w:rsidR="37E01711" w:rsidRPr="00C129B1">
        <w:rPr>
          <w:szCs w:val="24"/>
        </w:rPr>
        <w:t>§ 21 odst. 3 zákona o dani z přidané hodnoty. U dodání zboží je dat</w:t>
      </w:r>
      <w:r w:rsidR="1DAB238F" w:rsidRPr="00C129B1">
        <w:rPr>
          <w:szCs w:val="24"/>
        </w:rPr>
        <w:t xml:space="preserve">em uskutečnění den dodání zboží (§ 21 odst. 1) a u poskytnutí služby </w:t>
      </w:r>
      <w:r w:rsidR="005847F1" w:rsidRPr="00C129B1">
        <w:rPr>
          <w:szCs w:val="24"/>
        </w:rPr>
        <w:t xml:space="preserve">se </w:t>
      </w:r>
      <w:r w:rsidR="1DAB238F" w:rsidRPr="00C129B1">
        <w:rPr>
          <w:szCs w:val="24"/>
        </w:rPr>
        <w:t>jed</w:t>
      </w:r>
      <w:r w:rsidR="005847F1" w:rsidRPr="00C129B1">
        <w:rPr>
          <w:szCs w:val="24"/>
        </w:rPr>
        <w:t>ná</w:t>
      </w:r>
      <w:r w:rsidR="1DAB238F" w:rsidRPr="00C129B1">
        <w:rPr>
          <w:szCs w:val="24"/>
        </w:rPr>
        <w:t xml:space="preserve"> </w:t>
      </w:r>
      <w:r w:rsidR="007D2333" w:rsidRPr="00C129B1">
        <w:rPr>
          <w:szCs w:val="24"/>
        </w:rPr>
        <w:t xml:space="preserve">o </w:t>
      </w:r>
      <w:r w:rsidR="1DAB238F" w:rsidRPr="00C129B1">
        <w:rPr>
          <w:szCs w:val="24"/>
        </w:rPr>
        <w:t xml:space="preserve">den poskytnutí služby nebo </w:t>
      </w:r>
      <w:r w:rsidR="007D2333" w:rsidRPr="00C129B1">
        <w:rPr>
          <w:szCs w:val="24"/>
        </w:rPr>
        <w:t xml:space="preserve">o </w:t>
      </w:r>
      <w:r w:rsidR="1DAB238F" w:rsidRPr="00C129B1">
        <w:rPr>
          <w:szCs w:val="24"/>
        </w:rPr>
        <w:t>den vystavení daňového doklad</w:t>
      </w:r>
      <w:r w:rsidR="5335FC42" w:rsidRPr="00C129B1">
        <w:rPr>
          <w:szCs w:val="24"/>
        </w:rPr>
        <w:t>u</w:t>
      </w:r>
      <w:r w:rsidR="35130A7B" w:rsidRPr="00C129B1">
        <w:rPr>
          <w:szCs w:val="24"/>
        </w:rPr>
        <w:t>, a to tím dnem, který nastane dříve</w:t>
      </w:r>
      <w:r w:rsidR="50BA81E2" w:rsidRPr="00C129B1">
        <w:rPr>
          <w:szCs w:val="24"/>
        </w:rPr>
        <w:t xml:space="preserve"> (§ 21 odst. 3). </w:t>
      </w:r>
      <w:r w:rsidR="23FCDA29" w:rsidRPr="00C129B1">
        <w:rPr>
          <w:szCs w:val="24"/>
        </w:rPr>
        <w:t>Pravidlo považující datum uskutečnění u</w:t>
      </w:r>
      <w:r w:rsidR="00A24A62">
        <w:rPr>
          <w:szCs w:val="24"/>
        </w:rPr>
        <w:t> </w:t>
      </w:r>
      <w:r w:rsidR="23FCDA29" w:rsidRPr="00C129B1">
        <w:rPr>
          <w:szCs w:val="24"/>
        </w:rPr>
        <w:t xml:space="preserve">poskytnutí služby za den vystavení dokladu je však speciálním pravidlem, které si členské státy mohou zvolit (čl. </w:t>
      </w:r>
      <w:r w:rsidR="0287B5DC" w:rsidRPr="00C129B1">
        <w:rPr>
          <w:szCs w:val="24"/>
        </w:rPr>
        <w:t xml:space="preserve">66 směrnice o </w:t>
      </w:r>
      <w:r w:rsidR="001713B9">
        <w:rPr>
          <w:szCs w:val="24"/>
        </w:rPr>
        <w:t>dani z přidané hodnoty</w:t>
      </w:r>
      <w:r w:rsidR="0287B5DC" w:rsidRPr="00C129B1">
        <w:rPr>
          <w:szCs w:val="24"/>
        </w:rPr>
        <w:t>) a není tak zcela jednotné zejména pro přeshraniční poskytování služeb.</w:t>
      </w:r>
      <w:r w:rsidR="09A047B5" w:rsidRPr="00C129B1">
        <w:rPr>
          <w:szCs w:val="24"/>
        </w:rPr>
        <w:t xml:space="preserve"> </w:t>
      </w:r>
      <w:r w:rsidR="417AEAAC" w:rsidRPr="00C129B1">
        <w:rPr>
          <w:szCs w:val="24"/>
        </w:rPr>
        <w:t>Tyto základní pravidla se rovněž vztahují i</w:t>
      </w:r>
      <w:r w:rsidR="00A24A62">
        <w:rPr>
          <w:szCs w:val="24"/>
        </w:rPr>
        <w:t> </w:t>
      </w:r>
      <w:r w:rsidR="417AEAAC" w:rsidRPr="00C129B1">
        <w:rPr>
          <w:szCs w:val="24"/>
        </w:rPr>
        <w:t xml:space="preserve">na prodej zboží na dálku a poskytnutí služeb, u kterých je možné odvádět DPH přes zvláštní režim jednoho správního místa, pokud jsou </w:t>
      </w:r>
      <w:r w:rsidR="00026296" w:rsidRPr="00C129B1">
        <w:rPr>
          <w:szCs w:val="24"/>
        </w:rPr>
        <w:t>uskutečňován</w:t>
      </w:r>
      <w:r w:rsidR="00026296">
        <w:rPr>
          <w:szCs w:val="24"/>
        </w:rPr>
        <w:t>y</w:t>
      </w:r>
      <w:r w:rsidR="00026296" w:rsidRPr="00C129B1">
        <w:rPr>
          <w:szCs w:val="24"/>
        </w:rPr>
        <w:t xml:space="preserve"> </w:t>
      </w:r>
      <w:r w:rsidR="417AEAAC" w:rsidRPr="00C129B1">
        <w:rPr>
          <w:szCs w:val="24"/>
        </w:rPr>
        <w:t>přeshran</w:t>
      </w:r>
      <w:r w:rsidR="757A9BA7" w:rsidRPr="00C129B1">
        <w:rPr>
          <w:szCs w:val="24"/>
        </w:rPr>
        <w:t xml:space="preserve">ičně. </w:t>
      </w:r>
    </w:p>
    <w:p w14:paraId="57FEB34C" w14:textId="2A5E7F49" w:rsidR="0373185A" w:rsidRPr="00500BA3" w:rsidRDefault="0373185A" w:rsidP="00500BA3">
      <w:pPr>
        <w:pStyle w:val="9"/>
        <w:keepNext/>
        <w:numPr>
          <w:ilvl w:val="0"/>
          <w:numId w:val="14"/>
        </w:numPr>
        <w:jc w:val="both"/>
        <w:outlineLvl w:val="2"/>
        <w:rPr>
          <w:bCs/>
          <w:i/>
          <w:iCs/>
          <w:sz w:val="24"/>
          <w:szCs w:val="22"/>
        </w:rPr>
      </w:pPr>
      <w:r w:rsidRPr="00500BA3">
        <w:rPr>
          <w:bCs/>
          <w:i/>
          <w:iCs/>
          <w:sz w:val="24"/>
          <w:szCs w:val="22"/>
        </w:rPr>
        <w:t>Režim skladu – call</w:t>
      </w:r>
      <w:r w:rsidR="00B8591C" w:rsidRPr="00500BA3">
        <w:rPr>
          <w:bCs/>
          <w:i/>
          <w:iCs/>
          <w:sz w:val="24"/>
          <w:szCs w:val="22"/>
        </w:rPr>
        <w:t>-</w:t>
      </w:r>
      <w:proofErr w:type="spellStart"/>
      <w:r w:rsidRPr="00500BA3">
        <w:rPr>
          <w:bCs/>
          <w:i/>
          <w:iCs/>
          <w:sz w:val="24"/>
          <w:szCs w:val="22"/>
        </w:rPr>
        <w:t>off</w:t>
      </w:r>
      <w:proofErr w:type="spellEnd"/>
      <w:r w:rsidRPr="00500BA3">
        <w:rPr>
          <w:bCs/>
          <w:i/>
          <w:iCs/>
          <w:sz w:val="24"/>
          <w:szCs w:val="22"/>
        </w:rPr>
        <w:t xml:space="preserve"> </w:t>
      </w:r>
      <w:proofErr w:type="spellStart"/>
      <w:r w:rsidRPr="00500BA3">
        <w:rPr>
          <w:bCs/>
          <w:i/>
          <w:iCs/>
          <w:sz w:val="24"/>
          <w:szCs w:val="22"/>
        </w:rPr>
        <w:t>stock</w:t>
      </w:r>
      <w:proofErr w:type="spellEnd"/>
    </w:p>
    <w:p w14:paraId="72AB0CCB" w14:textId="71DDEDA9" w:rsidR="4216172F" w:rsidRPr="00C129B1" w:rsidRDefault="4216172F" w:rsidP="00C129B1">
      <w:pPr>
        <w:pStyle w:val="8"/>
        <w:spacing w:after="120"/>
        <w:rPr>
          <w:szCs w:val="24"/>
        </w:rPr>
      </w:pPr>
      <w:r w:rsidRPr="00C129B1">
        <w:rPr>
          <w:szCs w:val="24"/>
        </w:rPr>
        <w:t>S</w:t>
      </w:r>
      <w:r w:rsidR="0959ADFA" w:rsidRPr="00C129B1">
        <w:rPr>
          <w:szCs w:val="24"/>
        </w:rPr>
        <w:t xml:space="preserve">távající znění zákona o dani z přidané hodnoty obsahuje </w:t>
      </w:r>
      <w:r w:rsidRPr="00C129B1">
        <w:rPr>
          <w:szCs w:val="24"/>
        </w:rPr>
        <w:t>režim skladu upravený v § 18</w:t>
      </w:r>
      <w:r w:rsidR="065E9645" w:rsidRPr="00C129B1">
        <w:rPr>
          <w:szCs w:val="24"/>
        </w:rPr>
        <w:t>,</w:t>
      </w:r>
      <w:r w:rsidRPr="00C129B1">
        <w:rPr>
          <w:szCs w:val="24"/>
        </w:rPr>
        <w:t xml:space="preserve"> který byl zaveden s účinností od 1. září 2020, jakožto rychlé a dočasné řešení do doby, než se nalezne finální řešení pro přemístění vlastního zboží v rámci EU. Režim skladu umožňuje odložení daňových povinností u přemístění zboží (zejména zdanění při pořízení zboží z jiného členského státu a s tím související registraci k DPH) ve lhůtě maximálně 12 měsíců od ukončení přepravy nebo odeslání zboží. Režim skladu je možné použít pouze za </w:t>
      </w:r>
      <w:r w:rsidR="007B15AA">
        <w:rPr>
          <w:szCs w:val="24"/>
        </w:rPr>
        <w:t>stanovených</w:t>
      </w:r>
      <w:r w:rsidR="007B15AA" w:rsidRPr="00C129B1">
        <w:rPr>
          <w:szCs w:val="24"/>
        </w:rPr>
        <w:t xml:space="preserve"> </w:t>
      </w:r>
      <w:r w:rsidRPr="00C129B1">
        <w:rPr>
          <w:szCs w:val="24"/>
        </w:rPr>
        <w:t>podmínek, a to v okamžiku odeslání nebo přepravy musí být známo DIČ koncového pořizovatele v jiném členském státě, musí existovat smluvní ujednání o budoucím záměru dodání mezi prodávajícím a kupujícím, přemístění zboží v</w:t>
      </w:r>
      <w:r w:rsidR="007B15AA">
        <w:rPr>
          <w:szCs w:val="24"/>
        </w:rPr>
        <w:t> </w:t>
      </w:r>
      <w:r w:rsidRPr="00C129B1">
        <w:rPr>
          <w:szCs w:val="24"/>
        </w:rPr>
        <w:t>režimu skladu musí být vykázáno v souhrnném hlášení včetně jeho zpětného vrácení nebo při změně kupujícího. Přemístění zboží se nepovažuje za dodání zboží do jiného členského státu, a</w:t>
      </w:r>
      <w:r w:rsidR="004358EA">
        <w:rPr>
          <w:szCs w:val="24"/>
        </w:rPr>
        <w:t> </w:t>
      </w:r>
      <w:r w:rsidRPr="00C129B1">
        <w:rPr>
          <w:szCs w:val="24"/>
        </w:rPr>
        <w:t>naopak ani za pořízení zboží z jiného členského státu v této lhůtě. Jakmile dojde v této lhůtě k</w:t>
      </w:r>
      <w:r w:rsidR="004358EA">
        <w:rPr>
          <w:szCs w:val="24"/>
        </w:rPr>
        <w:t> </w:t>
      </w:r>
      <w:r w:rsidRPr="00C129B1">
        <w:rPr>
          <w:szCs w:val="24"/>
        </w:rPr>
        <w:t>dodání finálnímu zákazníkovi, přemístění zboží se považuje za dodání zboží do jiného členského státu, které je osvobozeno, nebo naopak za pořízení zboží z jiného členského státu, které je zdanitelné.</w:t>
      </w:r>
    </w:p>
    <w:p w14:paraId="10BBE6F9" w14:textId="69F35A9D" w:rsidR="6C3E98F3" w:rsidRPr="00C129B1" w:rsidRDefault="6C3E98F3" w:rsidP="00C129B1">
      <w:pPr>
        <w:pStyle w:val="8"/>
        <w:spacing w:after="120"/>
        <w:rPr>
          <w:szCs w:val="24"/>
        </w:rPr>
      </w:pPr>
      <w:r w:rsidRPr="00C129B1">
        <w:rPr>
          <w:szCs w:val="24"/>
        </w:rPr>
        <w:t>Režim skladu byl zaveden jakožto dočasné opatření k umožnění pohybu zboží po Evropské unii</w:t>
      </w:r>
      <w:r w:rsidR="2EA82D62" w:rsidRPr="00C129B1">
        <w:rPr>
          <w:szCs w:val="24"/>
        </w:rPr>
        <w:t xml:space="preserve">, přičemž kupujícímu nebylo převedeno právo nakládat se zbožím jako vlastník ihned po ukončení přepravy zboží. Dané opatření ve lhůtě 12 </w:t>
      </w:r>
      <w:r w:rsidR="00B84FCD">
        <w:rPr>
          <w:szCs w:val="24"/>
        </w:rPr>
        <w:t xml:space="preserve">kalendářních </w:t>
      </w:r>
      <w:r w:rsidR="2EA82D62" w:rsidRPr="00C129B1">
        <w:rPr>
          <w:szCs w:val="24"/>
        </w:rPr>
        <w:t>měsí</w:t>
      </w:r>
      <w:r w:rsidR="6D70FD12" w:rsidRPr="00C129B1">
        <w:rPr>
          <w:szCs w:val="24"/>
        </w:rPr>
        <w:t>ců odkládalo daňové účinky dodání zboží a pořízení zboží v rámci Evropské unie, a to zejména povinnost registrace prodávajícího zboží v členském státě, do kterého zboží přemístil.</w:t>
      </w:r>
      <w:r w:rsidR="73235BF1" w:rsidRPr="00C129B1">
        <w:rPr>
          <w:szCs w:val="24"/>
        </w:rPr>
        <w:t xml:space="preserve"> </w:t>
      </w:r>
    </w:p>
    <w:p w14:paraId="59FD6F03" w14:textId="0B1D390D" w:rsidR="73235BF1" w:rsidRPr="00500BA3" w:rsidRDefault="34D09DA7" w:rsidP="00500BA3">
      <w:pPr>
        <w:pStyle w:val="9"/>
        <w:keepNext/>
        <w:numPr>
          <w:ilvl w:val="0"/>
          <w:numId w:val="14"/>
        </w:numPr>
        <w:jc w:val="both"/>
        <w:outlineLvl w:val="2"/>
        <w:rPr>
          <w:bCs/>
          <w:i/>
          <w:iCs/>
          <w:sz w:val="24"/>
          <w:szCs w:val="22"/>
        </w:rPr>
      </w:pPr>
      <w:r w:rsidRPr="00500BA3">
        <w:rPr>
          <w:bCs/>
          <w:i/>
          <w:iCs/>
          <w:sz w:val="24"/>
          <w:szCs w:val="22"/>
        </w:rPr>
        <w:t>D</w:t>
      </w:r>
      <w:r w:rsidR="3BF64B4F" w:rsidRPr="00500BA3">
        <w:rPr>
          <w:bCs/>
          <w:i/>
          <w:iCs/>
          <w:sz w:val="24"/>
          <w:szCs w:val="22"/>
        </w:rPr>
        <w:t>odání plynu, elektřiny, tepla a chladu</w:t>
      </w:r>
    </w:p>
    <w:p w14:paraId="016C6C14" w14:textId="15BD1E5E" w:rsidR="73235BF1" w:rsidRPr="00C129B1" w:rsidRDefault="201A6730" w:rsidP="00C129B1">
      <w:pPr>
        <w:pStyle w:val="8"/>
        <w:spacing w:after="120"/>
        <w:rPr>
          <w:szCs w:val="24"/>
        </w:rPr>
      </w:pPr>
      <w:r w:rsidRPr="00C129B1">
        <w:rPr>
          <w:szCs w:val="24"/>
        </w:rPr>
        <w:t>U dodání zboží prostřednictvím soustav a sítí (</w:t>
      </w:r>
      <w:r w:rsidR="1430D961" w:rsidRPr="00C129B1">
        <w:rPr>
          <w:szCs w:val="24"/>
        </w:rPr>
        <w:t>konkrétně</w:t>
      </w:r>
      <w:r w:rsidRPr="00C129B1">
        <w:rPr>
          <w:szCs w:val="24"/>
        </w:rPr>
        <w:t xml:space="preserve"> plynu, elektřiny, tepla a chladu</w:t>
      </w:r>
      <w:r w:rsidR="44AD9A79" w:rsidRPr="00C129B1">
        <w:rPr>
          <w:szCs w:val="24"/>
        </w:rPr>
        <w:t>)</w:t>
      </w:r>
      <w:r w:rsidRPr="00C129B1">
        <w:rPr>
          <w:szCs w:val="24"/>
        </w:rPr>
        <w:t xml:space="preserve"> se uplatňuje základní princip</w:t>
      </w:r>
      <w:r w:rsidR="4A3E0B4F" w:rsidRPr="00C129B1">
        <w:rPr>
          <w:szCs w:val="24"/>
        </w:rPr>
        <w:t xml:space="preserve"> zdanění</w:t>
      </w:r>
      <w:r w:rsidRPr="00C129B1">
        <w:rPr>
          <w:szCs w:val="24"/>
        </w:rPr>
        <w:t>, a</w:t>
      </w:r>
      <w:r w:rsidR="00A24A62">
        <w:rPr>
          <w:szCs w:val="24"/>
        </w:rPr>
        <w:t> </w:t>
      </w:r>
      <w:r w:rsidRPr="00C129B1">
        <w:rPr>
          <w:szCs w:val="24"/>
        </w:rPr>
        <w:t>to</w:t>
      </w:r>
      <w:r w:rsidR="00A24A62">
        <w:rPr>
          <w:szCs w:val="24"/>
        </w:rPr>
        <w:t> </w:t>
      </w:r>
      <w:r w:rsidRPr="00C129B1">
        <w:rPr>
          <w:szCs w:val="24"/>
        </w:rPr>
        <w:t>zdanění v místě spotřeby</w:t>
      </w:r>
      <w:r w:rsidR="12E7D878" w:rsidRPr="00C129B1">
        <w:rPr>
          <w:szCs w:val="24"/>
        </w:rPr>
        <w:t>, pokud je zboží dodáno koncovému spotřebiteli. Tento princip je upraven pravidlem pro stanovení místa plnění.</w:t>
      </w:r>
      <w:r w:rsidRPr="00C129B1">
        <w:rPr>
          <w:szCs w:val="24"/>
        </w:rPr>
        <w:t xml:space="preserve"> </w:t>
      </w:r>
      <w:r w:rsidR="3BF64B4F" w:rsidRPr="00C129B1">
        <w:rPr>
          <w:szCs w:val="24"/>
        </w:rPr>
        <w:t>Místo plnění u dodání zboží soustavami nebo sítěmi jiné osobě než obchodníkovi</w:t>
      </w:r>
      <w:r w:rsidR="008424BC">
        <w:rPr>
          <w:szCs w:val="24"/>
        </w:rPr>
        <w:t xml:space="preserve"> </w:t>
      </w:r>
      <w:r w:rsidR="008424BC" w:rsidRPr="005C62C4">
        <w:rPr>
          <w:szCs w:val="24"/>
        </w:rPr>
        <w:t xml:space="preserve">(zejména koncovému </w:t>
      </w:r>
      <w:r w:rsidR="008424BC" w:rsidRPr="005C62C4">
        <w:rPr>
          <w:szCs w:val="24"/>
        </w:rPr>
        <w:lastRenderedPageBreak/>
        <w:t>odběrateli)</w:t>
      </w:r>
      <w:r w:rsidR="3BF64B4F" w:rsidRPr="00C129B1">
        <w:rPr>
          <w:szCs w:val="24"/>
        </w:rPr>
        <w:t xml:space="preserve"> </w:t>
      </w:r>
      <w:r w:rsidR="690DBE22" w:rsidRPr="00C129B1">
        <w:rPr>
          <w:szCs w:val="24"/>
        </w:rPr>
        <w:t>je místo, kde</w:t>
      </w:r>
      <w:r w:rsidR="00A24A62">
        <w:rPr>
          <w:szCs w:val="24"/>
        </w:rPr>
        <w:t> </w:t>
      </w:r>
      <w:r w:rsidR="690DBE22" w:rsidRPr="00C129B1">
        <w:rPr>
          <w:szCs w:val="24"/>
        </w:rPr>
        <w:t xml:space="preserve">odběratel toto zboží spotřebuje (§ 7a odst. 3 zákona o dani z přidané hodnoty). </w:t>
      </w:r>
    </w:p>
    <w:p w14:paraId="631F983F" w14:textId="08BD6F4E" w:rsidR="006358C8" w:rsidRPr="00500BA3" w:rsidRDefault="006358C8" w:rsidP="00500BA3">
      <w:pPr>
        <w:pStyle w:val="9"/>
        <w:keepNext/>
        <w:numPr>
          <w:ilvl w:val="0"/>
          <w:numId w:val="14"/>
        </w:numPr>
        <w:jc w:val="both"/>
        <w:outlineLvl w:val="2"/>
        <w:rPr>
          <w:bCs/>
          <w:i/>
          <w:iCs/>
          <w:sz w:val="24"/>
          <w:szCs w:val="22"/>
        </w:rPr>
      </w:pPr>
      <w:r w:rsidRPr="00500BA3">
        <w:rPr>
          <w:bCs/>
          <w:i/>
          <w:iCs/>
          <w:sz w:val="24"/>
          <w:szCs w:val="22"/>
        </w:rPr>
        <w:t>Vrácení daně vybraným evropským orgánům v souvislosti s pandemií COVID-19</w:t>
      </w:r>
    </w:p>
    <w:p w14:paraId="6EBE2FA7" w14:textId="2EDCD293" w:rsidR="006358C8" w:rsidRPr="00C129B1" w:rsidRDefault="006358C8" w:rsidP="00C129B1">
      <w:pPr>
        <w:pStyle w:val="8"/>
        <w:spacing w:after="120"/>
        <w:rPr>
          <w:szCs w:val="24"/>
        </w:rPr>
      </w:pPr>
      <w:r>
        <w:rPr>
          <w:szCs w:val="24"/>
        </w:rPr>
        <w:t xml:space="preserve">V reakci na pandemii </w:t>
      </w:r>
      <w:r w:rsidRPr="005B2E04">
        <w:rPr>
          <w:szCs w:val="24"/>
        </w:rPr>
        <w:t xml:space="preserve">COVID-19 </w:t>
      </w:r>
      <w:r>
        <w:rPr>
          <w:szCs w:val="24"/>
        </w:rPr>
        <w:t xml:space="preserve">byla na úrovni Evropské unie přijata směrnice, která umožnila osvobodit dodání zboží nebo poskytnutí </w:t>
      </w:r>
      <w:r w:rsidRPr="002A6396">
        <w:rPr>
          <w:szCs w:val="24"/>
        </w:rPr>
        <w:t>služby agentuře nebo subjektu, které byly založeny podle práva Evropské unie, nebo Evropské komisi, pokud je toto plnění pořízeno nebo přijato v rámci plnění úkolů, které jim byly svěřeny právem Evropské unie za účelem reakce na vznik a rozšíření onemocnění COVID-19 způsobeného koronavirem označovaným jako SARS CoV-2 (§ 68 odst.</w:t>
      </w:r>
      <w:r>
        <w:rPr>
          <w:szCs w:val="24"/>
        </w:rPr>
        <w:t> </w:t>
      </w:r>
      <w:r w:rsidRPr="002A6396">
        <w:rPr>
          <w:szCs w:val="24"/>
        </w:rPr>
        <w:t>17</w:t>
      </w:r>
      <w:r>
        <w:rPr>
          <w:szCs w:val="24"/>
        </w:rPr>
        <w:t xml:space="preserve"> zákona o dani z přidané hodnoty</w:t>
      </w:r>
      <w:r w:rsidRPr="002A6396">
        <w:rPr>
          <w:szCs w:val="24"/>
        </w:rPr>
        <w:t>)</w:t>
      </w:r>
      <w:r>
        <w:rPr>
          <w:szCs w:val="24"/>
        </w:rPr>
        <w:t>. Toto osvobození bylo možné použít u plnění uskutečněných od</w:t>
      </w:r>
      <w:r w:rsidR="00ED3B58">
        <w:rPr>
          <w:szCs w:val="24"/>
        </w:rPr>
        <w:t> </w:t>
      </w:r>
      <w:r>
        <w:rPr>
          <w:szCs w:val="24"/>
        </w:rPr>
        <w:t>1. ledna 2021.</w:t>
      </w:r>
    </w:p>
    <w:p w14:paraId="117B3F20" w14:textId="77777777" w:rsidR="006D21CB" w:rsidRPr="00500BA3" w:rsidRDefault="006D21CB" w:rsidP="00500BA3">
      <w:pPr>
        <w:pStyle w:val="9"/>
        <w:keepNext/>
        <w:numPr>
          <w:ilvl w:val="0"/>
          <w:numId w:val="14"/>
        </w:numPr>
        <w:jc w:val="both"/>
        <w:outlineLvl w:val="2"/>
        <w:rPr>
          <w:bCs/>
          <w:i/>
          <w:iCs/>
          <w:sz w:val="24"/>
          <w:szCs w:val="22"/>
        </w:rPr>
      </w:pPr>
      <w:r w:rsidRPr="00500BA3">
        <w:rPr>
          <w:bCs/>
          <w:i/>
          <w:iCs/>
          <w:sz w:val="24"/>
          <w:szCs w:val="22"/>
        </w:rPr>
        <w:t>Potvrzení o osvobození od DPH při dovozu a dodávkách obranných produktů pod nařízením SAFE</w:t>
      </w:r>
    </w:p>
    <w:p w14:paraId="3BDF59E6" w14:textId="5EB3FFA1" w:rsidR="007B6AF6" w:rsidRPr="00461480" w:rsidRDefault="007B6AF6" w:rsidP="007B6AF6">
      <w:pPr>
        <w:pStyle w:val="8"/>
        <w:spacing w:after="120"/>
        <w:rPr>
          <w:b/>
          <w:bCs/>
          <w:szCs w:val="24"/>
        </w:rPr>
      </w:pPr>
      <w:r>
        <w:rPr>
          <w:szCs w:val="24"/>
        </w:rPr>
        <w:t xml:space="preserve">Nařízení Rady </w:t>
      </w:r>
      <w:r w:rsidRPr="007B6AF6">
        <w:rPr>
          <w:szCs w:val="24"/>
        </w:rPr>
        <w:t>(EU) 2025/1106</w:t>
      </w:r>
      <w:r>
        <w:rPr>
          <w:szCs w:val="24"/>
        </w:rPr>
        <w:t xml:space="preserve"> </w:t>
      </w:r>
      <w:r w:rsidRPr="007B6AF6">
        <w:rPr>
          <w:szCs w:val="24"/>
        </w:rPr>
        <w:t>ze dne 27. května 2025,</w:t>
      </w:r>
      <w:r>
        <w:rPr>
          <w:szCs w:val="24"/>
        </w:rPr>
        <w:t xml:space="preserve"> </w:t>
      </w:r>
      <w:r w:rsidRPr="007B6AF6">
        <w:rPr>
          <w:szCs w:val="24"/>
        </w:rPr>
        <w:t>kterým se zřizuje nástroj Bezpečnostní akce pro Evropu (SAFE) prostřednictvím posílení evropského obranného průmyslu</w:t>
      </w:r>
      <w:r>
        <w:rPr>
          <w:szCs w:val="24"/>
        </w:rPr>
        <w:t xml:space="preserve"> zavedlo v čl.</w:t>
      </w:r>
      <w:r w:rsidR="00F63648">
        <w:rPr>
          <w:szCs w:val="24"/>
        </w:rPr>
        <w:t> </w:t>
      </w:r>
      <w:r>
        <w:rPr>
          <w:szCs w:val="24"/>
        </w:rPr>
        <w:t xml:space="preserve">20 osvobození </w:t>
      </w:r>
      <w:r w:rsidR="001A6ED0" w:rsidRPr="001A6ED0">
        <w:rPr>
          <w:szCs w:val="24"/>
        </w:rPr>
        <w:t>od DPH při dovozu a dodávkách obranných produktů</w:t>
      </w:r>
      <w:r w:rsidR="001A6ED0">
        <w:rPr>
          <w:szCs w:val="24"/>
        </w:rPr>
        <w:t xml:space="preserve">. </w:t>
      </w:r>
      <w:r w:rsidR="00E916E2">
        <w:rPr>
          <w:szCs w:val="24"/>
        </w:rPr>
        <w:t xml:space="preserve">Stejně jako v případě obdobných osvobození podle směrnice o dani z přidané hodnoty </w:t>
      </w:r>
      <w:r w:rsidR="0019150E">
        <w:rPr>
          <w:szCs w:val="24"/>
        </w:rPr>
        <w:t xml:space="preserve">(viz § 68 odst. 11 zákona o dani z přidané hodnoty) </w:t>
      </w:r>
      <w:r w:rsidR="00E916E2">
        <w:rPr>
          <w:szCs w:val="24"/>
        </w:rPr>
        <w:t>je i</w:t>
      </w:r>
      <w:r w:rsidR="0019150E">
        <w:rPr>
          <w:szCs w:val="24"/>
        </w:rPr>
        <w:t> </w:t>
      </w:r>
      <w:r w:rsidR="00E916E2">
        <w:rPr>
          <w:szCs w:val="24"/>
        </w:rPr>
        <w:t xml:space="preserve">v případě tohoto osvobození </w:t>
      </w:r>
      <w:r w:rsidR="00461480">
        <w:rPr>
          <w:szCs w:val="24"/>
        </w:rPr>
        <w:t xml:space="preserve">vydáváno osvědčení </w:t>
      </w:r>
      <w:r w:rsidR="00461480" w:rsidRPr="00461480">
        <w:rPr>
          <w:szCs w:val="24"/>
        </w:rPr>
        <w:t>o osvobození od DPH</w:t>
      </w:r>
      <w:r w:rsidR="00461480">
        <w:rPr>
          <w:szCs w:val="24"/>
        </w:rPr>
        <w:t xml:space="preserve">, které </w:t>
      </w:r>
      <w:r w:rsidR="00461480" w:rsidRPr="00461480">
        <w:rPr>
          <w:szCs w:val="24"/>
        </w:rPr>
        <w:t>slouží k potvrzení skutečnosti, že plnění splňuje podmínky pro osvobození od DPH podle tohoto nařízení</w:t>
      </w:r>
      <w:r w:rsidR="00461480">
        <w:rPr>
          <w:szCs w:val="24"/>
        </w:rPr>
        <w:t xml:space="preserve">. Vzor tohoto osvědčení je v příloze nařízení. </w:t>
      </w:r>
    </w:p>
    <w:p w14:paraId="406CE1D5" w14:textId="3863FE54" w:rsidR="0008265C" w:rsidRPr="00B00953" w:rsidRDefault="0008265C" w:rsidP="00C129B1">
      <w:pPr>
        <w:pStyle w:val="8"/>
        <w:spacing w:before="240" w:after="120"/>
        <w:rPr>
          <w:szCs w:val="24"/>
        </w:rPr>
      </w:pPr>
      <w:r w:rsidRPr="005B2E04">
        <w:t>Současná právní úprava v oblasti daně z přidané hodnoty není v rozporu se zásadou zákazu diskriminace. Z hlediska požadavků na</w:t>
      </w:r>
      <w:r w:rsidR="00A24A62">
        <w:t> </w:t>
      </w:r>
      <w:r w:rsidRPr="005B2E04">
        <w:t xml:space="preserve">zajištění rovnosti mužů a žen ji lze považovat za neutrální. </w:t>
      </w:r>
    </w:p>
    <w:p w14:paraId="6E0F49C2" w14:textId="19C585BA" w:rsidR="006F2609" w:rsidRPr="00614733" w:rsidRDefault="6A773C19" w:rsidP="00614733">
      <w:pPr>
        <w:pStyle w:val="6"/>
        <w:jc w:val="both"/>
        <w:outlineLvl w:val="1"/>
      </w:pPr>
      <w:r w:rsidRPr="00614733">
        <w:t>2.   Popis obsahu návrhu právního předpisu s uvedením důvodů, které k</w:t>
      </w:r>
      <w:r w:rsidR="00A0C01C" w:rsidRPr="00614733">
        <w:t> </w:t>
      </w:r>
      <w:r w:rsidRPr="00614733">
        <w:t>jeho</w:t>
      </w:r>
      <w:r w:rsidR="00A0C01C" w:rsidRPr="00614733">
        <w:t xml:space="preserve"> </w:t>
      </w:r>
      <w:r w:rsidRPr="00614733">
        <w:t>předložení vedou, a shrnutí základních zásad a nejdůležitějších změn, které oproti stávající právní úpravě zavádí</w:t>
      </w:r>
    </w:p>
    <w:p w14:paraId="0E1C6D82" w14:textId="0F56E02C" w:rsidR="37383AFD" w:rsidRPr="004D0098" w:rsidRDefault="37383AFD" w:rsidP="004D0098">
      <w:pPr>
        <w:pStyle w:val="8"/>
        <w:spacing w:after="120"/>
        <w:rPr>
          <w:szCs w:val="24"/>
        </w:rPr>
      </w:pPr>
      <w:r w:rsidRPr="004D0098">
        <w:rPr>
          <w:szCs w:val="24"/>
        </w:rPr>
        <w:t>Návrh novely zákona o dani z přidané hodnoty obsahuje povinnou transpozici směrnice DPH v</w:t>
      </w:r>
      <w:r w:rsidR="001F2591">
        <w:rPr>
          <w:szCs w:val="24"/>
        </w:rPr>
        <w:t> </w:t>
      </w:r>
      <w:r w:rsidRPr="004D0098">
        <w:rPr>
          <w:szCs w:val="24"/>
        </w:rPr>
        <w:t>digitálním věku</w:t>
      </w:r>
      <w:r w:rsidR="39916076" w:rsidRPr="004D0098">
        <w:rPr>
          <w:szCs w:val="24"/>
        </w:rPr>
        <w:t xml:space="preserve">, </w:t>
      </w:r>
      <w:r w:rsidRPr="004D0098">
        <w:rPr>
          <w:szCs w:val="24"/>
        </w:rPr>
        <w:t>avšak pouze v rozsahu čl</w:t>
      </w:r>
      <w:r w:rsidR="001F2591">
        <w:rPr>
          <w:szCs w:val="24"/>
        </w:rPr>
        <w:t xml:space="preserve">ánku </w:t>
      </w:r>
      <w:r w:rsidRPr="004D0098">
        <w:rPr>
          <w:szCs w:val="24"/>
        </w:rPr>
        <w:t xml:space="preserve">2 této směrnice, jehož </w:t>
      </w:r>
      <w:r w:rsidR="00336511">
        <w:rPr>
          <w:szCs w:val="24"/>
        </w:rPr>
        <w:t>použitelnost</w:t>
      </w:r>
      <w:r w:rsidRPr="004D0098">
        <w:rPr>
          <w:szCs w:val="24"/>
        </w:rPr>
        <w:t xml:space="preserve"> je </w:t>
      </w:r>
      <w:r w:rsidR="00AA5B54">
        <w:rPr>
          <w:szCs w:val="24"/>
        </w:rPr>
        <w:t>stanovena</w:t>
      </w:r>
      <w:r w:rsidR="4C0E4508" w:rsidRPr="004D0098">
        <w:rPr>
          <w:szCs w:val="24"/>
        </w:rPr>
        <w:t xml:space="preserve"> od 1. ledna 2027.</w:t>
      </w:r>
      <w:r w:rsidR="1BFC512A" w:rsidRPr="004D0098">
        <w:rPr>
          <w:szCs w:val="24"/>
        </w:rPr>
        <w:t xml:space="preserve"> Tato část se především věnuje vyjasnění a zlepšení pravidel</w:t>
      </w:r>
      <w:r w:rsidR="0023560B">
        <w:rPr>
          <w:szCs w:val="24"/>
        </w:rPr>
        <w:t>, která se</w:t>
      </w:r>
      <w:r w:rsidR="1BFC512A" w:rsidRPr="004D0098">
        <w:rPr>
          <w:szCs w:val="24"/>
        </w:rPr>
        <w:t xml:space="preserve"> dotýkají používání zvláštního režimu jednoho správního místa. Změny mají cíl zejména snížit administrativní zátěž</w:t>
      </w:r>
      <w:r w:rsidR="79CD59AB" w:rsidRPr="004D0098">
        <w:rPr>
          <w:szCs w:val="24"/>
        </w:rPr>
        <w:t xml:space="preserve"> v odvodu DPH</w:t>
      </w:r>
      <w:r w:rsidR="1BFC512A" w:rsidRPr="004D0098">
        <w:rPr>
          <w:szCs w:val="24"/>
        </w:rPr>
        <w:t xml:space="preserve"> </w:t>
      </w:r>
      <w:r w:rsidR="0023560B" w:rsidRPr="00DE118C">
        <w:rPr>
          <w:szCs w:val="24"/>
        </w:rPr>
        <w:t>u</w:t>
      </w:r>
      <w:r w:rsidR="00A24A62">
        <w:rPr>
          <w:szCs w:val="24"/>
        </w:rPr>
        <w:t> </w:t>
      </w:r>
      <w:r w:rsidR="0023560B" w:rsidRPr="00DE118C">
        <w:rPr>
          <w:szCs w:val="24"/>
        </w:rPr>
        <w:t xml:space="preserve">vybraných plnění </w:t>
      </w:r>
      <w:r w:rsidR="1BFC512A" w:rsidRPr="004D0098">
        <w:rPr>
          <w:szCs w:val="24"/>
        </w:rPr>
        <w:t>v rámci celé E</w:t>
      </w:r>
      <w:r w:rsidR="50C8B9E6" w:rsidRPr="004D0098">
        <w:rPr>
          <w:szCs w:val="24"/>
        </w:rPr>
        <w:t>vrop</w:t>
      </w:r>
      <w:r w:rsidR="048BD75A" w:rsidRPr="004D0098">
        <w:rPr>
          <w:szCs w:val="24"/>
        </w:rPr>
        <w:t xml:space="preserve">ské unie a zpřesnit výklad </w:t>
      </w:r>
      <w:r w:rsidR="00034EDE">
        <w:rPr>
          <w:szCs w:val="24"/>
        </w:rPr>
        <w:t xml:space="preserve">pro určení </w:t>
      </w:r>
      <w:r w:rsidR="048BD75A" w:rsidRPr="004D0098">
        <w:rPr>
          <w:szCs w:val="24"/>
        </w:rPr>
        <w:t>místa plnění a data uskutečnění zdanitelného plnění, která</w:t>
      </w:r>
      <w:r w:rsidR="00A24A62">
        <w:rPr>
          <w:szCs w:val="24"/>
        </w:rPr>
        <w:t> </w:t>
      </w:r>
      <w:r w:rsidR="048BD75A" w:rsidRPr="004D0098">
        <w:rPr>
          <w:szCs w:val="24"/>
        </w:rPr>
        <w:t>jsou předmětem vykazování ve zvláštním režimu jednoho správního místa.</w:t>
      </w:r>
    </w:p>
    <w:p w14:paraId="6F614B0D" w14:textId="486A6385" w:rsidR="7D63B0E5" w:rsidRPr="00500BA3" w:rsidRDefault="7D63B0E5" w:rsidP="00500BA3">
      <w:pPr>
        <w:pStyle w:val="9"/>
        <w:keepNext/>
        <w:numPr>
          <w:ilvl w:val="0"/>
          <w:numId w:val="15"/>
        </w:numPr>
        <w:jc w:val="both"/>
        <w:outlineLvl w:val="2"/>
        <w:rPr>
          <w:bCs/>
          <w:i/>
          <w:iCs/>
          <w:sz w:val="24"/>
          <w:szCs w:val="22"/>
        </w:rPr>
      </w:pPr>
      <w:r w:rsidRPr="00500BA3">
        <w:rPr>
          <w:bCs/>
          <w:i/>
          <w:iCs/>
          <w:sz w:val="24"/>
          <w:szCs w:val="22"/>
        </w:rPr>
        <w:t>Dodání zboží, které usnadňuje provozovatel elektronického rozhraní</w:t>
      </w:r>
    </w:p>
    <w:p w14:paraId="7A055E1A" w14:textId="63E3CEDA" w:rsidR="6DC95073" w:rsidRPr="004D0098" w:rsidRDefault="00034EDE" w:rsidP="004D0098">
      <w:pPr>
        <w:pStyle w:val="8"/>
        <w:spacing w:after="120"/>
        <w:rPr>
          <w:szCs w:val="24"/>
        </w:rPr>
      </w:pPr>
      <w:r>
        <w:rPr>
          <w:szCs w:val="24"/>
        </w:rPr>
        <w:t xml:space="preserve">Navrhuje se </w:t>
      </w:r>
      <w:r w:rsidR="6DC95073" w:rsidRPr="004D0098">
        <w:rPr>
          <w:szCs w:val="24"/>
        </w:rPr>
        <w:t>rozš</w:t>
      </w:r>
      <w:r w:rsidR="00495651">
        <w:rPr>
          <w:szCs w:val="24"/>
        </w:rPr>
        <w:t>ířit</w:t>
      </w:r>
      <w:r w:rsidR="15A51654" w:rsidRPr="004D0098">
        <w:rPr>
          <w:szCs w:val="24"/>
        </w:rPr>
        <w:t xml:space="preserve"> </w:t>
      </w:r>
      <w:r w:rsidR="6DC95073" w:rsidRPr="004D0098">
        <w:rPr>
          <w:szCs w:val="24"/>
        </w:rPr>
        <w:t>uplatnění principu domnělého dodavatele</w:t>
      </w:r>
      <w:r w:rsidR="00495651">
        <w:rPr>
          <w:szCs w:val="24"/>
        </w:rPr>
        <w:t xml:space="preserve"> (</w:t>
      </w:r>
      <w:r w:rsidR="00495651" w:rsidRPr="005B2E04">
        <w:rPr>
          <w:szCs w:val="24"/>
        </w:rPr>
        <w:t>§ 13a odst. 2</w:t>
      </w:r>
      <w:r w:rsidR="00495651">
        <w:rPr>
          <w:szCs w:val="24"/>
        </w:rPr>
        <w:t xml:space="preserve"> zákona o dani z přidané hodnoty)</w:t>
      </w:r>
      <w:r w:rsidR="31B6991C" w:rsidRPr="004D0098">
        <w:rPr>
          <w:szCs w:val="24"/>
        </w:rPr>
        <w:t>, jehož základní myšlenkou je přesun povinnost</w:t>
      </w:r>
      <w:r w:rsidR="00495651">
        <w:rPr>
          <w:szCs w:val="24"/>
        </w:rPr>
        <w:t>i</w:t>
      </w:r>
      <w:r w:rsidR="31B6991C" w:rsidRPr="004D0098">
        <w:rPr>
          <w:szCs w:val="24"/>
        </w:rPr>
        <w:t xml:space="preserve"> odvést daň na provozovatele elektronického rozhraní (platformu) namísto skutečného dodavatele, který je zahraniční osoba se sídlem nebo provozovnou mimo území Evropské unie</w:t>
      </w:r>
      <w:r w:rsidR="6DC95073" w:rsidRPr="004D0098">
        <w:rPr>
          <w:szCs w:val="24"/>
        </w:rPr>
        <w:t xml:space="preserve">. Nově se povinnost odvést DPH přesouvá na provozovatele elektronického rozhraní nejen při prodeji </w:t>
      </w:r>
      <w:r w:rsidR="003A4E25">
        <w:rPr>
          <w:szCs w:val="24"/>
        </w:rPr>
        <w:t xml:space="preserve">zboží </w:t>
      </w:r>
      <w:r w:rsidR="67237223" w:rsidRPr="004D0098">
        <w:rPr>
          <w:szCs w:val="24"/>
        </w:rPr>
        <w:t>osobě nepovinné</w:t>
      </w:r>
      <w:r w:rsidR="003A4E25">
        <w:rPr>
          <w:szCs w:val="24"/>
        </w:rPr>
        <w:t xml:space="preserve"> </w:t>
      </w:r>
      <w:r w:rsidR="67237223" w:rsidRPr="004D0098">
        <w:rPr>
          <w:szCs w:val="24"/>
        </w:rPr>
        <w:t>k</w:t>
      </w:r>
      <w:r w:rsidR="003A4E25">
        <w:rPr>
          <w:szCs w:val="24"/>
        </w:rPr>
        <w:t> </w:t>
      </w:r>
      <w:r w:rsidR="67237223" w:rsidRPr="004D0098">
        <w:rPr>
          <w:szCs w:val="24"/>
        </w:rPr>
        <w:t>dani (</w:t>
      </w:r>
      <w:r w:rsidR="6DC95073" w:rsidRPr="004D0098">
        <w:rPr>
          <w:szCs w:val="24"/>
        </w:rPr>
        <w:t>koncovému spotřebiteli</w:t>
      </w:r>
      <w:r w:rsidR="06E85397" w:rsidRPr="004D0098">
        <w:rPr>
          <w:szCs w:val="24"/>
        </w:rPr>
        <w:t>)</w:t>
      </w:r>
      <w:r w:rsidR="6DC95073" w:rsidRPr="004D0098">
        <w:rPr>
          <w:szCs w:val="24"/>
        </w:rPr>
        <w:t>, ale i dalším vybraným odběratelům</w:t>
      </w:r>
      <w:r w:rsidR="003A4E25">
        <w:rPr>
          <w:szCs w:val="24"/>
        </w:rPr>
        <w:t xml:space="preserve"> (osobám povinným k dani)</w:t>
      </w:r>
      <w:r w:rsidR="6DC95073" w:rsidRPr="004D0098">
        <w:rPr>
          <w:szCs w:val="24"/>
        </w:rPr>
        <w:t>, pro které pořízení zboží z</w:t>
      </w:r>
      <w:r w:rsidR="003A4E25">
        <w:rPr>
          <w:szCs w:val="24"/>
        </w:rPr>
        <w:t> </w:t>
      </w:r>
      <w:r w:rsidR="6DC95073" w:rsidRPr="004D0098">
        <w:rPr>
          <w:szCs w:val="24"/>
        </w:rPr>
        <w:t>jiného členského státu není předmětem daně</w:t>
      </w:r>
      <w:r w:rsidR="5E652FA0" w:rsidRPr="004D0098">
        <w:rPr>
          <w:szCs w:val="24"/>
        </w:rPr>
        <w:t xml:space="preserve"> (zjednodušeně na </w:t>
      </w:r>
      <w:r w:rsidR="0A75B8BF" w:rsidRPr="004D0098">
        <w:rPr>
          <w:szCs w:val="24"/>
        </w:rPr>
        <w:t>osoby, které nejsou plátcem nebo nejsou registrovány k DPH v jiném členském státě)</w:t>
      </w:r>
      <w:r w:rsidR="5E652FA0" w:rsidRPr="004D0098">
        <w:rPr>
          <w:szCs w:val="24"/>
        </w:rPr>
        <w:t xml:space="preserve">. </w:t>
      </w:r>
    </w:p>
    <w:p w14:paraId="2ED61E8C" w14:textId="7E7485EE" w:rsidR="6DC95073" w:rsidRPr="004D0098" w:rsidRDefault="6DC95073" w:rsidP="004D0098">
      <w:pPr>
        <w:pStyle w:val="8"/>
        <w:spacing w:after="120"/>
        <w:rPr>
          <w:szCs w:val="24"/>
        </w:rPr>
      </w:pPr>
      <w:r w:rsidRPr="004D0098">
        <w:rPr>
          <w:szCs w:val="24"/>
        </w:rPr>
        <w:lastRenderedPageBreak/>
        <w:t xml:space="preserve">Cílem je odstranit praktické problémy </w:t>
      </w:r>
      <w:r w:rsidR="007D5D18" w:rsidRPr="007D5D18">
        <w:rPr>
          <w:szCs w:val="24"/>
        </w:rPr>
        <w:t>v podobě nepřesného či nemožného rozlišení osoby nepovinné k dani od osoby povinné k dani ze</w:t>
      </w:r>
      <w:r w:rsidR="00A24A62">
        <w:rPr>
          <w:szCs w:val="24"/>
        </w:rPr>
        <w:t> </w:t>
      </w:r>
      <w:r w:rsidR="007D5D18" w:rsidRPr="007D5D18">
        <w:rPr>
          <w:szCs w:val="24"/>
        </w:rPr>
        <w:t>strany provozovatele elektronického rozhraní</w:t>
      </w:r>
      <w:r w:rsidR="0088622E" w:rsidRPr="004D0098">
        <w:rPr>
          <w:szCs w:val="24"/>
        </w:rPr>
        <w:t>.</w:t>
      </w:r>
    </w:p>
    <w:p w14:paraId="2CF6EEEE" w14:textId="6FC7116F" w:rsidR="7422B74E" w:rsidRPr="00500BA3" w:rsidRDefault="7422B74E" w:rsidP="00500BA3">
      <w:pPr>
        <w:pStyle w:val="9"/>
        <w:keepNext/>
        <w:numPr>
          <w:ilvl w:val="0"/>
          <w:numId w:val="15"/>
        </w:numPr>
        <w:jc w:val="both"/>
        <w:outlineLvl w:val="2"/>
        <w:rPr>
          <w:bCs/>
          <w:i/>
          <w:iCs/>
          <w:sz w:val="24"/>
          <w:szCs w:val="22"/>
        </w:rPr>
      </w:pPr>
      <w:r w:rsidRPr="00500BA3">
        <w:rPr>
          <w:bCs/>
          <w:i/>
          <w:iCs/>
          <w:sz w:val="24"/>
          <w:szCs w:val="22"/>
        </w:rPr>
        <w:t>Místo plnění u prodeje zboží na dálku a u telekomunikačních služeb, služeb rozhlasového a</w:t>
      </w:r>
      <w:r w:rsidR="0080108D" w:rsidRPr="00500BA3">
        <w:rPr>
          <w:bCs/>
          <w:i/>
          <w:iCs/>
          <w:sz w:val="24"/>
          <w:szCs w:val="22"/>
        </w:rPr>
        <w:t> </w:t>
      </w:r>
      <w:r w:rsidRPr="00500BA3">
        <w:rPr>
          <w:bCs/>
          <w:i/>
          <w:iCs/>
          <w:sz w:val="24"/>
          <w:szCs w:val="22"/>
        </w:rPr>
        <w:t>televizního vysílání a elektronicky poskytované služby osobě nepovinné k dani</w:t>
      </w:r>
    </w:p>
    <w:p w14:paraId="7AD85710" w14:textId="04680862" w:rsidR="2B4E544F" w:rsidRPr="004D0098" w:rsidRDefault="00D646E8" w:rsidP="004D0098">
      <w:pPr>
        <w:pStyle w:val="8"/>
        <w:spacing w:after="120"/>
        <w:rPr>
          <w:szCs w:val="24"/>
        </w:rPr>
      </w:pPr>
      <w:r>
        <w:rPr>
          <w:szCs w:val="24"/>
        </w:rPr>
        <w:t xml:space="preserve">Protože </w:t>
      </w:r>
      <w:r w:rsidR="2B4E544F" w:rsidRPr="004D0098">
        <w:rPr>
          <w:szCs w:val="24"/>
        </w:rPr>
        <w:t>neb</w:t>
      </w:r>
      <w:r w:rsidR="1F6BDD80" w:rsidRPr="004D0098">
        <w:rPr>
          <w:szCs w:val="24"/>
        </w:rPr>
        <w:t xml:space="preserve">ylo jasné propojení zvláštního režimu jednoho správního místa a </w:t>
      </w:r>
      <w:r w:rsidR="2B4E544F" w:rsidRPr="004D0098">
        <w:rPr>
          <w:szCs w:val="24"/>
        </w:rPr>
        <w:t xml:space="preserve">pravidel </w:t>
      </w:r>
      <w:r w:rsidR="40E7DE59" w:rsidRPr="004D0098">
        <w:rPr>
          <w:szCs w:val="24"/>
        </w:rPr>
        <w:t xml:space="preserve">pro stanovení </w:t>
      </w:r>
      <w:r w:rsidR="2B4E544F" w:rsidRPr="004D0098">
        <w:rPr>
          <w:szCs w:val="24"/>
        </w:rPr>
        <w:t>míst</w:t>
      </w:r>
      <w:r w:rsidR="2189F69F" w:rsidRPr="004D0098">
        <w:rPr>
          <w:szCs w:val="24"/>
        </w:rPr>
        <w:t>a</w:t>
      </w:r>
      <w:r w:rsidR="2B4E544F" w:rsidRPr="004D0098">
        <w:rPr>
          <w:szCs w:val="24"/>
        </w:rPr>
        <w:t xml:space="preserve"> plnění u prodej</w:t>
      </w:r>
      <w:r w:rsidR="47D44621" w:rsidRPr="004D0098">
        <w:rPr>
          <w:szCs w:val="24"/>
        </w:rPr>
        <w:t>e</w:t>
      </w:r>
      <w:r w:rsidR="2B4E544F" w:rsidRPr="004D0098">
        <w:rPr>
          <w:szCs w:val="24"/>
        </w:rPr>
        <w:t xml:space="preserve"> zboží na</w:t>
      </w:r>
      <w:r w:rsidR="00A24A62">
        <w:rPr>
          <w:szCs w:val="24"/>
        </w:rPr>
        <w:t> </w:t>
      </w:r>
      <w:r w:rsidR="2B4E544F" w:rsidRPr="004D0098">
        <w:rPr>
          <w:szCs w:val="24"/>
        </w:rPr>
        <w:t>dálku podle § 8</w:t>
      </w:r>
      <w:r w:rsidR="74E2881B" w:rsidRPr="004D0098">
        <w:rPr>
          <w:szCs w:val="24"/>
        </w:rPr>
        <w:t xml:space="preserve"> zákona o dani z přidané hodnoty</w:t>
      </w:r>
      <w:r w:rsidR="2B4E544F" w:rsidRPr="004D0098">
        <w:rPr>
          <w:szCs w:val="24"/>
        </w:rPr>
        <w:t xml:space="preserve"> a </w:t>
      </w:r>
      <w:r w:rsidR="70C66676" w:rsidRPr="004D0098">
        <w:rPr>
          <w:szCs w:val="24"/>
        </w:rPr>
        <w:t xml:space="preserve">místa plnění </w:t>
      </w:r>
      <w:r w:rsidR="2B4E544F" w:rsidRPr="004D0098">
        <w:rPr>
          <w:szCs w:val="24"/>
        </w:rPr>
        <w:t>u</w:t>
      </w:r>
      <w:r>
        <w:rPr>
          <w:szCs w:val="24"/>
        </w:rPr>
        <w:t> </w:t>
      </w:r>
      <w:r w:rsidR="2B4E544F" w:rsidRPr="004D0098">
        <w:rPr>
          <w:szCs w:val="24"/>
        </w:rPr>
        <w:t>telekomunikačních služeb, služeb rozhlasového a televizního vysílání a</w:t>
      </w:r>
      <w:r w:rsidR="00A24A62">
        <w:rPr>
          <w:szCs w:val="24"/>
        </w:rPr>
        <w:t> </w:t>
      </w:r>
      <w:r w:rsidR="2B4E544F" w:rsidRPr="004D0098">
        <w:rPr>
          <w:szCs w:val="24"/>
        </w:rPr>
        <w:t xml:space="preserve">elektronicky poskytované služby osobě nepovinné k dani podle § 10i </w:t>
      </w:r>
      <w:r w:rsidR="3D9F3CE2" w:rsidRPr="004D0098">
        <w:rPr>
          <w:szCs w:val="24"/>
        </w:rPr>
        <w:t>zákona o dani z přidané hodnoty</w:t>
      </w:r>
      <w:r w:rsidR="205CF0EE" w:rsidRPr="004D0098">
        <w:rPr>
          <w:szCs w:val="24"/>
        </w:rPr>
        <w:t xml:space="preserve">, </w:t>
      </w:r>
      <w:r w:rsidR="62DA884C" w:rsidRPr="004D0098">
        <w:rPr>
          <w:szCs w:val="24"/>
        </w:rPr>
        <w:t>dochází k jeho vyjasnění</w:t>
      </w:r>
      <w:r w:rsidR="159777ED" w:rsidRPr="004D0098">
        <w:rPr>
          <w:szCs w:val="24"/>
        </w:rPr>
        <w:t xml:space="preserve">. </w:t>
      </w:r>
      <w:r w:rsidR="22F79A47" w:rsidRPr="004D0098">
        <w:rPr>
          <w:szCs w:val="24"/>
        </w:rPr>
        <w:t>Osoba, která nepřekročí celkovou hodnotu 10 000 EUR z prodeje zboží na dálku a poskytnutí služeb u telekomunikačních služeb, služeb rozhlasového a televizního vysílání a</w:t>
      </w:r>
      <w:r>
        <w:rPr>
          <w:szCs w:val="24"/>
        </w:rPr>
        <w:t> </w:t>
      </w:r>
      <w:r w:rsidR="22F79A47" w:rsidRPr="004D0098">
        <w:rPr>
          <w:szCs w:val="24"/>
        </w:rPr>
        <w:t>elektronicky poskytované služby osobě nepovinné k dani, může uplatnit princip zdanění ve státě usazení, což odporuje vzájemnému propojen</w:t>
      </w:r>
      <w:r w:rsidR="6F3668C8" w:rsidRPr="004D0098">
        <w:rPr>
          <w:szCs w:val="24"/>
        </w:rPr>
        <w:t xml:space="preserve">í se zvláštním režimem jednoho správního místa. </w:t>
      </w:r>
      <w:r>
        <w:rPr>
          <w:szCs w:val="24"/>
        </w:rPr>
        <w:t>Proto se n</w:t>
      </w:r>
      <w:r w:rsidR="6F3668C8" w:rsidRPr="004D0098">
        <w:rPr>
          <w:szCs w:val="24"/>
        </w:rPr>
        <w:t>ově zavádí právní fikce, že</w:t>
      </w:r>
      <w:r w:rsidR="00A24A62">
        <w:rPr>
          <w:szCs w:val="24"/>
        </w:rPr>
        <w:t> </w:t>
      </w:r>
      <w:r w:rsidR="6F3668C8" w:rsidRPr="004D0098">
        <w:rPr>
          <w:szCs w:val="24"/>
        </w:rPr>
        <w:t>osoby, které odvádí DPH prostřednictvím zvláštního režimu jednoho správního místa v režimu Evropské unie, vždy uplatňují základní pravidlo</w:t>
      </w:r>
      <w:r>
        <w:rPr>
          <w:szCs w:val="24"/>
        </w:rPr>
        <w:t xml:space="preserve"> pro stanovení místa plnění</w:t>
      </w:r>
      <w:r w:rsidR="6F3668C8" w:rsidRPr="004D0098">
        <w:rPr>
          <w:szCs w:val="24"/>
        </w:rPr>
        <w:t>,</w:t>
      </w:r>
      <w:r w:rsidR="158EBB4C" w:rsidRPr="004D0098">
        <w:rPr>
          <w:szCs w:val="24"/>
        </w:rPr>
        <w:t xml:space="preserve"> a to </w:t>
      </w:r>
      <w:r w:rsidR="6F3668C8" w:rsidRPr="004D0098">
        <w:rPr>
          <w:szCs w:val="24"/>
        </w:rPr>
        <w:t>u prodej</w:t>
      </w:r>
      <w:r w:rsidR="56C852E3" w:rsidRPr="004D0098">
        <w:rPr>
          <w:szCs w:val="24"/>
        </w:rPr>
        <w:t>e</w:t>
      </w:r>
      <w:r w:rsidR="6F3668C8" w:rsidRPr="004D0098">
        <w:rPr>
          <w:szCs w:val="24"/>
        </w:rPr>
        <w:t xml:space="preserve"> zboží</w:t>
      </w:r>
      <w:r w:rsidR="7EDED46A" w:rsidRPr="004D0098">
        <w:rPr>
          <w:szCs w:val="24"/>
        </w:rPr>
        <w:t xml:space="preserve"> </w:t>
      </w:r>
      <w:r w:rsidR="6F3668C8" w:rsidRPr="004D0098">
        <w:rPr>
          <w:szCs w:val="24"/>
        </w:rPr>
        <w:t>místo plnění v členském státě, kde končí odeslání nebo přeprava zboží</w:t>
      </w:r>
      <w:r w:rsidR="5D91EFBD" w:rsidRPr="004D0098">
        <w:rPr>
          <w:szCs w:val="24"/>
        </w:rPr>
        <w:t xml:space="preserve"> (§ 8 odst. 1</w:t>
      </w:r>
      <w:r w:rsidR="00431D02" w:rsidRPr="00431D02">
        <w:rPr>
          <w:szCs w:val="24"/>
        </w:rPr>
        <w:t xml:space="preserve"> </w:t>
      </w:r>
      <w:r w:rsidR="00431D02" w:rsidRPr="00964487">
        <w:rPr>
          <w:szCs w:val="24"/>
        </w:rPr>
        <w:t>zákona o dani z přidané hodnoty</w:t>
      </w:r>
      <w:r w:rsidR="5D91EFBD" w:rsidRPr="004D0098">
        <w:rPr>
          <w:szCs w:val="24"/>
        </w:rPr>
        <w:t>)</w:t>
      </w:r>
      <w:r w:rsidR="00301C82">
        <w:rPr>
          <w:szCs w:val="24"/>
        </w:rPr>
        <w:t>,</w:t>
      </w:r>
      <w:r w:rsidR="7DB0AAB1" w:rsidRPr="004D0098">
        <w:rPr>
          <w:szCs w:val="24"/>
        </w:rPr>
        <w:t xml:space="preserve"> a u poskytnutí telekomunikačních služeb, služeb rozhlasového a televizního vysílání a elektronicky poskytované služby osobě nepovinné k</w:t>
      </w:r>
      <w:r w:rsidR="00D777B8">
        <w:rPr>
          <w:szCs w:val="24"/>
        </w:rPr>
        <w:t> </w:t>
      </w:r>
      <w:r w:rsidR="7DB0AAB1" w:rsidRPr="004D0098">
        <w:rPr>
          <w:szCs w:val="24"/>
        </w:rPr>
        <w:t xml:space="preserve">dani místo plnění </w:t>
      </w:r>
      <w:r w:rsidR="1862E34F" w:rsidRPr="004D0098">
        <w:rPr>
          <w:szCs w:val="24"/>
        </w:rPr>
        <w:t xml:space="preserve">v místě </w:t>
      </w:r>
      <w:r w:rsidR="7DB0AAB1" w:rsidRPr="004D0098">
        <w:rPr>
          <w:szCs w:val="24"/>
        </w:rPr>
        <w:t>příjemce služeb</w:t>
      </w:r>
      <w:r w:rsidR="574514B3" w:rsidRPr="004D0098">
        <w:rPr>
          <w:szCs w:val="24"/>
        </w:rPr>
        <w:t xml:space="preserve"> (§ 10i odst. 1</w:t>
      </w:r>
      <w:r w:rsidR="00F10210" w:rsidRPr="00F10210">
        <w:rPr>
          <w:szCs w:val="24"/>
        </w:rPr>
        <w:t xml:space="preserve"> </w:t>
      </w:r>
      <w:r w:rsidR="00F10210" w:rsidRPr="00964487">
        <w:rPr>
          <w:szCs w:val="24"/>
        </w:rPr>
        <w:t>zákona o dani z přidané hodnoty</w:t>
      </w:r>
      <w:r w:rsidR="574514B3" w:rsidRPr="004D0098">
        <w:rPr>
          <w:szCs w:val="24"/>
        </w:rPr>
        <w:t>).</w:t>
      </w:r>
    </w:p>
    <w:p w14:paraId="0A0F9472" w14:textId="7E1D16E6" w:rsidR="2B4E544F" w:rsidRPr="00500BA3" w:rsidRDefault="2B4E544F" w:rsidP="00500BA3">
      <w:pPr>
        <w:pStyle w:val="9"/>
        <w:keepNext/>
        <w:numPr>
          <w:ilvl w:val="0"/>
          <w:numId w:val="15"/>
        </w:numPr>
        <w:jc w:val="both"/>
        <w:outlineLvl w:val="2"/>
        <w:rPr>
          <w:bCs/>
          <w:i/>
          <w:iCs/>
          <w:sz w:val="24"/>
          <w:szCs w:val="22"/>
        </w:rPr>
      </w:pPr>
      <w:r w:rsidRPr="00500BA3">
        <w:rPr>
          <w:bCs/>
          <w:i/>
          <w:iCs/>
          <w:sz w:val="24"/>
          <w:szCs w:val="22"/>
        </w:rPr>
        <w:t>Datum uskutečnění plnění u dodání zboží a u poskytnutí služby</w:t>
      </w:r>
      <w:r w:rsidR="56A15D8A" w:rsidRPr="00500BA3">
        <w:rPr>
          <w:bCs/>
          <w:i/>
          <w:iCs/>
          <w:sz w:val="24"/>
          <w:szCs w:val="22"/>
        </w:rPr>
        <w:t>, které jsou vybranými plněními ve zvláštním režimu jednoho správního místa</w:t>
      </w:r>
    </w:p>
    <w:p w14:paraId="5DBB83BF" w14:textId="0A01FF5C" w:rsidR="56A15D8A" w:rsidRPr="004D0098" w:rsidRDefault="00BF4474" w:rsidP="004D0098">
      <w:pPr>
        <w:pStyle w:val="8"/>
        <w:spacing w:after="120"/>
        <w:rPr>
          <w:szCs w:val="24"/>
        </w:rPr>
      </w:pPr>
      <w:r w:rsidRPr="005B2E04">
        <w:rPr>
          <w:szCs w:val="24"/>
        </w:rPr>
        <w:t xml:space="preserve">S ohledem na </w:t>
      </w:r>
      <w:r>
        <w:rPr>
          <w:szCs w:val="24"/>
        </w:rPr>
        <w:t xml:space="preserve">skutečnost, že aplikace čl. 66 </w:t>
      </w:r>
      <w:r w:rsidRPr="005B2E04">
        <w:rPr>
          <w:szCs w:val="24"/>
        </w:rPr>
        <w:t xml:space="preserve">směrnice o </w:t>
      </w:r>
      <w:r>
        <w:rPr>
          <w:szCs w:val="24"/>
        </w:rPr>
        <w:t>dani z přidané hodnoty</w:t>
      </w:r>
      <w:r w:rsidRPr="00D92BF2">
        <w:rPr>
          <w:szCs w:val="24"/>
        </w:rPr>
        <w:t xml:space="preserve"> </w:t>
      </w:r>
      <w:r>
        <w:rPr>
          <w:szCs w:val="24"/>
        </w:rPr>
        <w:t xml:space="preserve">je pro členské státy volitelná, může v případě </w:t>
      </w:r>
      <w:r w:rsidRPr="005B2E04">
        <w:rPr>
          <w:szCs w:val="24"/>
        </w:rPr>
        <w:t>vybraných plnění, která mohou být předmětem zvláštního režimu jednoho správního místa, docházet k</w:t>
      </w:r>
      <w:r>
        <w:rPr>
          <w:szCs w:val="24"/>
        </w:rPr>
        <w:t> </w:t>
      </w:r>
      <w:r w:rsidRPr="005B2E04">
        <w:rPr>
          <w:szCs w:val="24"/>
        </w:rPr>
        <w:t xml:space="preserve">nesprávnému vykazování DPH. </w:t>
      </w:r>
      <w:r w:rsidR="00D54386">
        <w:rPr>
          <w:szCs w:val="24"/>
        </w:rPr>
        <w:t xml:space="preserve">Aby se tento problém odstranil a došlo ke </w:t>
      </w:r>
      <w:r w:rsidR="56A15D8A" w:rsidRPr="004D0098">
        <w:rPr>
          <w:szCs w:val="24"/>
        </w:rPr>
        <w:t>sjednocení data uskutečnění u dodání zboží a u poskytnutí služby, které je předmětem zvláštní</w:t>
      </w:r>
      <w:r w:rsidR="00D54386">
        <w:rPr>
          <w:szCs w:val="24"/>
        </w:rPr>
        <w:t>ho</w:t>
      </w:r>
      <w:r w:rsidR="56A15D8A" w:rsidRPr="004D0098">
        <w:rPr>
          <w:szCs w:val="24"/>
        </w:rPr>
        <w:t xml:space="preserve"> režimu jednoho správního místa, </w:t>
      </w:r>
      <w:r w:rsidR="55E20EF8" w:rsidRPr="004D0098">
        <w:rPr>
          <w:szCs w:val="24"/>
        </w:rPr>
        <w:t xml:space="preserve">zavádí se speciální pravidlo pro stanovení data uskutečnění zdanitelného plnění pro poskytnutí služby, u které je použit zvláštní režim jednoho správního místa v režimu Evropské unie a v režimu mimo Evropskou unii. Nově </w:t>
      </w:r>
      <w:r w:rsidR="1A11E86A" w:rsidRPr="004D0098">
        <w:rPr>
          <w:szCs w:val="24"/>
        </w:rPr>
        <w:t>se</w:t>
      </w:r>
      <w:r w:rsidR="55E20EF8" w:rsidRPr="004D0098">
        <w:rPr>
          <w:szCs w:val="24"/>
        </w:rPr>
        <w:t xml:space="preserve"> u</w:t>
      </w:r>
      <w:r w:rsidR="009424E9">
        <w:rPr>
          <w:szCs w:val="24"/>
        </w:rPr>
        <w:t> </w:t>
      </w:r>
      <w:r w:rsidR="55E20EF8" w:rsidRPr="004D0098">
        <w:rPr>
          <w:szCs w:val="24"/>
        </w:rPr>
        <w:t xml:space="preserve">tohoto poskytnutí služby </w:t>
      </w:r>
      <w:r w:rsidR="7D70886F" w:rsidRPr="004D0098">
        <w:rPr>
          <w:szCs w:val="24"/>
        </w:rPr>
        <w:t xml:space="preserve">považuje za den uskutečnění zdanitelného plnění pouze den poskytnutí této služby. </w:t>
      </w:r>
    </w:p>
    <w:p w14:paraId="3D570CE4" w14:textId="2403DC38" w:rsidR="005B4325" w:rsidRPr="00500BA3" w:rsidRDefault="005B4325" w:rsidP="00500BA3">
      <w:pPr>
        <w:pStyle w:val="9"/>
        <w:keepNext/>
        <w:numPr>
          <w:ilvl w:val="0"/>
          <w:numId w:val="15"/>
        </w:numPr>
        <w:jc w:val="both"/>
        <w:outlineLvl w:val="2"/>
        <w:rPr>
          <w:bCs/>
          <w:i/>
          <w:iCs/>
          <w:sz w:val="24"/>
          <w:szCs w:val="22"/>
        </w:rPr>
      </w:pPr>
      <w:r w:rsidRPr="00500BA3">
        <w:rPr>
          <w:bCs/>
          <w:i/>
          <w:iCs/>
          <w:sz w:val="24"/>
          <w:szCs w:val="22"/>
        </w:rPr>
        <w:t>Režim skladu – call</w:t>
      </w:r>
      <w:r w:rsidR="003A64F0" w:rsidRPr="00500BA3">
        <w:rPr>
          <w:bCs/>
          <w:i/>
          <w:iCs/>
          <w:sz w:val="24"/>
          <w:szCs w:val="22"/>
        </w:rPr>
        <w:t>-</w:t>
      </w:r>
      <w:proofErr w:type="spellStart"/>
      <w:r w:rsidRPr="00500BA3">
        <w:rPr>
          <w:bCs/>
          <w:i/>
          <w:iCs/>
          <w:sz w:val="24"/>
          <w:szCs w:val="22"/>
        </w:rPr>
        <w:t>off</w:t>
      </w:r>
      <w:proofErr w:type="spellEnd"/>
      <w:r w:rsidRPr="00500BA3">
        <w:rPr>
          <w:bCs/>
          <w:i/>
          <w:iCs/>
          <w:sz w:val="24"/>
          <w:szCs w:val="22"/>
        </w:rPr>
        <w:t xml:space="preserve"> </w:t>
      </w:r>
      <w:proofErr w:type="spellStart"/>
      <w:r w:rsidRPr="00500BA3">
        <w:rPr>
          <w:bCs/>
          <w:i/>
          <w:iCs/>
          <w:sz w:val="24"/>
          <w:szCs w:val="22"/>
        </w:rPr>
        <w:t>stock</w:t>
      </w:r>
      <w:proofErr w:type="spellEnd"/>
    </w:p>
    <w:p w14:paraId="4F96616A" w14:textId="5AE36CE2" w:rsidR="005B4325" w:rsidRPr="004D0098" w:rsidRDefault="005B4325" w:rsidP="004D0098">
      <w:pPr>
        <w:pStyle w:val="8"/>
        <w:spacing w:after="120"/>
        <w:rPr>
          <w:szCs w:val="24"/>
        </w:rPr>
      </w:pPr>
      <w:r w:rsidRPr="004D0098">
        <w:rPr>
          <w:szCs w:val="24"/>
        </w:rPr>
        <w:t>Od 1. července 2029 dochází ke zrušení režimu skladu včetně jeho souvisejících pravidel. Režim skladu byl zaveden jako dočasné opatření s cílem zjednodušit administrativní zátěž a zamezit vícenásobným registracím k DPH v členských státech Evropské unie při</w:t>
      </w:r>
      <w:r w:rsidR="00A24A62">
        <w:rPr>
          <w:szCs w:val="24"/>
        </w:rPr>
        <w:t> </w:t>
      </w:r>
      <w:r w:rsidRPr="004D0098">
        <w:rPr>
          <w:szCs w:val="24"/>
        </w:rPr>
        <w:t>přemisťování zboží mezi členskými státy Evropské unie. Protože se zvláštní režim jednoho správního místa, který má za cíl právě omezení vícenásobných registrací k DPH v celé Evropské unii osvědčil, bude od 1.</w:t>
      </w:r>
      <w:r w:rsidR="00E9719E">
        <w:rPr>
          <w:szCs w:val="24"/>
        </w:rPr>
        <w:t> </w:t>
      </w:r>
      <w:r w:rsidRPr="004D0098">
        <w:rPr>
          <w:szCs w:val="24"/>
        </w:rPr>
        <w:t xml:space="preserve">července 2028 </w:t>
      </w:r>
      <w:r w:rsidR="00E9719E" w:rsidRPr="005B2E04">
        <w:rPr>
          <w:szCs w:val="24"/>
        </w:rPr>
        <w:t xml:space="preserve">zaveden </w:t>
      </w:r>
      <w:r w:rsidRPr="004D0098">
        <w:rPr>
          <w:szCs w:val="24"/>
        </w:rPr>
        <w:t>nový zvláštní režim pro</w:t>
      </w:r>
      <w:r w:rsidR="00A24A62">
        <w:rPr>
          <w:szCs w:val="24"/>
        </w:rPr>
        <w:t> </w:t>
      </w:r>
      <w:r w:rsidRPr="004D0098">
        <w:rPr>
          <w:szCs w:val="24"/>
        </w:rPr>
        <w:t xml:space="preserve">přemístění zboží (návrh právní úpravy bude obsahem následující novely zákona o </w:t>
      </w:r>
      <w:r w:rsidR="00E9719E">
        <w:rPr>
          <w:szCs w:val="24"/>
        </w:rPr>
        <w:t>dani z přidané hodnoty</w:t>
      </w:r>
      <w:r w:rsidRPr="004D0098">
        <w:rPr>
          <w:szCs w:val="24"/>
        </w:rPr>
        <w:t>). Z těchto důvodů se</w:t>
      </w:r>
      <w:r w:rsidR="00A24A62">
        <w:rPr>
          <w:szCs w:val="24"/>
        </w:rPr>
        <w:t> </w:t>
      </w:r>
      <w:r w:rsidRPr="004D0098">
        <w:rPr>
          <w:szCs w:val="24"/>
        </w:rPr>
        <w:t>dosavadní režim skladu ruší. Z důvodu návaznosti a</w:t>
      </w:r>
      <w:r w:rsidR="002548D9">
        <w:rPr>
          <w:szCs w:val="24"/>
        </w:rPr>
        <w:t xml:space="preserve"> </w:t>
      </w:r>
      <w:r w:rsidRPr="004D0098">
        <w:rPr>
          <w:szCs w:val="24"/>
        </w:rPr>
        <w:t>možnému přechodu na nový systém bude možné režim skladu využít do</w:t>
      </w:r>
      <w:r w:rsidR="00A24A62">
        <w:rPr>
          <w:szCs w:val="24"/>
        </w:rPr>
        <w:t> </w:t>
      </w:r>
      <w:r w:rsidRPr="004D0098">
        <w:rPr>
          <w:szCs w:val="24"/>
        </w:rPr>
        <w:t>30.</w:t>
      </w:r>
      <w:r w:rsidR="00A24A62">
        <w:rPr>
          <w:szCs w:val="24"/>
        </w:rPr>
        <w:t> </w:t>
      </w:r>
      <w:r w:rsidRPr="004D0098">
        <w:rPr>
          <w:szCs w:val="24"/>
        </w:rPr>
        <w:t>června 2029 pro přemístěn</w:t>
      </w:r>
      <w:r w:rsidR="00226A71">
        <w:rPr>
          <w:szCs w:val="24"/>
        </w:rPr>
        <w:t>í</w:t>
      </w:r>
      <w:r w:rsidRPr="004D0098">
        <w:rPr>
          <w:szCs w:val="24"/>
        </w:rPr>
        <w:t xml:space="preserve"> zboží, u kterého dojde k ukončení odeslání nebo přepravy do</w:t>
      </w:r>
      <w:r w:rsidR="004B09BA">
        <w:rPr>
          <w:szCs w:val="24"/>
        </w:rPr>
        <w:t> </w:t>
      </w:r>
      <w:r w:rsidRPr="004D0098">
        <w:rPr>
          <w:szCs w:val="24"/>
        </w:rPr>
        <w:t>30.</w:t>
      </w:r>
      <w:r w:rsidR="004B09BA">
        <w:rPr>
          <w:szCs w:val="24"/>
        </w:rPr>
        <w:t> </w:t>
      </w:r>
      <w:r w:rsidRPr="004D0098">
        <w:rPr>
          <w:szCs w:val="24"/>
        </w:rPr>
        <w:t>června 2028. Naposledy je možné režim skladu začít využívat dne 30. června 2028. Jeho definitivní ukončení nastane po 12 měsících dnem 30. června 2029, aby dnem následujícím byl nahrazen režimem pro přemístění vlastního zboží. Ke změnám ve fungování režimu skladu do jeho definitivního zrušení nedochází.</w:t>
      </w:r>
    </w:p>
    <w:p w14:paraId="107F05BD" w14:textId="0B1D390D" w:rsidR="2B4E544F" w:rsidRPr="00500BA3" w:rsidRDefault="2B4E544F" w:rsidP="00500BA3">
      <w:pPr>
        <w:pStyle w:val="9"/>
        <w:keepNext/>
        <w:numPr>
          <w:ilvl w:val="0"/>
          <w:numId w:val="15"/>
        </w:numPr>
        <w:jc w:val="both"/>
        <w:outlineLvl w:val="2"/>
        <w:rPr>
          <w:bCs/>
          <w:i/>
          <w:iCs/>
          <w:sz w:val="24"/>
          <w:szCs w:val="22"/>
        </w:rPr>
      </w:pPr>
      <w:r w:rsidRPr="00500BA3">
        <w:rPr>
          <w:bCs/>
          <w:i/>
          <w:iCs/>
          <w:sz w:val="24"/>
          <w:szCs w:val="22"/>
        </w:rPr>
        <w:lastRenderedPageBreak/>
        <w:t>Dodání plynu, elektřiny, tepla a chladu</w:t>
      </w:r>
    </w:p>
    <w:p w14:paraId="054E6295" w14:textId="204AB5C7" w:rsidR="0496E189" w:rsidRDefault="00B1787A" w:rsidP="004D0098">
      <w:pPr>
        <w:pStyle w:val="8"/>
        <w:spacing w:after="120"/>
        <w:rPr>
          <w:szCs w:val="24"/>
        </w:rPr>
      </w:pPr>
      <w:r w:rsidRPr="005B2E04">
        <w:rPr>
          <w:szCs w:val="24"/>
        </w:rPr>
        <w:t xml:space="preserve">S rozvojem přeshraničního dodávání zboží rovněž prostřednictvím soustav a sítí (typicky u dodání elektřiny pro </w:t>
      </w:r>
      <w:proofErr w:type="spellStart"/>
      <w:r w:rsidRPr="005B2E04">
        <w:rPr>
          <w:szCs w:val="24"/>
        </w:rPr>
        <w:t>elektroautomobily</w:t>
      </w:r>
      <w:proofErr w:type="spellEnd"/>
      <w:r w:rsidRPr="005B2E04">
        <w:rPr>
          <w:szCs w:val="24"/>
        </w:rPr>
        <w:t xml:space="preserve"> prostřednictvím dobíjecích sítí) vyvolává </w:t>
      </w:r>
      <w:r w:rsidR="00A529DA">
        <w:rPr>
          <w:szCs w:val="24"/>
        </w:rPr>
        <w:t xml:space="preserve">pravidlo pro stanovení místa plnění (místo spotřeby) </w:t>
      </w:r>
      <w:r w:rsidRPr="005B2E04">
        <w:rPr>
          <w:szCs w:val="24"/>
        </w:rPr>
        <w:t>povinnost registrace prodávajícího v</w:t>
      </w:r>
      <w:r w:rsidR="00A24A62">
        <w:rPr>
          <w:szCs w:val="24"/>
        </w:rPr>
        <w:t> </w:t>
      </w:r>
      <w:r w:rsidRPr="005B2E04">
        <w:rPr>
          <w:szCs w:val="24"/>
        </w:rPr>
        <w:t>každém členském státě, ve</w:t>
      </w:r>
      <w:r w:rsidR="008F5169">
        <w:rPr>
          <w:szCs w:val="24"/>
        </w:rPr>
        <w:t> </w:t>
      </w:r>
      <w:r w:rsidRPr="005B2E04">
        <w:rPr>
          <w:szCs w:val="24"/>
        </w:rPr>
        <w:t>kterém zboží dodá</w:t>
      </w:r>
      <w:r w:rsidR="00A529DA">
        <w:rPr>
          <w:szCs w:val="24"/>
        </w:rPr>
        <w:t>vá</w:t>
      </w:r>
      <w:r w:rsidRPr="005B2E04">
        <w:rPr>
          <w:szCs w:val="24"/>
        </w:rPr>
        <w:t xml:space="preserve">, resp. </w:t>
      </w:r>
      <w:r w:rsidR="00A529DA">
        <w:rPr>
          <w:szCs w:val="24"/>
        </w:rPr>
        <w:t xml:space="preserve">kde je </w:t>
      </w:r>
      <w:r w:rsidRPr="005B2E04">
        <w:rPr>
          <w:szCs w:val="24"/>
        </w:rPr>
        <w:t xml:space="preserve">spotřebováno. </w:t>
      </w:r>
      <w:r w:rsidR="0496E189" w:rsidRPr="004D0098">
        <w:rPr>
          <w:szCs w:val="24"/>
        </w:rPr>
        <w:t>Z důvodu omezení vícenásobných registrací k</w:t>
      </w:r>
      <w:r w:rsidR="00A529DA">
        <w:rPr>
          <w:szCs w:val="24"/>
        </w:rPr>
        <w:t> </w:t>
      </w:r>
      <w:r w:rsidR="0496E189" w:rsidRPr="004D0098">
        <w:rPr>
          <w:szCs w:val="24"/>
        </w:rPr>
        <w:t>DPH v</w:t>
      </w:r>
      <w:r w:rsidR="00A24A62">
        <w:rPr>
          <w:szCs w:val="24"/>
        </w:rPr>
        <w:t> </w:t>
      </w:r>
      <w:r w:rsidR="0496E189" w:rsidRPr="004D0098">
        <w:rPr>
          <w:szCs w:val="24"/>
        </w:rPr>
        <w:t>rámci Evropské unie z přeshraničního dodání plynu, elektřiny, tepla a chladu</w:t>
      </w:r>
      <w:r w:rsidR="512840DD" w:rsidRPr="004D0098">
        <w:rPr>
          <w:szCs w:val="24"/>
        </w:rPr>
        <w:t xml:space="preserve">, se zavádí speciální pravidlo, které umožňuje považovat takové dodání zboží za prodej zboží na dálku. Zavádí se právní fikce, která </w:t>
      </w:r>
      <w:r w:rsidR="3E5CC2FD" w:rsidRPr="004D0098">
        <w:rPr>
          <w:szCs w:val="24"/>
        </w:rPr>
        <w:t>považuje dodání plynu, elektřiny, tepla a chladu osobě, která není obchodníkem, za prodej zboží na dálku.</w:t>
      </w:r>
      <w:r w:rsidR="00A4315D">
        <w:rPr>
          <w:szCs w:val="24"/>
        </w:rPr>
        <w:t xml:space="preserve"> Díky tomu bude možné </w:t>
      </w:r>
      <w:r w:rsidR="3E5CC2FD" w:rsidRPr="004D0098">
        <w:rPr>
          <w:szCs w:val="24"/>
        </w:rPr>
        <w:t>využít i na tento druh dodání zboží zvláštní režim jednoho správního místa.</w:t>
      </w:r>
      <w:r w:rsidR="11EEDC63" w:rsidRPr="004D0098">
        <w:rPr>
          <w:szCs w:val="24"/>
        </w:rPr>
        <w:t xml:space="preserve"> Použitím zvláštního režimu jednoho správního místa režimu Evropské unie dojde k možnosti </w:t>
      </w:r>
      <w:r w:rsidR="00A4315D">
        <w:rPr>
          <w:szCs w:val="24"/>
        </w:rPr>
        <w:t xml:space="preserve">přiznat a </w:t>
      </w:r>
      <w:r w:rsidR="11EEDC63" w:rsidRPr="004D0098">
        <w:rPr>
          <w:szCs w:val="24"/>
        </w:rPr>
        <w:t>odvést DPH pouze prostřednictvím členského státu identifikace (tj. členský stát usazení dodavatele)</w:t>
      </w:r>
      <w:r w:rsidR="03D018E5" w:rsidRPr="004D0098">
        <w:rPr>
          <w:szCs w:val="24"/>
        </w:rPr>
        <w:t xml:space="preserve"> a zabrání vícenásobné registraci v členských státech, ve kterých dodavatel dodá zboží koncovému spotřebiteli. </w:t>
      </w:r>
    </w:p>
    <w:p w14:paraId="4A4A1888" w14:textId="378B3266" w:rsidR="004D0098" w:rsidRPr="004D0098" w:rsidRDefault="00AF06AF" w:rsidP="004D0098">
      <w:pPr>
        <w:pStyle w:val="8"/>
        <w:spacing w:after="120"/>
        <w:rPr>
          <w:szCs w:val="24"/>
        </w:rPr>
      </w:pPr>
      <w:r>
        <w:rPr>
          <w:szCs w:val="24"/>
        </w:rPr>
        <w:t>S ohledem na rozšiřování těchto typů dodání</w:t>
      </w:r>
      <w:r w:rsidR="000B0699">
        <w:rPr>
          <w:szCs w:val="24"/>
        </w:rPr>
        <w:t xml:space="preserve"> mezi jednotlivými členskými státy a s tím související</w:t>
      </w:r>
      <w:r w:rsidR="00266A2D">
        <w:rPr>
          <w:szCs w:val="24"/>
        </w:rPr>
        <w:t xml:space="preserve">m nárůstem registrací je tato </w:t>
      </w:r>
      <w:r w:rsidR="00C853A3">
        <w:rPr>
          <w:szCs w:val="24"/>
        </w:rPr>
        <w:t xml:space="preserve">speciální </w:t>
      </w:r>
      <w:r w:rsidR="00266A2D">
        <w:rPr>
          <w:szCs w:val="24"/>
        </w:rPr>
        <w:t xml:space="preserve">úprava zavedena o rok a půl dříve, než dojde k rozšíření </w:t>
      </w:r>
      <w:r w:rsidR="00C853A3">
        <w:rPr>
          <w:szCs w:val="24"/>
        </w:rPr>
        <w:t>zvláštního režimu jednoho správního místa v režimu Evropské unie.</w:t>
      </w:r>
      <w:r w:rsidR="00417EED">
        <w:rPr>
          <w:szCs w:val="24"/>
        </w:rPr>
        <w:t xml:space="preserve"> </w:t>
      </w:r>
      <w:r w:rsidR="004D0098">
        <w:rPr>
          <w:szCs w:val="24"/>
        </w:rPr>
        <w:t>Od 1.</w:t>
      </w:r>
      <w:r w:rsidR="00417EED">
        <w:rPr>
          <w:szCs w:val="24"/>
        </w:rPr>
        <w:t> </w:t>
      </w:r>
      <w:r w:rsidR="004D0098">
        <w:rPr>
          <w:szCs w:val="24"/>
        </w:rPr>
        <w:t>července 2028 (v následující novele zákona o dani z přidané hodnoty) bude dodání plynu, elektřiny, tepla a</w:t>
      </w:r>
      <w:r w:rsidR="00ED4BA3">
        <w:rPr>
          <w:szCs w:val="24"/>
        </w:rPr>
        <w:t> </w:t>
      </w:r>
      <w:r w:rsidR="004D0098">
        <w:rPr>
          <w:szCs w:val="24"/>
        </w:rPr>
        <w:t xml:space="preserve">chladu přímo </w:t>
      </w:r>
      <w:r w:rsidR="0048067C">
        <w:rPr>
          <w:szCs w:val="24"/>
        </w:rPr>
        <w:t xml:space="preserve">součástí rozsahu </w:t>
      </w:r>
      <w:r w:rsidR="004D0098">
        <w:rPr>
          <w:szCs w:val="24"/>
        </w:rPr>
        <w:t>zvláštní</w:t>
      </w:r>
      <w:r w:rsidR="0048067C">
        <w:rPr>
          <w:szCs w:val="24"/>
        </w:rPr>
        <w:t>ho</w:t>
      </w:r>
      <w:r w:rsidR="004D0098">
        <w:rPr>
          <w:szCs w:val="24"/>
        </w:rPr>
        <w:t xml:space="preserve"> režim</w:t>
      </w:r>
      <w:r w:rsidR="0048067C">
        <w:rPr>
          <w:szCs w:val="24"/>
        </w:rPr>
        <w:t>u</w:t>
      </w:r>
      <w:r w:rsidR="004D0098">
        <w:rPr>
          <w:szCs w:val="24"/>
        </w:rPr>
        <w:t xml:space="preserve"> jednoho správního místa v režimu Evropské unie a tato právní fikce </w:t>
      </w:r>
      <w:r w:rsidR="0048067C">
        <w:rPr>
          <w:szCs w:val="24"/>
        </w:rPr>
        <w:t>bude moct být zrušena</w:t>
      </w:r>
      <w:r w:rsidR="004D0098">
        <w:rPr>
          <w:szCs w:val="24"/>
        </w:rPr>
        <w:t>. Přímé vložení tohoto dodání do zvláštního režimu nebylo od 1. ledna 2027 možné, neboť jsou vyžadovány technické úpravy IT systémů.</w:t>
      </w:r>
    </w:p>
    <w:p w14:paraId="45EBB576" w14:textId="1FDBE3E3" w:rsidR="0C321680" w:rsidRPr="00500BA3" w:rsidRDefault="0C321680" w:rsidP="00500BA3">
      <w:pPr>
        <w:pStyle w:val="9"/>
        <w:keepNext/>
        <w:numPr>
          <w:ilvl w:val="0"/>
          <w:numId w:val="15"/>
        </w:numPr>
        <w:jc w:val="both"/>
        <w:outlineLvl w:val="2"/>
        <w:rPr>
          <w:bCs/>
          <w:i/>
          <w:iCs/>
          <w:sz w:val="24"/>
          <w:szCs w:val="22"/>
        </w:rPr>
      </w:pPr>
      <w:r w:rsidRPr="00500BA3">
        <w:rPr>
          <w:bCs/>
          <w:i/>
          <w:iCs/>
          <w:sz w:val="24"/>
          <w:szCs w:val="22"/>
        </w:rPr>
        <w:t>Vrácení daně vybraným evropským orgánům</w:t>
      </w:r>
      <w:r w:rsidR="00D60FAB" w:rsidRPr="00500BA3">
        <w:rPr>
          <w:bCs/>
          <w:i/>
          <w:iCs/>
          <w:sz w:val="24"/>
          <w:szCs w:val="22"/>
        </w:rPr>
        <w:t xml:space="preserve"> v souvislosti s pandemií COVID-19</w:t>
      </w:r>
    </w:p>
    <w:p w14:paraId="20D7B27C" w14:textId="5B7531D0" w:rsidR="0C321680" w:rsidRDefault="00A42EFC">
      <w:pPr>
        <w:pStyle w:val="8"/>
        <w:spacing w:after="120"/>
        <w:rPr>
          <w:szCs w:val="24"/>
        </w:rPr>
      </w:pPr>
      <w:r>
        <w:rPr>
          <w:szCs w:val="24"/>
        </w:rPr>
        <w:t>Vzhledem k mimořádnosti situace, která vznikla v důsledku pandemie COVID-19</w:t>
      </w:r>
      <w:r w:rsidR="00802CF9">
        <w:rPr>
          <w:szCs w:val="24"/>
        </w:rPr>
        <w:t>, se n</w:t>
      </w:r>
      <w:r w:rsidR="0C321680" w:rsidRPr="00057A81">
        <w:rPr>
          <w:szCs w:val="24"/>
        </w:rPr>
        <w:t xml:space="preserve">avrhuje </w:t>
      </w:r>
      <w:r w:rsidR="00802CF9">
        <w:rPr>
          <w:szCs w:val="24"/>
        </w:rPr>
        <w:t xml:space="preserve">umožnit vrátit daň </w:t>
      </w:r>
      <w:r w:rsidR="0C321680" w:rsidRPr="00057A81">
        <w:rPr>
          <w:szCs w:val="24"/>
        </w:rPr>
        <w:t>příjemc</w:t>
      </w:r>
      <w:r w:rsidR="00802CF9">
        <w:rPr>
          <w:szCs w:val="24"/>
        </w:rPr>
        <w:t>ům</w:t>
      </w:r>
      <w:r w:rsidR="009776BA">
        <w:rPr>
          <w:szCs w:val="24"/>
        </w:rPr>
        <w:t xml:space="preserve"> (</w:t>
      </w:r>
      <w:r w:rsidR="009776BA" w:rsidRPr="005B2E04">
        <w:rPr>
          <w:szCs w:val="24"/>
        </w:rPr>
        <w:t>agentura nebo subjekt, které byly založeny podle práva Evropské unie, nebo Evropská komise</w:t>
      </w:r>
      <w:r w:rsidR="009776BA">
        <w:rPr>
          <w:szCs w:val="24"/>
        </w:rPr>
        <w:t>)</w:t>
      </w:r>
      <w:r w:rsidR="00802CF9">
        <w:rPr>
          <w:szCs w:val="24"/>
        </w:rPr>
        <w:t xml:space="preserve">, kteří </w:t>
      </w:r>
      <w:r w:rsidR="009776BA">
        <w:rPr>
          <w:szCs w:val="24"/>
        </w:rPr>
        <w:t xml:space="preserve">darovali zboží či poskytli služby v důsledku pandemie COVID-19, </w:t>
      </w:r>
      <w:r w:rsidR="00802CF9">
        <w:rPr>
          <w:szCs w:val="24"/>
        </w:rPr>
        <w:t xml:space="preserve">měli nárok na osvobození od DPH podle § 68 odst. 17 </w:t>
      </w:r>
      <w:r w:rsidR="00CE5DA0">
        <w:rPr>
          <w:szCs w:val="24"/>
        </w:rPr>
        <w:t xml:space="preserve">zákona o dani z přidané hodnoty, avšak toto osvobození nemohli aplikovat. </w:t>
      </w:r>
      <w:r w:rsidR="00D632E1">
        <w:rPr>
          <w:szCs w:val="24"/>
        </w:rPr>
        <w:t xml:space="preserve">Namísto osvobození se tak navrhuje </w:t>
      </w:r>
      <w:r w:rsidR="009776BA">
        <w:rPr>
          <w:szCs w:val="24"/>
        </w:rPr>
        <w:t xml:space="preserve">mimořádné </w:t>
      </w:r>
      <w:r w:rsidR="00D632E1">
        <w:rPr>
          <w:szCs w:val="24"/>
        </w:rPr>
        <w:t xml:space="preserve">přímé vracení </w:t>
      </w:r>
      <w:r w:rsidR="009776BA">
        <w:rPr>
          <w:szCs w:val="24"/>
        </w:rPr>
        <w:t xml:space="preserve">DPH </w:t>
      </w:r>
      <w:r w:rsidR="00D632E1">
        <w:rPr>
          <w:szCs w:val="24"/>
        </w:rPr>
        <w:t xml:space="preserve">za již uskutečněná plnění, </w:t>
      </w:r>
      <w:r w:rsidR="006A2F5A">
        <w:rPr>
          <w:szCs w:val="24"/>
        </w:rPr>
        <w:t xml:space="preserve">u kterých osvobození aplikováno nebylo a ani dodatečně nebude. </w:t>
      </w:r>
      <w:r w:rsidR="00D60FAB">
        <w:rPr>
          <w:szCs w:val="24"/>
        </w:rPr>
        <w:t>S ohledem na předmětnou problematiku a vztah k pandemii COVID-19 se jedná o</w:t>
      </w:r>
      <w:r w:rsidR="00A24A62">
        <w:rPr>
          <w:szCs w:val="24"/>
        </w:rPr>
        <w:t> </w:t>
      </w:r>
      <w:r w:rsidR="00D60FAB">
        <w:rPr>
          <w:szCs w:val="24"/>
        </w:rPr>
        <w:t>jednorázové opatření.</w:t>
      </w:r>
      <w:r w:rsidR="0C321680" w:rsidRPr="00057A81">
        <w:rPr>
          <w:szCs w:val="24"/>
        </w:rPr>
        <w:t xml:space="preserve"> </w:t>
      </w:r>
    </w:p>
    <w:p w14:paraId="1EDA0F1F" w14:textId="4FE06C4B" w:rsidR="000075A1" w:rsidRPr="00500BA3" w:rsidRDefault="006D21CB" w:rsidP="00500BA3">
      <w:pPr>
        <w:pStyle w:val="9"/>
        <w:keepNext/>
        <w:numPr>
          <w:ilvl w:val="0"/>
          <w:numId w:val="15"/>
        </w:numPr>
        <w:jc w:val="both"/>
        <w:outlineLvl w:val="2"/>
        <w:rPr>
          <w:bCs/>
          <w:i/>
          <w:iCs/>
          <w:sz w:val="24"/>
          <w:szCs w:val="22"/>
        </w:rPr>
      </w:pPr>
      <w:r w:rsidRPr="00500BA3">
        <w:rPr>
          <w:bCs/>
          <w:i/>
          <w:iCs/>
          <w:sz w:val="24"/>
          <w:szCs w:val="22"/>
        </w:rPr>
        <w:t>Potvrzení o o</w:t>
      </w:r>
      <w:r w:rsidR="001416CB" w:rsidRPr="00500BA3">
        <w:rPr>
          <w:bCs/>
          <w:i/>
          <w:iCs/>
          <w:sz w:val="24"/>
          <w:szCs w:val="22"/>
        </w:rPr>
        <w:t>svobození od DPH při dovozu a dodávkách obranných produktů pod nařízením SAFE</w:t>
      </w:r>
    </w:p>
    <w:p w14:paraId="2E82E810" w14:textId="1A115305" w:rsidR="000075A1" w:rsidRDefault="003B79FF" w:rsidP="000075A1">
      <w:pPr>
        <w:pStyle w:val="8"/>
        <w:spacing w:after="120"/>
        <w:rPr>
          <w:szCs w:val="24"/>
        </w:rPr>
      </w:pPr>
      <w:r>
        <w:rPr>
          <w:szCs w:val="24"/>
        </w:rPr>
        <w:t xml:space="preserve">V rámci návrhu zákona dochází ke stanovení </w:t>
      </w:r>
      <w:r w:rsidRPr="003B79FF">
        <w:rPr>
          <w:szCs w:val="24"/>
        </w:rPr>
        <w:t>orgán</w:t>
      </w:r>
      <w:r>
        <w:rPr>
          <w:szCs w:val="24"/>
        </w:rPr>
        <w:t>u</w:t>
      </w:r>
      <w:r w:rsidRPr="003B79FF">
        <w:rPr>
          <w:szCs w:val="24"/>
        </w:rPr>
        <w:t xml:space="preserve"> členského státu</w:t>
      </w:r>
      <w:r>
        <w:rPr>
          <w:szCs w:val="24"/>
        </w:rPr>
        <w:t xml:space="preserve"> </w:t>
      </w:r>
      <w:r w:rsidR="006D21CB" w:rsidRPr="003B79FF">
        <w:rPr>
          <w:szCs w:val="24"/>
        </w:rPr>
        <w:t>příslušné</w:t>
      </w:r>
      <w:r w:rsidR="006D21CB">
        <w:rPr>
          <w:szCs w:val="24"/>
        </w:rPr>
        <w:t>ho</w:t>
      </w:r>
      <w:r w:rsidR="006D21CB" w:rsidRPr="003B79FF">
        <w:rPr>
          <w:szCs w:val="24"/>
        </w:rPr>
        <w:t xml:space="preserve"> </w:t>
      </w:r>
      <w:r w:rsidR="004F060B">
        <w:rPr>
          <w:szCs w:val="24"/>
        </w:rPr>
        <w:t xml:space="preserve">potvrdit </w:t>
      </w:r>
      <w:r w:rsidR="00A70970">
        <w:rPr>
          <w:szCs w:val="24"/>
        </w:rPr>
        <w:t xml:space="preserve">osvědčení o osvobození </w:t>
      </w:r>
      <w:r w:rsidR="00A70970" w:rsidRPr="00A70970">
        <w:rPr>
          <w:szCs w:val="24"/>
        </w:rPr>
        <w:t xml:space="preserve">od DPH při dovozu </w:t>
      </w:r>
      <w:r w:rsidR="00A70970" w:rsidRPr="006D21CB">
        <w:t>a</w:t>
      </w:r>
      <w:r w:rsidR="006D21CB">
        <w:t> </w:t>
      </w:r>
      <w:r w:rsidR="00A70970" w:rsidRPr="006D21CB">
        <w:t>dodávkách</w:t>
      </w:r>
      <w:r w:rsidR="00A70970" w:rsidRPr="00A70970">
        <w:rPr>
          <w:szCs w:val="24"/>
        </w:rPr>
        <w:t xml:space="preserve"> obranných produktů</w:t>
      </w:r>
      <w:r w:rsidR="00AD026B">
        <w:rPr>
          <w:szCs w:val="24"/>
        </w:rPr>
        <w:t xml:space="preserve">. </w:t>
      </w:r>
      <w:r w:rsidR="006D21CB">
        <w:rPr>
          <w:szCs w:val="24"/>
        </w:rPr>
        <w:t xml:space="preserve">Obdobně jako je tomu v případě </w:t>
      </w:r>
      <w:r w:rsidR="00AD7BD0">
        <w:rPr>
          <w:szCs w:val="24"/>
        </w:rPr>
        <w:t xml:space="preserve">osvobození u ozbrojených sil </w:t>
      </w:r>
      <w:r w:rsidR="002654E1">
        <w:rPr>
          <w:szCs w:val="24"/>
        </w:rPr>
        <w:t xml:space="preserve">(viz § 68 odst. 11 písm. a) zákona o dani z přidané hodnoty) i toto osvědčení bude potvrzovat Ministerstvo obrany. </w:t>
      </w:r>
    </w:p>
    <w:p w14:paraId="790131F7" w14:textId="15A81883" w:rsidR="004D0098" w:rsidRPr="00B00953" w:rsidRDefault="004D0098" w:rsidP="004D0098">
      <w:pPr>
        <w:pStyle w:val="8"/>
        <w:spacing w:before="240" w:after="120"/>
        <w:rPr>
          <w:szCs w:val="24"/>
        </w:rPr>
      </w:pPr>
      <w:r>
        <w:t xml:space="preserve">Navrhovaná </w:t>
      </w:r>
      <w:r w:rsidRPr="005B2E04">
        <w:t xml:space="preserve">právní úprava v oblasti daně z přidané hodnoty není v rozporu se zásadou zákazu diskriminace. Z hlediska požadavků na zajištění rovnosti mužů a žen ji lze považovat za neutrální. </w:t>
      </w:r>
    </w:p>
    <w:p w14:paraId="0229528F" w14:textId="53A6B413" w:rsidR="00EA3329" w:rsidRPr="000D2E36" w:rsidRDefault="00EA3329" w:rsidP="0006612C">
      <w:pPr>
        <w:pStyle w:val="6"/>
        <w:keepNext/>
        <w:jc w:val="both"/>
        <w:outlineLvl w:val="1"/>
      </w:pPr>
      <w:r w:rsidRPr="000D2E36">
        <w:t>3.   Zhodnocení souladu návrhu právního předpisu s ústavním pořádkem a</w:t>
      </w:r>
      <w:r w:rsidR="00F67CD2" w:rsidRPr="000D2E36">
        <w:t> </w:t>
      </w:r>
      <w:r w:rsidRPr="000D2E36">
        <w:t>ostatními součástmi právního řádu České republiky</w:t>
      </w:r>
    </w:p>
    <w:p w14:paraId="067C67C3" w14:textId="77777777" w:rsidR="00417C7E" w:rsidRPr="00417C7E" w:rsidRDefault="00417C7E" w:rsidP="00417C7E">
      <w:pPr>
        <w:pStyle w:val="8"/>
      </w:pPr>
      <w:r w:rsidRPr="00417C7E">
        <w:t>Základní meze pro uplatňování právních předpisů stanoví Ústava České republiky (dále jen „Ústava“) a Listina základních práv a svobod (dále jen „Listina“).</w:t>
      </w:r>
    </w:p>
    <w:p w14:paraId="6DA56925" w14:textId="77777777" w:rsidR="00417C7E" w:rsidRPr="00417C7E" w:rsidRDefault="00417C7E" w:rsidP="00417C7E">
      <w:pPr>
        <w:pStyle w:val="8"/>
      </w:pPr>
      <w:r w:rsidRPr="00417C7E">
        <w:lastRenderedPageBreak/>
        <w:t>Návrh je v souladu s čl. 2 odst. 3 Ústavy, podle něhož slouží státní moc všem občanům a lze ji uplatňovat jen v případech, v mezích a způsoby, které stanoví zákon.</w:t>
      </w:r>
    </w:p>
    <w:p w14:paraId="7DBFB151" w14:textId="77777777" w:rsidR="00417C7E" w:rsidRPr="00417C7E" w:rsidRDefault="00417C7E" w:rsidP="00417C7E">
      <w:pPr>
        <w:pStyle w:val="8"/>
      </w:pPr>
      <w:r w:rsidRPr="00417C7E">
        <w:t>Navrhovaná právní úprava je rovněž v souladu s příslušnými ustanoveními Listiny. Podle čl. 2 odst. 2 Listiny lze státní moc uplatňovat jen v případech a v mezích stanovených zákonem, a to způsobem, který zákon stanoví. Povinnosti mohou být také ukládány toliko na základě zákona a v jeho mezích a jen při zachování základních práv a svobod (čl. 4 odst. 1 Listiny). K tomu se v daňové oblasti uplatní ještě ustanovení čl. 11 odst. 5, které stanovuje, že daně a poplatky lze ukládat jen na základě zákona.</w:t>
      </w:r>
    </w:p>
    <w:p w14:paraId="3E025A73" w14:textId="77777777" w:rsidR="00417C7E" w:rsidRPr="00417C7E" w:rsidRDefault="00417C7E" w:rsidP="00417C7E">
      <w:pPr>
        <w:pStyle w:val="8"/>
      </w:pPr>
      <w:r w:rsidRPr="00417C7E">
        <w:t xml:space="preserve">Přezkumu ústavnosti zákonné úpravy daní, poplatků nebo jiných obdobných peněžitých plnění se Ústavní soud věnoval již mnohokrát, např. v nálezech </w:t>
      </w:r>
      <w:proofErr w:type="spellStart"/>
      <w:r w:rsidRPr="00417C7E">
        <w:t>sp</w:t>
      </w:r>
      <w:proofErr w:type="spellEnd"/>
      <w:r w:rsidRPr="00417C7E">
        <w:t xml:space="preserve">. zn. </w:t>
      </w:r>
      <w:proofErr w:type="spellStart"/>
      <w:r w:rsidRPr="00417C7E">
        <w:t>Pl</w:t>
      </w:r>
      <w:proofErr w:type="spellEnd"/>
      <w:r w:rsidRPr="00417C7E">
        <w:t xml:space="preserve">. ÚS 3/02, </w:t>
      </w:r>
      <w:proofErr w:type="spellStart"/>
      <w:r w:rsidRPr="00417C7E">
        <w:t>Pl</w:t>
      </w:r>
      <w:proofErr w:type="spellEnd"/>
      <w:r w:rsidRPr="00417C7E">
        <w:t xml:space="preserve">. ÚS 12/03 či </w:t>
      </w:r>
      <w:proofErr w:type="spellStart"/>
      <w:r w:rsidRPr="00417C7E">
        <w:t>Pl</w:t>
      </w:r>
      <w:proofErr w:type="spellEnd"/>
      <w:r w:rsidRPr="00417C7E">
        <w:t xml:space="preserve">. ÚS 7/03 (vyhlášeném pod č. 512/2004 Sb.). </w:t>
      </w:r>
    </w:p>
    <w:p w14:paraId="7B54C883" w14:textId="77777777" w:rsidR="00417C7E" w:rsidRPr="00417C7E" w:rsidRDefault="00417C7E" w:rsidP="00417C7E">
      <w:pPr>
        <w:pStyle w:val="8"/>
      </w:pPr>
      <w:r w:rsidRPr="00417C7E">
        <w:t>Z této judikatury vyplývá, že:</w:t>
      </w:r>
    </w:p>
    <w:p w14:paraId="7E9D4884" w14:textId="77777777" w:rsidR="00417C7E" w:rsidRPr="00E03483" w:rsidRDefault="00417C7E" w:rsidP="00417C7E">
      <w:pPr>
        <w:pStyle w:val="Default"/>
        <w:numPr>
          <w:ilvl w:val="0"/>
          <w:numId w:val="6"/>
        </w:numPr>
        <w:spacing w:after="120"/>
        <w:ind w:left="714" w:hanging="357"/>
        <w:contextualSpacing/>
        <w:jc w:val="both"/>
        <w:rPr>
          <w:color w:val="auto"/>
        </w:rPr>
      </w:pPr>
      <w:r w:rsidRPr="00E03483">
        <w:rPr>
          <w:color w:val="auto"/>
        </w:rPr>
        <w:t>Z </w:t>
      </w:r>
      <w:r w:rsidRPr="00E03483">
        <w:rPr>
          <w:rFonts w:eastAsia="Calibri"/>
          <w:color w:val="auto"/>
          <w:szCs w:val="23"/>
          <w:lang w:eastAsia="en-US"/>
        </w:rPr>
        <w:t>ústavního</w:t>
      </w:r>
      <w:r w:rsidRPr="00E03483">
        <w:rPr>
          <w:color w:val="auto"/>
        </w:rPr>
        <w:t xml:space="preserve"> principu dělby moci (čl. 2 odst. 1 Ústavy), jakož i z ústavního vymezení zákonodárné moci (čl. 15 odst. 1 Ústavy), plyne pro zákonodárce široký prostor pro rozhodování o předmětu, míře a rozsahu daní, poplatků a peněžitých sankcí. Zákonodárce přitom nese za důsledky tohoto rozhodování politickou odpovědnost.</w:t>
      </w:r>
    </w:p>
    <w:p w14:paraId="72F3E4C3" w14:textId="1D9622FF" w:rsidR="00417C7E" w:rsidRPr="00E03483" w:rsidRDefault="00417C7E" w:rsidP="00417C7E">
      <w:pPr>
        <w:pStyle w:val="Default"/>
        <w:numPr>
          <w:ilvl w:val="0"/>
          <w:numId w:val="6"/>
        </w:numPr>
        <w:spacing w:after="120"/>
        <w:ind w:left="714" w:hanging="357"/>
        <w:contextualSpacing/>
        <w:jc w:val="both"/>
        <w:rPr>
          <w:rFonts w:eastAsia="Calibri"/>
          <w:color w:val="auto"/>
          <w:szCs w:val="23"/>
          <w:lang w:eastAsia="en-US"/>
        </w:rPr>
      </w:pPr>
      <w:r w:rsidRPr="00E03483">
        <w:rPr>
          <w:rFonts w:eastAsia="Calibri"/>
          <w:color w:val="auto"/>
          <w:szCs w:val="23"/>
          <w:lang w:eastAsia="en-US"/>
        </w:rPr>
        <w:t>Jakkoli je daň, poplatek, příp. peněžitá sankce veřejnoprávním povinným peněžitým plněním státu, a tedy zásahem do majetkového substrátu, a tudíž i vlastnického práva povinného subjektu, bez naplnění dalších podmínek nepředstavuje dotčení v ústavním pořádkem chráněné vlastnické pozici (čl. 11 Listiny, čl. 1 Dodatkového protokolu č. 1 k Úmluvě o ochraně lidských práv a základních svobod).</w:t>
      </w:r>
    </w:p>
    <w:p w14:paraId="119C13F0" w14:textId="77777777" w:rsidR="00417C7E" w:rsidRPr="00E03483" w:rsidRDefault="00417C7E" w:rsidP="00417C7E">
      <w:pPr>
        <w:pStyle w:val="Default"/>
        <w:numPr>
          <w:ilvl w:val="0"/>
          <w:numId w:val="6"/>
        </w:numPr>
        <w:spacing w:after="120"/>
        <w:ind w:left="714" w:hanging="357"/>
        <w:contextualSpacing/>
        <w:jc w:val="both"/>
        <w:rPr>
          <w:rFonts w:eastAsia="Calibri"/>
          <w:color w:val="auto"/>
          <w:szCs w:val="23"/>
          <w:lang w:eastAsia="en-US"/>
        </w:rPr>
      </w:pPr>
      <w:r w:rsidRPr="00E03483">
        <w:rPr>
          <w:rFonts w:eastAsia="Calibri"/>
          <w:color w:val="auto"/>
          <w:szCs w:val="23"/>
          <w:lang w:eastAsia="en-US"/>
        </w:rPr>
        <w:t xml:space="preserve">Ústavní přezkum daní, poplatků a peněžitých sankcí zahrnuje posouzení z pohledu dodržení kautel plynoucích z ústavního principu rovnosti, a to jak neakcesorické (čl. 1 Listiny), tj. plynoucí z požadavku vyloučení svévole při odlišování subjektů a práv, tak i akcesorické v rozsahu vymezeném v čl. 3 odst. 1 Listiny. K principu rovnosti Ústavní soud ve své konstantní judikatuře uvádí, že se nejedná o kategorii absolutní, nýbrž relativní (srov. </w:t>
      </w:r>
      <w:proofErr w:type="spellStart"/>
      <w:r w:rsidRPr="00E03483">
        <w:rPr>
          <w:rFonts w:eastAsia="Calibri"/>
          <w:color w:val="auto"/>
          <w:szCs w:val="23"/>
          <w:lang w:eastAsia="en-US"/>
        </w:rPr>
        <w:t>Pl</w:t>
      </w:r>
      <w:proofErr w:type="spellEnd"/>
      <w:r w:rsidRPr="00E03483">
        <w:rPr>
          <w:rFonts w:eastAsia="Calibri"/>
          <w:color w:val="auto"/>
          <w:szCs w:val="23"/>
          <w:lang w:eastAsia="en-US"/>
        </w:rPr>
        <w:t>. ÚS 22/92).</w:t>
      </w:r>
    </w:p>
    <w:p w14:paraId="2BB5A4D9" w14:textId="77777777" w:rsidR="00417C7E" w:rsidRPr="00E03483" w:rsidRDefault="00417C7E" w:rsidP="00417C7E">
      <w:pPr>
        <w:pStyle w:val="Default"/>
        <w:numPr>
          <w:ilvl w:val="0"/>
          <w:numId w:val="6"/>
        </w:numPr>
        <w:spacing w:after="120"/>
        <w:ind w:left="714" w:hanging="357"/>
        <w:contextualSpacing/>
        <w:jc w:val="both"/>
        <w:rPr>
          <w:rFonts w:eastAsia="Calibri"/>
          <w:color w:val="auto"/>
          <w:szCs w:val="23"/>
          <w:lang w:eastAsia="en-US"/>
        </w:rPr>
      </w:pPr>
      <w:r w:rsidRPr="00E03483">
        <w:rPr>
          <w:rFonts w:eastAsia="Calibri"/>
          <w:color w:val="auto"/>
          <w:szCs w:val="23"/>
          <w:lang w:eastAsia="en-US"/>
        </w:rPr>
        <w:t>Je-li předmětem posouzení ústavnost akcesorické nerovnosti vzhledem k vyloučení majetkové diskriminace, případně toliko posouzení skutečnosti nepředstavuje-li daň, poplatek nebo jiná peněžitá sankce případný zásah do práva vlastnického (čl. 11 Listiny), je takový přezkum omezen na případy, v nichž hranice veřejnoprávního povinného peněžitého plnění jednotlivce státu, vůči majetkovému substrátu jednotlivce, nabývá škrtícího (rdousícího) působení. Jinými slovy ke škrtícímu (rdousícímu) působení dochází, má-li posuzovaná daň, poplatek nebo peněžitá sankce ve svých důsledcích konfiskační dopady ve vztahu k majetkové podstatě jednotlivce.</w:t>
      </w:r>
    </w:p>
    <w:p w14:paraId="7281D752" w14:textId="77777777" w:rsidR="00417C7E" w:rsidRDefault="00417C7E" w:rsidP="00417C7E">
      <w:pPr>
        <w:pStyle w:val="8"/>
      </w:pPr>
      <w:r w:rsidRPr="00417C7E">
        <w:t xml:space="preserve">Nad rámec výše uvedeného Ústavní soud zejména v novější judikatuře v určitých případech v daňové oblasti provádí test proporcionality (např. při zásahu do práva na ochranu soukromí), nebo test racionality (např. při zásahu do práva na podnikání). </w:t>
      </w:r>
    </w:p>
    <w:p w14:paraId="2A2D74D7" w14:textId="70DE5424" w:rsidR="00AB41F5" w:rsidRPr="00417C7E" w:rsidRDefault="00AB41F5" w:rsidP="00417C7E">
      <w:pPr>
        <w:pStyle w:val="8"/>
      </w:pPr>
      <w:r w:rsidRPr="00AB41F5">
        <w:t>Navrhovaná právní úprava je z výše uvedených hledisek plně v souladu s ústavním pořádkem České republiky, a to i s judikaturou Ústavního soudu, vztahující se k této problematice.</w:t>
      </w:r>
    </w:p>
    <w:p w14:paraId="54B7211C" w14:textId="7CEB1DF9" w:rsidR="00EA3329" w:rsidRPr="00151032" w:rsidRDefault="00EA3329" w:rsidP="003B7758">
      <w:pPr>
        <w:pStyle w:val="6"/>
        <w:keepNext/>
        <w:keepLines/>
        <w:jc w:val="both"/>
        <w:outlineLvl w:val="1"/>
      </w:pPr>
      <w:r w:rsidRPr="00151032">
        <w:lastRenderedPageBreak/>
        <w:t>4.   Zhodnocení souladu návrhu právního předpisu se závazky vyplývajícími pro Českou republiku z jejího členství v Evropské unii</w:t>
      </w:r>
    </w:p>
    <w:p w14:paraId="15B5FA57" w14:textId="77777777" w:rsidR="00855623" w:rsidRPr="00855623" w:rsidRDefault="00855623" w:rsidP="00D304C9">
      <w:pPr>
        <w:autoSpaceDE w:val="0"/>
        <w:autoSpaceDN w:val="0"/>
        <w:adjustRightInd w:val="0"/>
        <w:spacing w:after="120" w:line="240" w:lineRule="auto"/>
        <w:jc w:val="both"/>
        <w:rPr>
          <w:rFonts w:ascii="Times New Roman" w:eastAsia="Calibri" w:hAnsi="Times New Roman" w:cs="Times New Roman"/>
          <w:szCs w:val="20"/>
        </w:rPr>
      </w:pPr>
      <w:r w:rsidRPr="00855623">
        <w:rPr>
          <w:rFonts w:ascii="Times New Roman" w:eastAsia="Times New Roman" w:hAnsi="Times New Roman" w:cs="Times New Roman"/>
          <w:szCs w:val="20"/>
          <w:lang w:eastAsia="cs-CZ"/>
        </w:rPr>
        <w:t xml:space="preserve">Navrhovaná právní úprava v oblasti daně z přidané hodnoty je plně slučitelná s právem Evropské unie a ustanovení navrhované právní úpravy nezakládají rozpor s primárním právem Evropské unie ve světle ustálené </w:t>
      </w:r>
      <w:r w:rsidRPr="00855623">
        <w:rPr>
          <w:rFonts w:ascii="Times New Roman" w:eastAsia="Calibri" w:hAnsi="Times New Roman" w:cs="Times New Roman"/>
          <w:szCs w:val="20"/>
        </w:rPr>
        <w:t>judikatury Soudního dvora Evropské unie.</w:t>
      </w:r>
    </w:p>
    <w:p w14:paraId="0151A185" w14:textId="79FCD0E1" w:rsidR="00855623" w:rsidRPr="00855623" w:rsidRDefault="00855623" w:rsidP="00D304C9">
      <w:pPr>
        <w:autoSpaceDE w:val="0"/>
        <w:autoSpaceDN w:val="0"/>
        <w:adjustRightInd w:val="0"/>
        <w:spacing w:after="120" w:line="240" w:lineRule="auto"/>
        <w:jc w:val="both"/>
        <w:rPr>
          <w:rFonts w:ascii="Times New Roman" w:eastAsia="Times New Roman" w:hAnsi="Times New Roman" w:cs="Times New Roman"/>
          <w:szCs w:val="20"/>
          <w:lang w:eastAsia="cs-CZ"/>
        </w:rPr>
      </w:pPr>
      <w:r w:rsidRPr="00855623">
        <w:rPr>
          <w:rFonts w:ascii="Times New Roman" w:eastAsia="Calibri" w:hAnsi="Times New Roman" w:cs="Times New Roman"/>
          <w:szCs w:val="20"/>
        </w:rPr>
        <w:t>Předkládaný návrh zákona zapracovává</w:t>
      </w:r>
      <w:r w:rsidRPr="00855623">
        <w:rPr>
          <w:rFonts w:ascii="Times New Roman" w:eastAsia="Times New Roman" w:hAnsi="Times New Roman" w:cs="Times New Roman"/>
          <w:szCs w:val="20"/>
          <w:lang w:eastAsia="cs-CZ"/>
        </w:rPr>
        <w:t xml:space="preserve"> do zákona o dani z přidané hodnoty následující směrnic</w:t>
      </w:r>
      <w:r w:rsidR="00F7130A">
        <w:rPr>
          <w:rFonts w:ascii="Times New Roman" w:eastAsia="Times New Roman" w:hAnsi="Times New Roman" w:cs="Times New Roman"/>
          <w:szCs w:val="20"/>
          <w:lang w:eastAsia="cs-CZ"/>
        </w:rPr>
        <w:t>i</w:t>
      </w:r>
      <w:r w:rsidRPr="00855623">
        <w:rPr>
          <w:rFonts w:ascii="Times New Roman" w:eastAsia="Times New Roman" w:hAnsi="Times New Roman" w:cs="Times New Roman"/>
          <w:szCs w:val="20"/>
          <w:lang w:eastAsia="cs-CZ"/>
        </w:rPr>
        <w:t xml:space="preserve"> Rady, kterou se mění směrnice o dani z přidané hodnoty s </w:t>
      </w:r>
      <w:r w:rsidR="005C6B1E">
        <w:rPr>
          <w:rFonts w:ascii="Times New Roman" w:eastAsia="Times New Roman" w:hAnsi="Times New Roman" w:cs="Times New Roman"/>
          <w:szCs w:val="20"/>
          <w:lang w:eastAsia="cs-CZ"/>
        </w:rPr>
        <w:t>aplikovatelností</w:t>
      </w:r>
      <w:r w:rsidRPr="00855623">
        <w:rPr>
          <w:rFonts w:ascii="Times New Roman" w:eastAsia="Times New Roman" w:hAnsi="Times New Roman" w:cs="Times New Roman"/>
          <w:szCs w:val="20"/>
          <w:lang w:eastAsia="cs-CZ"/>
        </w:rPr>
        <w:t xml:space="preserve"> od 1. ledna 202</w:t>
      </w:r>
      <w:r w:rsidR="005C6B1E">
        <w:rPr>
          <w:rFonts w:ascii="Times New Roman" w:eastAsia="Times New Roman" w:hAnsi="Times New Roman" w:cs="Times New Roman"/>
          <w:szCs w:val="20"/>
          <w:lang w:eastAsia="cs-CZ"/>
        </w:rPr>
        <w:t>7</w:t>
      </w:r>
      <w:r w:rsidRPr="00855623">
        <w:rPr>
          <w:rFonts w:ascii="Times New Roman" w:eastAsia="Times New Roman" w:hAnsi="Times New Roman" w:cs="Times New Roman"/>
          <w:szCs w:val="20"/>
          <w:lang w:eastAsia="cs-CZ"/>
        </w:rPr>
        <w:t>:</w:t>
      </w:r>
    </w:p>
    <w:p w14:paraId="33AE0A7D" w14:textId="4AA788AE" w:rsidR="00855623" w:rsidRPr="00D304C9" w:rsidRDefault="00F7130A" w:rsidP="0038032C">
      <w:pPr>
        <w:pStyle w:val="Odstavecseseznamem"/>
        <w:numPr>
          <w:ilvl w:val="0"/>
          <w:numId w:val="9"/>
        </w:numPr>
        <w:spacing w:after="120" w:line="240" w:lineRule="auto"/>
        <w:jc w:val="both"/>
        <w:rPr>
          <w:rFonts w:ascii="Times New Roman" w:eastAsia="Times New Roman" w:hAnsi="Times New Roman" w:cs="Times New Roman"/>
          <w:lang w:eastAsia="cs-CZ"/>
        </w:rPr>
      </w:pPr>
      <w:r>
        <w:rPr>
          <w:rFonts w:ascii="Times New Roman" w:eastAsia="Times New Roman" w:hAnsi="Times New Roman" w:cs="Times New Roman"/>
          <w:sz w:val="24"/>
          <w:szCs w:val="24"/>
          <w:lang w:eastAsia="cs-CZ"/>
        </w:rPr>
        <w:t xml:space="preserve">směrnice </w:t>
      </w:r>
      <w:r w:rsidR="00AD343F" w:rsidRPr="00AD343F">
        <w:rPr>
          <w:rFonts w:ascii="Times New Roman" w:eastAsia="Times New Roman" w:hAnsi="Times New Roman" w:cs="Times New Roman"/>
          <w:sz w:val="24"/>
          <w:szCs w:val="24"/>
          <w:lang w:eastAsia="cs-CZ"/>
        </w:rPr>
        <w:t>Rady (EU) 2025/516 ze dne 11. března 2025, kterou se mění směrnice 2006/112/ES, pokud jde o pravidla DPH pro digitální věk</w:t>
      </w:r>
      <w:r w:rsidR="00AD343F">
        <w:rPr>
          <w:rFonts w:ascii="Times New Roman" w:eastAsia="Times New Roman" w:hAnsi="Times New Roman" w:cs="Times New Roman"/>
          <w:sz w:val="24"/>
          <w:szCs w:val="24"/>
          <w:lang w:eastAsia="cs-CZ"/>
        </w:rPr>
        <w:t xml:space="preserve"> </w:t>
      </w:r>
      <w:r w:rsidR="00AF0EFF">
        <w:rPr>
          <w:rFonts w:ascii="Times New Roman" w:eastAsia="Times New Roman" w:hAnsi="Times New Roman" w:cs="Times New Roman"/>
          <w:sz w:val="24"/>
          <w:szCs w:val="24"/>
          <w:lang w:eastAsia="cs-CZ"/>
        </w:rPr>
        <w:t>–</w:t>
      </w:r>
      <w:r w:rsidR="00AD343F">
        <w:rPr>
          <w:rFonts w:ascii="Times New Roman" w:eastAsia="Times New Roman" w:hAnsi="Times New Roman" w:cs="Times New Roman"/>
          <w:sz w:val="24"/>
          <w:szCs w:val="24"/>
          <w:lang w:eastAsia="cs-CZ"/>
        </w:rPr>
        <w:t xml:space="preserve"> článek</w:t>
      </w:r>
      <w:r w:rsidR="00AF0EFF">
        <w:rPr>
          <w:rFonts w:ascii="Times New Roman" w:eastAsia="Times New Roman" w:hAnsi="Times New Roman" w:cs="Times New Roman"/>
          <w:sz w:val="24"/>
          <w:szCs w:val="24"/>
          <w:lang w:eastAsia="cs-CZ"/>
        </w:rPr>
        <w:t xml:space="preserve"> 2.</w:t>
      </w:r>
    </w:p>
    <w:p w14:paraId="679AEAC3" w14:textId="702A4A61" w:rsidR="00D304C9" w:rsidRPr="00FF0681" w:rsidRDefault="00D304C9" w:rsidP="0038032C">
      <w:pPr>
        <w:spacing w:after="120" w:line="240" w:lineRule="auto"/>
        <w:jc w:val="both"/>
        <w:rPr>
          <w:rFonts w:ascii="Times New Roman" w:eastAsia="Times New Roman" w:hAnsi="Times New Roman" w:cs="Times New Roman"/>
          <w:szCs w:val="20"/>
          <w:lang w:eastAsia="cs-CZ"/>
        </w:rPr>
      </w:pPr>
      <w:r w:rsidRPr="00D304C9">
        <w:rPr>
          <w:rFonts w:ascii="Times New Roman" w:eastAsia="Times New Roman" w:hAnsi="Times New Roman" w:cs="Times New Roman"/>
          <w:szCs w:val="20"/>
          <w:lang w:eastAsia="cs-CZ"/>
        </w:rPr>
        <w:t xml:space="preserve">Návrh se dotýká rovněž </w:t>
      </w:r>
      <w:r w:rsidRPr="00FF0681">
        <w:rPr>
          <w:rFonts w:ascii="Times New Roman" w:eastAsia="Times New Roman" w:hAnsi="Times New Roman" w:cs="Times New Roman"/>
          <w:szCs w:val="20"/>
          <w:lang w:eastAsia="cs-CZ"/>
        </w:rPr>
        <w:t>následujících právních předpisů Evropské unie:</w:t>
      </w:r>
    </w:p>
    <w:p w14:paraId="2DD152B0" w14:textId="2D40D877" w:rsidR="0038032C" w:rsidRPr="00FF0681" w:rsidRDefault="0038032C" w:rsidP="0034244D">
      <w:pPr>
        <w:pStyle w:val="Odstavecseseznamem"/>
        <w:numPr>
          <w:ilvl w:val="0"/>
          <w:numId w:val="9"/>
        </w:numPr>
        <w:spacing w:after="120" w:line="240" w:lineRule="auto"/>
        <w:jc w:val="both"/>
        <w:rPr>
          <w:rFonts w:ascii="Times New Roman" w:eastAsia="Times New Roman" w:hAnsi="Times New Roman" w:cs="Times New Roman"/>
          <w:sz w:val="24"/>
          <w:szCs w:val="24"/>
          <w:lang w:eastAsia="cs-CZ"/>
        </w:rPr>
      </w:pPr>
      <w:r w:rsidRPr="00FF0681">
        <w:rPr>
          <w:rFonts w:ascii="Times New Roman" w:eastAsia="Times New Roman" w:hAnsi="Times New Roman" w:cs="Times New Roman"/>
          <w:sz w:val="24"/>
          <w:szCs w:val="24"/>
          <w:lang w:eastAsia="cs-CZ"/>
        </w:rPr>
        <w:t>směrnice Rady 2006/112/ES ze dne 28. listopadu 2006 o společném systému daně z přidané hodnoty,</w:t>
      </w:r>
    </w:p>
    <w:p w14:paraId="2E82E16D" w14:textId="2997562A" w:rsidR="0034244D" w:rsidRPr="00FF0681" w:rsidRDefault="0034244D" w:rsidP="0034244D">
      <w:pPr>
        <w:pStyle w:val="Odstavecseseznamem"/>
        <w:numPr>
          <w:ilvl w:val="0"/>
          <w:numId w:val="9"/>
        </w:numPr>
        <w:spacing w:after="120" w:line="240" w:lineRule="auto"/>
        <w:jc w:val="both"/>
        <w:rPr>
          <w:rFonts w:ascii="Times New Roman" w:eastAsia="Times New Roman" w:hAnsi="Times New Roman" w:cs="Times New Roman"/>
          <w:sz w:val="24"/>
          <w:szCs w:val="24"/>
          <w:lang w:eastAsia="cs-CZ"/>
        </w:rPr>
      </w:pPr>
      <w:r w:rsidRPr="00FF0681">
        <w:rPr>
          <w:rFonts w:ascii="Times New Roman" w:eastAsia="Times New Roman" w:hAnsi="Times New Roman" w:cs="Times New Roman"/>
          <w:sz w:val="24"/>
          <w:szCs w:val="24"/>
          <w:lang w:eastAsia="cs-CZ"/>
        </w:rPr>
        <w:t xml:space="preserve">směrnice </w:t>
      </w:r>
      <w:r w:rsidR="00B00101" w:rsidRPr="00FF0681">
        <w:rPr>
          <w:rFonts w:ascii="Times New Roman" w:eastAsia="Times New Roman" w:hAnsi="Times New Roman" w:cs="Times New Roman"/>
          <w:sz w:val="24"/>
          <w:szCs w:val="24"/>
          <w:lang w:eastAsia="cs-CZ"/>
        </w:rPr>
        <w:t>Rady 2008/8/ES ze dne 12. února 2008, kterou se mění směrnice 2006/112/ES, pokud jde o místo poskytnutí služby</w:t>
      </w:r>
      <w:r w:rsidRPr="00FF0681">
        <w:rPr>
          <w:rFonts w:ascii="Times New Roman" w:eastAsia="Times New Roman" w:hAnsi="Times New Roman" w:cs="Times New Roman"/>
          <w:sz w:val="24"/>
          <w:szCs w:val="24"/>
          <w:lang w:eastAsia="cs-CZ"/>
        </w:rPr>
        <w:t>,</w:t>
      </w:r>
    </w:p>
    <w:p w14:paraId="3D2D27B6" w14:textId="02F0E190" w:rsidR="00D304C9" w:rsidRPr="006A6F31" w:rsidRDefault="00D304C9" w:rsidP="006A6F31">
      <w:pPr>
        <w:pStyle w:val="Odstavecseseznamem"/>
        <w:numPr>
          <w:ilvl w:val="0"/>
          <w:numId w:val="9"/>
        </w:numPr>
        <w:spacing w:after="120" w:line="240" w:lineRule="auto"/>
        <w:jc w:val="both"/>
        <w:rPr>
          <w:rFonts w:ascii="Times New Roman" w:eastAsia="Times New Roman" w:hAnsi="Times New Roman" w:cs="Times New Roman"/>
          <w:lang w:eastAsia="cs-CZ"/>
        </w:rPr>
      </w:pPr>
      <w:r w:rsidRPr="00FF0681">
        <w:rPr>
          <w:rFonts w:ascii="Times New Roman" w:eastAsia="Times New Roman" w:hAnsi="Times New Roman" w:cs="Times New Roman"/>
          <w:sz w:val="24"/>
          <w:szCs w:val="24"/>
          <w:lang w:eastAsia="cs-CZ"/>
        </w:rPr>
        <w:t xml:space="preserve">směrnice </w:t>
      </w:r>
      <w:r w:rsidR="009F3569" w:rsidRPr="00FF0681">
        <w:rPr>
          <w:rFonts w:ascii="Times New Roman" w:eastAsia="Times New Roman" w:hAnsi="Times New Roman" w:cs="Times New Roman"/>
          <w:sz w:val="24"/>
          <w:szCs w:val="24"/>
          <w:lang w:eastAsia="cs-CZ"/>
        </w:rPr>
        <w:t>Rady 2010/45</w:t>
      </w:r>
      <w:r w:rsidR="009F3569" w:rsidRPr="006A6F31">
        <w:rPr>
          <w:rFonts w:ascii="Times New Roman" w:eastAsia="Times New Roman" w:hAnsi="Times New Roman" w:cs="Times New Roman"/>
          <w:sz w:val="24"/>
          <w:szCs w:val="24"/>
          <w:lang w:eastAsia="cs-CZ"/>
        </w:rPr>
        <w:t>/EU ze dne 13. července 2010, kterou se mění směrnice 2006/112/ES o společném systému daně z přidané hodnoty, pokud jde o pravidla fakturace</w:t>
      </w:r>
      <w:r w:rsidRPr="006A6F31">
        <w:rPr>
          <w:rFonts w:ascii="Times New Roman" w:eastAsia="Times New Roman" w:hAnsi="Times New Roman" w:cs="Times New Roman"/>
          <w:sz w:val="24"/>
          <w:szCs w:val="24"/>
          <w:lang w:eastAsia="cs-CZ"/>
        </w:rPr>
        <w:t>,</w:t>
      </w:r>
    </w:p>
    <w:p w14:paraId="0859480A" w14:textId="1CEEC45D" w:rsidR="00D304C9" w:rsidRPr="006A6F31" w:rsidRDefault="00D304C9" w:rsidP="006A6F31">
      <w:pPr>
        <w:pStyle w:val="Odstavecseseznamem"/>
        <w:numPr>
          <w:ilvl w:val="0"/>
          <w:numId w:val="9"/>
        </w:numPr>
        <w:spacing w:after="120" w:line="240" w:lineRule="auto"/>
        <w:jc w:val="both"/>
        <w:rPr>
          <w:rFonts w:ascii="Times New Roman" w:eastAsia="Times New Roman" w:hAnsi="Times New Roman" w:cs="Times New Roman"/>
          <w:lang w:eastAsia="cs-CZ"/>
        </w:rPr>
      </w:pPr>
      <w:r w:rsidRPr="006A6F31">
        <w:rPr>
          <w:rFonts w:ascii="Times New Roman" w:eastAsia="Times New Roman" w:hAnsi="Times New Roman" w:cs="Times New Roman"/>
          <w:sz w:val="24"/>
          <w:szCs w:val="24"/>
          <w:lang w:eastAsia="cs-CZ"/>
        </w:rPr>
        <w:t xml:space="preserve">směrnice </w:t>
      </w:r>
      <w:r w:rsidR="00F83F4A" w:rsidRPr="006A6F31">
        <w:rPr>
          <w:rFonts w:ascii="Times New Roman" w:eastAsia="Times New Roman" w:hAnsi="Times New Roman" w:cs="Times New Roman"/>
          <w:sz w:val="24"/>
          <w:szCs w:val="24"/>
          <w:lang w:eastAsia="cs-CZ"/>
        </w:rPr>
        <w:t>Rady (EU) 2017/2455 ze dne 5. prosince 2017, kterou se mění směrnice 2006/112/ES a směrnice 2009/132/ES, pokud jde o určité povinnosti v oblasti daně z</w:t>
      </w:r>
      <w:r w:rsidR="00B00101" w:rsidRPr="006A6F31">
        <w:rPr>
          <w:rFonts w:ascii="Times New Roman" w:eastAsia="Times New Roman" w:hAnsi="Times New Roman" w:cs="Times New Roman"/>
          <w:sz w:val="24"/>
          <w:szCs w:val="24"/>
          <w:lang w:eastAsia="cs-CZ"/>
        </w:rPr>
        <w:t> </w:t>
      </w:r>
      <w:r w:rsidR="00F83F4A" w:rsidRPr="006A6F31">
        <w:rPr>
          <w:rFonts w:ascii="Times New Roman" w:eastAsia="Times New Roman" w:hAnsi="Times New Roman" w:cs="Times New Roman"/>
          <w:sz w:val="24"/>
          <w:szCs w:val="24"/>
          <w:lang w:eastAsia="cs-CZ"/>
        </w:rPr>
        <w:t>přidané hodnoty při poskytování služeb a prodeji zboží na dálku</w:t>
      </w:r>
      <w:r w:rsidRPr="006A6F31">
        <w:rPr>
          <w:rFonts w:ascii="Times New Roman" w:eastAsia="Times New Roman" w:hAnsi="Times New Roman" w:cs="Times New Roman"/>
          <w:sz w:val="24"/>
          <w:szCs w:val="24"/>
          <w:lang w:eastAsia="cs-CZ"/>
        </w:rPr>
        <w:t>,</w:t>
      </w:r>
    </w:p>
    <w:p w14:paraId="35DB093F" w14:textId="77777777" w:rsidR="005D0765" w:rsidRPr="006A6F31" w:rsidRDefault="00D304C9">
      <w:pPr>
        <w:pStyle w:val="Odstavecseseznamem"/>
        <w:numPr>
          <w:ilvl w:val="0"/>
          <w:numId w:val="9"/>
        </w:numPr>
        <w:spacing w:after="120" w:line="240" w:lineRule="auto"/>
        <w:jc w:val="both"/>
        <w:rPr>
          <w:rFonts w:ascii="Times New Roman" w:eastAsia="Times New Roman" w:hAnsi="Times New Roman" w:cs="Times New Roman"/>
          <w:lang w:eastAsia="cs-CZ"/>
        </w:rPr>
      </w:pPr>
      <w:r w:rsidRPr="006A6F31">
        <w:rPr>
          <w:rFonts w:ascii="Times New Roman" w:eastAsia="Times New Roman" w:hAnsi="Times New Roman" w:cs="Times New Roman"/>
          <w:sz w:val="24"/>
          <w:szCs w:val="24"/>
          <w:lang w:eastAsia="cs-CZ"/>
        </w:rPr>
        <w:t xml:space="preserve">směrnice </w:t>
      </w:r>
      <w:r w:rsidR="0034244D" w:rsidRPr="006A6F31">
        <w:rPr>
          <w:rFonts w:ascii="Times New Roman" w:eastAsia="Times New Roman" w:hAnsi="Times New Roman" w:cs="Times New Roman"/>
          <w:sz w:val="24"/>
          <w:szCs w:val="24"/>
          <w:lang w:eastAsia="cs-CZ"/>
        </w:rPr>
        <w:t>Rady (EU) 2018/1910 ze dne 4. prosince 2018, kterou se mění směrnice 2006/112/ES, pokud jde o harmonizaci a zjednodušení určitých pravidel v systému daně z</w:t>
      </w:r>
      <w:r w:rsidR="00B00101" w:rsidRPr="006A6F31">
        <w:rPr>
          <w:rFonts w:ascii="Times New Roman" w:eastAsia="Times New Roman" w:hAnsi="Times New Roman" w:cs="Times New Roman"/>
          <w:sz w:val="24"/>
          <w:szCs w:val="24"/>
          <w:lang w:eastAsia="cs-CZ"/>
        </w:rPr>
        <w:t> </w:t>
      </w:r>
      <w:r w:rsidR="0034244D" w:rsidRPr="006A6F31">
        <w:rPr>
          <w:rFonts w:ascii="Times New Roman" w:eastAsia="Times New Roman" w:hAnsi="Times New Roman" w:cs="Times New Roman"/>
          <w:sz w:val="24"/>
          <w:szCs w:val="24"/>
          <w:lang w:eastAsia="cs-CZ"/>
        </w:rPr>
        <w:t>přidané hodnoty pro obchod mezi členskými státy</w:t>
      </w:r>
      <w:r w:rsidR="005D0765" w:rsidRPr="006A6F31">
        <w:rPr>
          <w:rFonts w:ascii="Times New Roman" w:eastAsia="Times New Roman" w:hAnsi="Times New Roman" w:cs="Times New Roman"/>
          <w:sz w:val="24"/>
          <w:szCs w:val="24"/>
          <w:lang w:eastAsia="cs-CZ"/>
        </w:rPr>
        <w:t>,</w:t>
      </w:r>
    </w:p>
    <w:p w14:paraId="6F0FC0DA" w14:textId="77777777" w:rsidR="00D50D3F" w:rsidRPr="00D50D3F" w:rsidRDefault="00846541" w:rsidP="005D0765">
      <w:pPr>
        <w:pStyle w:val="Odstavecseseznamem"/>
        <w:numPr>
          <w:ilvl w:val="0"/>
          <w:numId w:val="9"/>
        </w:numPr>
        <w:spacing w:after="120" w:line="240" w:lineRule="auto"/>
        <w:jc w:val="both"/>
        <w:rPr>
          <w:rFonts w:ascii="Times New Roman" w:eastAsia="Times New Roman" w:hAnsi="Times New Roman" w:cs="Times New Roman"/>
          <w:lang w:eastAsia="cs-CZ"/>
        </w:rPr>
      </w:pPr>
      <w:r w:rsidRPr="006A6F31">
        <w:rPr>
          <w:rFonts w:ascii="Times New Roman" w:eastAsia="Times New Roman" w:hAnsi="Times New Roman" w:cs="Times New Roman"/>
          <w:sz w:val="24"/>
          <w:szCs w:val="24"/>
          <w:lang w:eastAsia="cs-CZ"/>
        </w:rPr>
        <w:t>směrnice Rady (EU) 2021/1159 ze dne 13. července 2021, kterou se mění směrnice 2006/112/ES, pokud</w:t>
      </w:r>
      <w:r w:rsidRPr="00846541">
        <w:rPr>
          <w:rFonts w:ascii="Times New Roman" w:eastAsia="Times New Roman" w:hAnsi="Times New Roman" w:cs="Times New Roman"/>
          <w:sz w:val="24"/>
          <w:szCs w:val="24"/>
          <w:lang w:eastAsia="cs-CZ"/>
        </w:rPr>
        <w:t xml:space="preserve"> jde o dočasná osvobození od daně při dovozu a některých dodáních v reakci na pandemii COVID-19</w:t>
      </w:r>
      <w:r w:rsidR="00D50D3F">
        <w:rPr>
          <w:rFonts w:ascii="Times New Roman" w:eastAsia="Times New Roman" w:hAnsi="Times New Roman" w:cs="Times New Roman"/>
          <w:sz w:val="24"/>
          <w:szCs w:val="24"/>
          <w:lang w:eastAsia="cs-CZ"/>
        </w:rPr>
        <w:t>,</w:t>
      </w:r>
    </w:p>
    <w:p w14:paraId="642D4FB8" w14:textId="3FF069CE" w:rsidR="00D304C9" w:rsidRPr="00D50D3F" w:rsidRDefault="00D50D3F" w:rsidP="00936596">
      <w:pPr>
        <w:pStyle w:val="Odstavecseseznamem"/>
        <w:numPr>
          <w:ilvl w:val="0"/>
          <w:numId w:val="9"/>
        </w:numPr>
        <w:spacing w:after="120" w:line="240" w:lineRule="auto"/>
        <w:jc w:val="both"/>
        <w:rPr>
          <w:rFonts w:ascii="Times New Roman" w:eastAsia="Times New Roman" w:hAnsi="Times New Roman" w:cs="Times New Roman"/>
          <w:lang w:eastAsia="cs-CZ"/>
        </w:rPr>
      </w:pPr>
      <w:r w:rsidRPr="00D50D3F">
        <w:rPr>
          <w:rFonts w:ascii="Times New Roman" w:eastAsia="Times New Roman" w:hAnsi="Times New Roman" w:cs="Times New Roman"/>
          <w:sz w:val="24"/>
          <w:szCs w:val="24"/>
          <w:lang w:eastAsia="cs-CZ"/>
        </w:rPr>
        <w:t>nařízení Rady (EU) 2025/1106 ze dne 27. května 2025,</w:t>
      </w:r>
      <w:r>
        <w:rPr>
          <w:rFonts w:ascii="Times New Roman" w:eastAsia="Times New Roman" w:hAnsi="Times New Roman" w:cs="Times New Roman"/>
          <w:sz w:val="24"/>
          <w:szCs w:val="24"/>
          <w:lang w:eastAsia="cs-CZ"/>
        </w:rPr>
        <w:t xml:space="preserve"> </w:t>
      </w:r>
      <w:r w:rsidRPr="00D50D3F">
        <w:rPr>
          <w:rFonts w:ascii="Times New Roman" w:eastAsia="Times New Roman" w:hAnsi="Times New Roman" w:cs="Times New Roman"/>
          <w:sz w:val="24"/>
          <w:szCs w:val="24"/>
          <w:lang w:eastAsia="cs-CZ"/>
        </w:rPr>
        <w:t>kterým se zřizuje nástroj Bezpečnostní akce pro Evropu (SAFE) prostřednictvím posílení evropského obranného průmyslu</w:t>
      </w:r>
      <w:r w:rsidR="0034244D" w:rsidRPr="00D50D3F">
        <w:rPr>
          <w:rFonts w:ascii="Times New Roman" w:eastAsia="Times New Roman" w:hAnsi="Times New Roman" w:cs="Times New Roman"/>
          <w:sz w:val="24"/>
          <w:szCs w:val="24"/>
          <w:lang w:eastAsia="cs-CZ"/>
        </w:rPr>
        <w:t>.</w:t>
      </w:r>
    </w:p>
    <w:p w14:paraId="7E115253" w14:textId="77777777" w:rsidR="00D304C9" w:rsidRDefault="00D304C9" w:rsidP="00D304C9">
      <w:pPr>
        <w:spacing w:after="120" w:line="240" w:lineRule="auto"/>
        <w:jc w:val="both"/>
        <w:rPr>
          <w:rFonts w:ascii="Times New Roman" w:eastAsia="Times New Roman" w:hAnsi="Times New Roman" w:cs="Times New Roman"/>
          <w:szCs w:val="20"/>
          <w:lang w:eastAsia="cs-CZ"/>
        </w:rPr>
      </w:pPr>
      <w:r w:rsidRPr="00855623">
        <w:rPr>
          <w:rFonts w:ascii="Times New Roman" w:eastAsia="Times New Roman" w:hAnsi="Times New Roman" w:cs="Times New Roman"/>
          <w:szCs w:val="20"/>
          <w:lang w:eastAsia="cs-CZ"/>
        </w:rPr>
        <w:t>S poukazem na sekundární právo Evropské unie lze konstatovat, že také v tomto ohledu předkládaná právní úprava respektuje závazky, které pro Českou republiku v této oblasti z členství v Evropské unii vyplývají.</w:t>
      </w:r>
    </w:p>
    <w:p w14:paraId="68EC14B7" w14:textId="13477CFC" w:rsidR="00EA3329" w:rsidRPr="009C4E06" w:rsidRDefault="00EA3329" w:rsidP="00EA3329">
      <w:pPr>
        <w:pStyle w:val="8"/>
      </w:pPr>
      <w:r w:rsidRPr="0048042E">
        <w:rPr>
          <w:rFonts w:eastAsia="Calibri"/>
        </w:rPr>
        <w:t>Navržená úprava není v rozporu s Úmluvou o ochraně osob se zřetelem na automatizované zpracování osobních dat (vyhlášené pod č. 115/2001 Sb. m. s.), nařízením Evropského parlamentu a Rady (EU) 2016/679 ze dne 27. dubna 2016 o ochraně fyzických osob v souvislosti se zpracováním osobních údajů a o volném pohybu těchto údajů a o zrušení směrnice 95/46/ES (obecné nařízení o ochraně osobních údajů), zákonem č. 110/2019 Sb., o zpracování osobních údajů, ani s úpravou ochrany soukromí v zákoně č. 89/2012 Sb., občanský zákoník.</w:t>
      </w:r>
    </w:p>
    <w:p w14:paraId="43E3A478" w14:textId="1EF76FD1" w:rsidR="00EA3329" w:rsidRPr="00AA0211" w:rsidRDefault="00EA3329" w:rsidP="00AA0211">
      <w:pPr>
        <w:pStyle w:val="6"/>
        <w:jc w:val="both"/>
        <w:outlineLvl w:val="1"/>
      </w:pPr>
      <w:r w:rsidRPr="00AA0211">
        <w:t>5.   Zhodnocení souladu návrhu právního předpisu s mezinárodními smlouvami, jimiž je Česká republika vázána</w:t>
      </w:r>
    </w:p>
    <w:p w14:paraId="7003A0DE" w14:textId="77777777" w:rsidR="00833681" w:rsidRPr="00833681" w:rsidRDefault="00833681" w:rsidP="00833681">
      <w:pPr>
        <w:widowControl w:val="0"/>
        <w:spacing w:after="120" w:line="240" w:lineRule="auto"/>
        <w:jc w:val="both"/>
        <w:rPr>
          <w:rFonts w:ascii="Times New Roman" w:eastAsia="Times New Roman" w:hAnsi="Times New Roman" w:cs="Times New Roman"/>
          <w:szCs w:val="20"/>
          <w:lang w:eastAsia="cs-CZ"/>
        </w:rPr>
      </w:pPr>
      <w:r w:rsidRPr="00833681">
        <w:rPr>
          <w:rFonts w:ascii="Times New Roman" w:eastAsia="Calibri" w:hAnsi="Times New Roman" w:cs="Times New Roman"/>
          <w:szCs w:val="20"/>
        </w:rPr>
        <w:t xml:space="preserve">Vyhlášené mezinárodní smlouvy, k jejichž ratifikaci dal Parlament souhlas a jimiž je Česká republika vázána (tzv. prezidentské mezinárodní smlouvy), mají z hlediska hierarchie právních předpisů aplikační přednost před zákony a právními předpisy nižší právní síly. Vztah </w:t>
      </w:r>
      <w:r w:rsidRPr="00833681">
        <w:rPr>
          <w:rFonts w:ascii="Times New Roman" w:eastAsia="Calibri" w:hAnsi="Times New Roman" w:cs="Times New Roman"/>
          <w:szCs w:val="20"/>
        </w:rPr>
        <w:lastRenderedPageBreak/>
        <w:t>tzv. prezidentských mezinárodních smluv vůči vnitrostátním právním předpisům je vymezen v čl. 10 Ústavy, kde je princip aplikační přednosti těchto mezinárodních smluv výslovně stanoven. Stanoví-li tedy tzv. prezidentská mezinárodní smlouva něco jiného než zákon, použije se tato mezinárodní smlouva. Článek 10 Ústavy tak zaručuje, že při případném nesouladu vnitrostátního práva s tzv. prezidentskou mezinárodní smlouvou musí být respektována tzv. prezidentská mezinárodní smlouva. Mezinárodní smlouvy upravující daně přitom mají vždy povahu tzv. prezidentských mezinárodních smluv (čl. 49 písm. e) Ústavy ve spojení s čl. 11 odst. 5 Listiny). Ústavní soud navíc v nálezu publikovaném pod č. 403/2002 Sb. rozhodl, že si tehdy platné mezinárodní smlouvy o lidských právech a základních svobodách zachovávají hierarchickou přednost před zákonem.</w:t>
      </w:r>
    </w:p>
    <w:p w14:paraId="563F56C3" w14:textId="77777777" w:rsidR="00833681" w:rsidRPr="00833681" w:rsidRDefault="00833681" w:rsidP="00833681">
      <w:pPr>
        <w:keepNext/>
        <w:spacing w:before="240" w:after="120" w:line="240" w:lineRule="auto"/>
        <w:jc w:val="both"/>
        <w:rPr>
          <w:rFonts w:ascii="Times New Roman" w:eastAsia="Times New Roman" w:hAnsi="Times New Roman" w:cs="Times New Roman"/>
          <w:b/>
          <w:szCs w:val="20"/>
          <w:u w:val="single"/>
        </w:rPr>
      </w:pPr>
      <w:r w:rsidRPr="00833681">
        <w:rPr>
          <w:rFonts w:ascii="Times New Roman" w:eastAsia="Times New Roman" w:hAnsi="Times New Roman" w:cs="Times New Roman"/>
          <w:b/>
          <w:szCs w:val="20"/>
          <w:u w:val="single"/>
        </w:rPr>
        <w:t>Úmluva o ochraně lidských práv a základních svobod</w:t>
      </w:r>
    </w:p>
    <w:p w14:paraId="56F06941" w14:textId="77777777" w:rsidR="00833681" w:rsidRPr="00833681" w:rsidRDefault="00833681" w:rsidP="00833681">
      <w:pPr>
        <w:widowControl w:val="0"/>
        <w:autoSpaceDE w:val="0"/>
        <w:autoSpaceDN w:val="0"/>
        <w:adjustRightInd w:val="0"/>
        <w:spacing w:after="120" w:line="240" w:lineRule="auto"/>
        <w:jc w:val="both"/>
        <w:rPr>
          <w:rFonts w:ascii="Times New Roman" w:eastAsia="Times New Roman" w:hAnsi="Times New Roman" w:cs="Times New Roman"/>
          <w:szCs w:val="20"/>
          <w:lang w:eastAsia="cs-CZ"/>
        </w:rPr>
      </w:pPr>
      <w:r w:rsidRPr="00833681">
        <w:rPr>
          <w:rFonts w:ascii="Times New Roman" w:eastAsia="Calibri" w:hAnsi="Times New Roman" w:cs="Times New Roman"/>
          <w:szCs w:val="20"/>
        </w:rPr>
        <w:t xml:space="preserve">Pokud jde o aplikaci Úmluvy v oblasti daní, poplatků a jiných obdobných peněžitých plnění plynoucích do veřejných rozpočtů, je třeba zajistit soulad právních předpisů s touto úmluvou hned v několika oblastech. </w:t>
      </w:r>
    </w:p>
    <w:p w14:paraId="6002CA76" w14:textId="77777777" w:rsidR="00833681" w:rsidRPr="00833681" w:rsidRDefault="00833681" w:rsidP="00833681">
      <w:pPr>
        <w:keepNext/>
        <w:spacing w:after="120" w:line="240" w:lineRule="auto"/>
        <w:jc w:val="both"/>
        <w:rPr>
          <w:rFonts w:ascii="Times New Roman" w:eastAsia="Times New Roman" w:hAnsi="Times New Roman" w:cs="Times New Roman"/>
          <w:i/>
          <w:iCs/>
          <w:szCs w:val="20"/>
          <w:u w:val="single"/>
        </w:rPr>
      </w:pPr>
      <w:r w:rsidRPr="00833681">
        <w:rPr>
          <w:rFonts w:ascii="Times New Roman" w:eastAsia="Times New Roman" w:hAnsi="Times New Roman" w:cs="Times New Roman"/>
          <w:i/>
          <w:iCs/>
          <w:szCs w:val="20"/>
          <w:u w:val="single"/>
        </w:rPr>
        <w:t>Právo na spravedlivý proces</w:t>
      </w:r>
    </w:p>
    <w:p w14:paraId="661E07A0" w14:textId="77777777" w:rsidR="00833681" w:rsidRPr="00833681" w:rsidRDefault="00833681" w:rsidP="00833681">
      <w:pPr>
        <w:widowControl w:val="0"/>
        <w:autoSpaceDE w:val="0"/>
        <w:autoSpaceDN w:val="0"/>
        <w:adjustRightInd w:val="0"/>
        <w:spacing w:after="120" w:line="240" w:lineRule="auto"/>
        <w:jc w:val="both"/>
        <w:rPr>
          <w:rFonts w:ascii="Times New Roman" w:eastAsia="Calibri" w:hAnsi="Times New Roman" w:cs="Times New Roman"/>
          <w:szCs w:val="20"/>
        </w:rPr>
      </w:pPr>
      <w:r w:rsidRPr="00833681">
        <w:rPr>
          <w:rFonts w:ascii="Times New Roman" w:eastAsia="Calibri" w:hAnsi="Times New Roman" w:cs="Times New Roman"/>
          <w:szCs w:val="20"/>
        </w:rPr>
        <w:t xml:space="preserve">Pokud jde o zajištění práva na spravedlivý proces, které je zaručeno ustanovením čl. 6 odst. 1 Úmluvy, lze poukázat na rozsudek Evropského soudu pro lidská práva ve věci </w:t>
      </w:r>
      <w:proofErr w:type="spellStart"/>
      <w:r w:rsidRPr="00833681">
        <w:rPr>
          <w:rFonts w:ascii="Times New Roman" w:eastAsia="Calibri" w:hAnsi="Times New Roman" w:cs="Times New Roman"/>
          <w:i/>
          <w:szCs w:val="20"/>
        </w:rPr>
        <w:t>Ferrazzini</w:t>
      </w:r>
      <w:proofErr w:type="spellEnd"/>
      <w:r w:rsidRPr="00833681">
        <w:rPr>
          <w:rFonts w:ascii="Times New Roman" w:eastAsia="Calibri" w:hAnsi="Times New Roman" w:cs="Times New Roman"/>
          <w:i/>
          <w:szCs w:val="20"/>
        </w:rPr>
        <w:t xml:space="preserve"> proti Itálii</w:t>
      </w:r>
      <w:r w:rsidRPr="00833681">
        <w:rPr>
          <w:rFonts w:ascii="Times New Roman" w:eastAsia="Calibri" w:hAnsi="Times New Roman" w:cs="Times New Roman"/>
          <w:szCs w:val="20"/>
        </w:rPr>
        <w:t xml:space="preserve"> ze dne 12. července 2001, stížnost č. 44759/98. Podle tohoto rozhodnutí daňové záležitosti dosud tvoří součást tvrdého jádra výsad veřejné moci, přičemž veřejný charakter vztahu mezi daňovým poplatníkem a daňovým úřadem nadále převládá. Ustanovení čl. 6 odst. 1 Úmluvy se tak podle názoru Evropského soudu pro lidská práva na samotné daňové řízení v rozsahu, v němž se týká zjištění a stanovení daně, nevztahuje, neboť se nejedná o řízení o občanských právech a závazcích.</w:t>
      </w:r>
    </w:p>
    <w:p w14:paraId="29178182" w14:textId="77777777" w:rsidR="00833681" w:rsidRPr="00833681" w:rsidRDefault="00833681" w:rsidP="00833681">
      <w:pPr>
        <w:widowControl w:val="0"/>
        <w:autoSpaceDE w:val="0"/>
        <w:autoSpaceDN w:val="0"/>
        <w:adjustRightInd w:val="0"/>
        <w:spacing w:after="120" w:line="240" w:lineRule="auto"/>
        <w:jc w:val="both"/>
        <w:rPr>
          <w:rFonts w:ascii="Times New Roman" w:eastAsia="Calibri" w:hAnsi="Times New Roman" w:cs="Times New Roman"/>
          <w:szCs w:val="20"/>
        </w:rPr>
      </w:pPr>
      <w:r w:rsidRPr="00833681">
        <w:rPr>
          <w:rFonts w:ascii="Times New Roman" w:eastAsia="Calibri" w:hAnsi="Times New Roman" w:cs="Times New Roman"/>
          <w:szCs w:val="20"/>
        </w:rPr>
        <w:t xml:space="preserve">Jelikož však za nedodržení daňových povinností hrozí daňovému subjektu sankce, na hmotněprávní i procesní aspekty s ní související se použijí ustanovení Úmluvy, která se vztahují na trestní obvinění. Je proto třeba při posuzování souladu navrhované právní úpravy v oblasti daňových předpisů s Úmluvou přihlédnout i k trestním aspektům článku 6, ale i k článku 7 Úmluvy nebo k článku 2 a 4 Protokolu č. 7 k Úmluvě. Tento přístup byl potvrzen i Evropským soudem pro lidská práva např. v rozsudku ve věci </w:t>
      </w:r>
      <w:proofErr w:type="spellStart"/>
      <w:r w:rsidRPr="00833681">
        <w:rPr>
          <w:rFonts w:ascii="Times New Roman" w:eastAsia="Calibri" w:hAnsi="Times New Roman" w:cs="Times New Roman"/>
          <w:i/>
          <w:szCs w:val="20"/>
        </w:rPr>
        <w:t>Jussila</w:t>
      </w:r>
      <w:proofErr w:type="spellEnd"/>
      <w:r w:rsidRPr="00833681">
        <w:rPr>
          <w:rFonts w:ascii="Times New Roman" w:eastAsia="Calibri" w:hAnsi="Times New Roman" w:cs="Times New Roman"/>
          <w:i/>
          <w:szCs w:val="20"/>
        </w:rPr>
        <w:t xml:space="preserve"> proti Finsku</w:t>
      </w:r>
      <w:r w:rsidRPr="00833681">
        <w:rPr>
          <w:rFonts w:ascii="Times New Roman" w:eastAsia="Calibri" w:hAnsi="Times New Roman" w:cs="Times New Roman"/>
          <w:szCs w:val="20"/>
        </w:rPr>
        <w:t xml:space="preserve"> ze dne 23. listopadu 2006, stížnost č. 73053/01. Článek 6 odst. 1 Úmluvy sice hovoří o trestním obvinění, nikoliv o řízení o uložení sankce za nesplnění povinnosti, jde však o autonomní pojem práva Úmluvy, který může mít (a také má) jiný obsah než obdobný pojem vnitrostátního práva. Slučitelnost s tímto, ale i dalšími ustanoveními Úmluvy, zejména s požadavkem na uložení trestu (v tomto případě sankce) jen na základě zákona nebo na právo nebýt souzen nebo potrestán (sankciován) dvakrát v téže věci, je přitom zajištěna možností subjektu bránit se takovému jednání jako nesprávnému postupu orgánu státní správy obdobně, jak je popsáno ve smyslu ochrany proti svévoli dle článku 1 Protokolu č. 1 Úmluvy. Jedná se tedy jak o využití řádných i mimořádných opravných prostředků, tak o možnost domoci se soudní ochrany ve správním soudnictví v případě, že dojde k vyčerpání všech opravných prostředků podle daňového řádu. Subjekt se tedy může obrátit na soud s žalobou proti rozhodnutí správního orgánu podle § 65 a násl. soudního řádu správního. Takové soudní řízení přitom v zásadě respektuje základní principy uvedené v článku 6 Úmluvy.</w:t>
      </w:r>
    </w:p>
    <w:p w14:paraId="05D01FC9" w14:textId="77777777" w:rsidR="00833681" w:rsidRPr="00833681" w:rsidRDefault="00833681" w:rsidP="00833681">
      <w:pPr>
        <w:widowControl w:val="0"/>
        <w:autoSpaceDE w:val="0"/>
        <w:autoSpaceDN w:val="0"/>
        <w:adjustRightInd w:val="0"/>
        <w:spacing w:after="120" w:line="240" w:lineRule="auto"/>
        <w:jc w:val="both"/>
        <w:rPr>
          <w:rFonts w:ascii="Times New Roman" w:eastAsia="Calibri" w:hAnsi="Times New Roman" w:cs="Times New Roman"/>
          <w:szCs w:val="20"/>
        </w:rPr>
      </w:pPr>
      <w:r w:rsidRPr="00833681">
        <w:rPr>
          <w:rFonts w:ascii="Times New Roman" w:eastAsia="Calibri" w:hAnsi="Times New Roman" w:cs="Times New Roman"/>
          <w:szCs w:val="20"/>
        </w:rPr>
        <w:t>Přestože tedy na daňové řízení v rozsahu, v němž se týká zjištění a stanovení daně, není možno aplikovat ustanovení čl. 6 odst. 1 Úmluvy, v řízení o sankci za nesplnění daňové povinnosti naopak musí být všechny aspekty práva na spravedlivý proces zachovány.</w:t>
      </w:r>
    </w:p>
    <w:p w14:paraId="1C602768" w14:textId="77777777" w:rsidR="00833681" w:rsidRPr="00833681" w:rsidRDefault="00833681" w:rsidP="00833681">
      <w:pPr>
        <w:widowControl w:val="0"/>
        <w:spacing w:after="120" w:line="240" w:lineRule="auto"/>
        <w:jc w:val="both"/>
        <w:rPr>
          <w:rFonts w:ascii="Times New Roman" w:eastAsia="Times New Roman" w:hAnsi="Times New Roman" w:cs="Times New Roman"/>
          <w:szCs w:val="20"/>
          <w:lang w:eastAsia="cs-CZ"/>
        </w:rPr>
      </w:pPr>
      <w:r w:rsidRPr="00833681">
        <w:rPr>
          <w:rFonts w:ascii="Times New Roman" w:eastAsia="Calibri" w:hAnsi="Times New Roman" w:cs="Times New Roman"/>
          <w:szCs w:val="20"/>
        </w:rPr>
        <w:lastRenderedPageBreak/>
        <w:t>Navrhovaná právní úprava nijak neomezuje možnost domoci se soudní ochrany, která proto zůstává i v tomto případě zajištěna. Lze tedy říci, že navrhovaná právní úprava je v souladu s požadavkem Úmluvy na zajištění práva na spravedlivý proces.</w:t>
      </w:r>
    </w:p>
    <w:p w14:paraId="2FD47BE7" w14:textId="77777777" w:rsidR="00833681" w:rsidRPr="00833681" w:rsidRDefault="00833681" w:rsidP="00833681">
      <w:pPr>
        <w:keepNext/>
        <w:spacing w:after="120" w:line="240" w:lineRule="auto"/>
        <w:jc w:val="both"/>
        <w:rPr>
          <w:rFonts w:ascii="Times New Roman" w:eastAsia="Times New Roman" w:hAnsi="Times New Roman" w:cs="Times New Roman"/>
          <w:i/>
          <w:iCs/>
          <w:szCs w:val="20"/>
          <w:u w:val="single"/>
        </w:rPr>
      </w:pPr>
      <w:r w:rsidRPr="00833681">
        <w:rPr>
          <w:rFonts w:ascii="Times New Roman" w:eastAsia="Times New Roman" w:hAnsi="Times New Roman" w:cs="Times New Roman"/>
          <w:i/>
          <w:iCs/>
          <w:szCs w:val="20"/>
          <w:u w:val="single"/>
        </w:rPr>
        <w:t>Ochrana majetku</w:t>
      </w:r>
    </w:p>
    <w:p w14:paraId="05A20C76" w14:textId="77777777" w:rsidR="00833681" w:rsidRPr="00833681" w:rsidRDefault="00833681" w:rsidP="00833681">
      <w:pPr>
        <w:widowControl w:val="0"/>
        <w:autoSpaceDE w:val="0"/>
        <w:autoSpaceDN w:val="0"/>
        <w:adjustRightInd w:val="0"/>
        <w:spacing w:after="120" w:line="240" w:lineRule="auto"/>
        <w:jc w:val="both"/>
        <w:rPr>
          <w:rFonts w:ascii="Times New Roman" w:eastAsia="Calibri" w:hAnsi="Times New Roman" w:cs="Times New Roman"/>
          <w:szCs w:val="20"/>
        </w:rPr>
      </w:pPr>
      <w:r w:rsidRPr="00833681">
        <w:rPr>
          <w:rFonts w:ascii="Times New Roman" w:eastAsia="Calibri" w:hAnsi="Times New Roman" w:cs="Times New Roman"/>
          <w:szCs w:val="20"/>
        </w:rPr>
        <w:t xml:space="preserve">Z výše uvedeného rozhodnutí ve věci </w:t>
      </w:r>
      <w:proofErr w:type="spellStart"/>
      <w:r w:rsidRPr="00833681">
        <w:rPr>
          <w:rFonts w:ascii="Times New Roman" w:eastAsia="Calibri" w:hAnsi="Times New Roman" w:cs="Times New Roman"/>
          <w:i/>
          <w:szCs w:val="20"/>
        </w:rPr>
        <w:t>Ferrazzini</w:t>
      </w:r>
      <w:proofErr w:type="spellEnd"/>
      <w:r w:rsidRPr="00833681">
        <w:rPr>
          <w:rFonts w:ascii="Times New Roman" w:eastAsia="Calibri" w:hAnsi="Times New Roman" w:cs="Times New Roman"/>
          <w:i/>
          <w:szCs w:val="20"/>
        </w:rPr>
        <w:t xml:space="preserve"> proti Itálii</w:t>
      </w:r>
      <w:r w:rsidRPr="00833681">
        <w:rPr>
          <w:rFonts w:ascii="Times New Roman" w:eastAsia="Calibri" w:hAnsi="Times New Roman" w:cs="Times New Roman"/>
          <w:szCs w:val="20"/>
        </w:rPr>
        <w:t xml:space="preserve"> dále vyplývá, že článek 1 Protokolu č. 1, týkající se ochrany majetku, vyhrazuje státům právo přijímat zákony, které považují za nezbytné, aby upravily užívání majetku v souladu s obecným zájmem a zajistily placení daní. Státům je tedy umožněno přijmout zákony, kterými ukládají povinnost platit daně, poplatky a jiná obdobná peněžitá plnění, avšak s určitým omezením vyplývajícím z požadavku na respektování samotné podstaty vlastnického práva, do kterého je uložením daně, poplatku nebo jiného obdobného peněžitého plnění zasahováno. Takový zásah do vlastnického práva proto musí odpovídat požadavkům zákonnosti, legitimity a proporcionality.</w:t>
      </w:r>
    </w:p>
    <w:p w14:paraId="34C4BF8B" w14:textId="77777777" w:rsidR="00833681" w:rsidRPr="00833681" w:rsidRDefault="00833681" w:rsidP="00833681">
      <w:pPr>
        <w:widowControl w:val="0"/>
        <w:autoSpaceDE w:val="0"/>
        <w:autoSpaceDN w:val="0"/>
        <w:adjustRightInd w:val="0"/>
        <w:spacing w:after="120" w:line="240" w:lineRule="auto"/>
        <w:jc w:val="both"/>
        <w:rPr>
          <w:rFonts w:ascii="Times New Roman" w:eastAsia="Calibri" w:hAnsi="Times New Roman" w:cs="Times New Roman"/>
          <w:szCs w:val="20"/>
        </w:rPr>
      </w:pPr>
      <w:r w:rsidRPr="00833681">
        <w:rPr>
          <w:rFonts w:ascii="Times New Roman" w:eastAsia="Calibri" w:hAnsi="Times New Roman" w:cs="Times New Roman"/>
          <w:szCs w:val="20"/>
        </w:rPr>
        <w:t xml:space="preserve">Požadavek </w:t>
      </w:r>
      <w:r w:rsidRPr="00833681">
        <w:rPr>
          <w:rFonts w:ascii="Times New Roman" w:eastAsia="Calibri" w:hAnsi="Times New Roman" w:cs="Times New Roman"/>
          <w:b/>
          <w:szCs w:val="20"/>
        </w:rPr>
        <w:t>zákonnosti</w:t>
      </w:r>
      <w:r w:rsidRPr="00833681">
        <w:rPr>
          <w:rFonts w:ascii="Times New Roman" w:eastAsia="Calibri" w:hAnsi="Times New Roman" w:cs="Times New Roman"/>
          <w:szCs w:val="20"/>
        </w:rPr>
        <w:t xml:space="preserve"> je naplněn tehdy, pokud je zásah umožněn právním předpisem, který je v souladu s ústavním pořádkem, je dostupný, předvídatelný a obsahuje záruky proti svévoli.</w:t>
      </w:r>
    </w:p>
    <w:p w14:paraId="7AF50591" w14:textId="77777777" w:rsidR="00833681" w:rsidRPr="00833681" w:rsidRDefault="00833681" w:rsidP="00833681">
      <w:pPr>
        <w:widowControl w:val="0"/>
        <w:numPr>
          <w:ilvl w:val="0"/>
          <w:numId w:val="11"/>
        </w:numPr>
        <w:autoSpaceDE w:val="0"/>
        <w:autoSpaceDN w:val="0"/>
        <w:adjustRightInd w:val="0"/>
        <w:spacing w:after="120" w:line="240" w:lineRule="auto"/>
        <w:jc w:val="both"/>
        <w:rPr>
          <w:rFonts w:ascii="Times New Roman" w:eastAsia="Times New Roman" w:hAnsi="Times New Roman" w:cs="Times New Roman"/>
          <w:lang w:eastAsia="cs-CZ"/>
        </w:rPr>
      </w:pPr>
      <w:r w:rsidRPr="00833681">
        <w:rPr>
          <w:rFonts w:ascii="Times New Roman" w:eastAsia="Times New Roman" w:hAnsi="Times New Roman" w:cs="Times New Roman"/>
          <w:lang w:eastAsia="cs-CZ"/>
        </w:rPr>
        <w:t xml:space="preserve">Posouzení </w:t>
      </w:r>
      <w:r w:rsidRPr="00833681">
        <w:rPr>
          <w:rFonts w:ascii="Times New Roman" w:eastAsia="Times New Roman" w:hAnsi="Times New Roman" w:cs="Times New Roman"/>
          <w:b/>
          <w:lang w:eastAsia="cs-CZ"/>
        </w:rPr>
        <w:t>ústavnosti</w:t>
      </w:r>
      <w:r w:rsidRPr="00833681">
        <w:rPr>
          <w:rFonts w:ascii="Times New Roman" w:eastAsia="Times New Roman" w:hAnsi="Times New Roman" w:cs="Times New Roman"/>
          <w:lang w:eastAsia="cs-CZ"/>
        </w:rPr>
        <w:t xml:space="preserve"> navrhované právní úpravy je provedeno výše v bodu 3. Z hlediska Úmluvy přitom hraje roli jen zjevná neústavnost, případně neústavnost potvrzená příslušným orgánem (Ústavním soudem), jehož rozhodnutí nejsou právním předpisem respektována (viz rozsudek Evropského soudu pro lidská práva ve věci </w:t>
      </w:r>
      <w:r w:rsidRPr="00833681">
        <w:rPr>
          <w:rFonts w:ascii="Times New Roman" w:eastAsia="Times New Roman" w:hAnsi="Times New Roman" w:cs="Times New Roman"/>
          <w:i/>
          <w:lang w:eastAsia="cs-CZ"/>
        </w:rPr>
        <w:t>R &amp; L, s. r. o., a ostatní proti České republice</w:t>
      </w:r>
      <w:r w:rsidRPr="00833681">
        <w:rPr>
          <w:rFonts w:ascii="Times New Roman" w:eastAsia="Times New Roman" w:hAnsi="Times New Roman" w:cs="Times New Roman"/>
          <w:lang w:eastAsia="cs-CZ"/>
        </w:rPr>
        <w:t xml:space="preserve"> ze dne 3. července 2014, stížnost č. 37926/05, 25784/09, 36002/09, 44410/09 a 65546/09).</w:t>
      </w:r>
    </w:p>
    <w:p w14:paraId="24E39638" w14:textId="77777777" w:rsidR="00833681" w:rsidRPr="00833681" w:rsidRDefault="00833681" w:rsidP="00833681">
      <w:pPr>
        <w:widowControl w:val="0"/>
        <w:numPr>
          <w:ilvl w:val="0"/>
          <w:numId w:val="11"/>
        </w:numPr>
        <w:autoSpaceDE w:val="0"/>
        <w:autoSpaceDN w:val="0"/>
        <w:adjustRightInd w:val="0"/>
        <w:spacing w:after="120" w:line="240" w:lineRule="auto"/>
        <w:ind w:left="714" w:hanging="357"/>
        <w:jc w:val="both"/>
        <w:rPr>
          <w:rFonts w:ascii="Times New Roman" w:eastAsia="Times New Roman" w:hAnsi="Times New Roman" w:cs="Times New Roman"/>
          <w:lang w:eastAsia="cs-CZ"/>
        </w:rPr>
      </w:pPr>
      <w:r w:rsidRPr="00833681">
        <w:rPr>
          <w:rFonts w:ascii="Times New Roman" w:eastAsia="Times New Roman" w:hAnsi="Times New Roman" w:cs="Times New Roman"/>
          <w:b/>
          <w:lang w:eastAsia="cs-CZ"/>
        </w:rPr>
        <w:t>Dostupnost</w:t>
      </w:r>
      <w:r w:rsidRPr="00833681">
        <w:rPr>
          <w:rFonts w:ascii="Times New Roman" w:eastAsia="Times New Roman" w:hAnsi="Times New Roman" w:cs="Times New Roman"/>
          <w:lang w:eastAsia="cs-CZ"/>
        </w:rPr>
        <w:t xml:space="preserve"> právních předpisů je zajištěna vyhlášením ve Sbírce zákonů. Vzhledem ke skutečnosti, že povinnosti subjektům lze ukládat pouze na základě zákona, což je zaručeno i na ústavní úrovni čl. 4 odst. 1 Listiny, lze konstatovat, že všechny základní povinnosti subjektů jsou upraveny na zákonné úrovni, a požadavek dostupnosti je tudíž naplněn.</w:t>
      </w:r>
    </w:p>
    <w:p w14:paraId="4A06B6A3" w14:textId="1CB9B10B" w:rsidR="00833681" w:rsidRPr="00833681" w:rsidRDefault="0018097C" w:rsidP="00833681">
      <w:pPr>
        <w:widowControl w:val="0"/>
        <w:numPr>
          <w:ilvl w:val="0"/>
          <w:numId w:val="11"/>
        </w:numPr>
        <w:autoSpaceDE w:val="0"/>
        <w:autoSpaceDN w:val="0"/>
        <w:adjustRightInd w:val="0"/>
        <w:spacing w:after="120" w:line="240" w:lineRule="auto"/>
        <w:ind w:left="714" w:hanging="357"/>
        <w:jc w:val="both"/>
        <w:rPr>
          <w:rFonts w:ascii="Times New Roman" w:eastAsia="Times New Roman" w:hAnsi="Times New Roman" w:cs="Times New Roman"/>
          <w:lang w:eastAsia="cs-CZ"/>
        </w:rPr>
      </w:pPr>
      <w:r w:rsidRPr="0018097C">
        <w:rPr>
          <w:rFonts w:ascii="Times New Roman" w:eastAsia="Times New Roman" w:hAnsi="Times New Roman" w:cs="Times New Roman"/>
          <w:lang w:eastAsia="cs-CZ"/>
        </w:rPr>
        <w:t xml:space="preserve">Otázka </w:t>
      </w:r>
      <w:r w:rsidRPr="0018097C">
        <w:rPr>
          <w:rFonts w:ascii="Times New Roman" w:eastAsia="Times New Roman" w:hAnsi="Times New Roman" w:cs="Times New Roman"/>
          <w:b/>
          <w:lang w:eastAsia="cs-CZ"/>
        </w:rPr>
        <w:t>předvídatelnosti</w:t>
      </w:r>
      <w:r w:rsidRPr="0018097C">
        <w:rPr>
          <w:rFonts w:ascii="Times New Roman" w:eastAsia="Times New Roman" w:hAnsi="Times New Roman" w:cs="Times New Roman"/>
          <w:lang w:eastAsia="cs-CZ"/>
        </w:rPr>
        <w:t xml:space="preserve"> tuzemských daňových předpisů (v širokém slova smyslu) byla v minulosti opakovaně řešena Evropským soudem pro lidská práva (např. rozsudky ve věci </w:t>
      </w:r>
      <w:r w:rsidRPr="0018097C">
        <w:rPr>
          <w:rFonts w:ascii="Times New Roman" w:eastAsia="Times New Roman" w:hAnsi="Times New Roman" w:cs="Times New Roman"/>
          <w:i/>
          <w:lang w:eastAsia="cs-CZ"/>
        </w:rPr>
        <w:t xml:space="preserve">AGRO-B, spol. s r. o., proti České republice </w:t>
      </w:r>
      <w:r w:rsidRPr="0018097C">
        <w:rPr>
          <w:rFonts w:ascii="Times New Roman" w:eastAsia="Times New Roman" w:hAnsi="Times New Roman" w:cs="Times New Roman"/>
          <w:lang w:eastAsia="cs-CZ"/>
        </w:rPr>
        <w:t>ze dne 1. února 2011, stížnost č. 740/05 nebo</w:t>
      </w:r>
      <w:r w:rsidRPr="0018097C">
        <w:rPr>
          <w:rFonts w:ascii="Times New Roman" w:eastAsia="Times New Roman" w:hAnsi="Times New Roman" w:cs="Times New Roman"/>
          <w:i/>
          <w:lang w:eastAsia="cs-CZ"/>
        </w:rPr>
        <w:t xml:space="preserve"> CBC-Union, s. r. o., proti České republice</w:t>
      </w:r>
      <w:r w:rsidRPr="0018097C">
        <w:rPr>
          <w:rFonts w:ascii="Times New Roman" w:eastAsia="Times New Roman" w:hAnsi="Times New Roman" w:cs="Times New Roman"/>
          <w:lang w:eastAsia="cs-CZ"/>
        </w:rPr>
        <w:t xml:space="preserve"> ze dne 20. září 2005, stížnost č. 68741/01), kde byla jejich předvídatelnost potvrzena. Předvídatelnost daňového předpisu souvisí s tím, nakolik je povinnost v právním textu jednoznačně formulována. Navrhovaná úprava formuluje požadavky na jednotlivé daňové subjekty jednoznačně, a tedy i požadavek předvídatelnosti je naplněn.</w:t>
      </w:r>
    </w:p>
    <w:p w14:paraId="7E997250" w14:textId="1E2FF270" w:rsidR="00833681" w:rsidRPr="00833681" w:rsidRDefault="00833681" w:rsidP="00833681">
      <w:pPr>
        <w:widowControl w:val="0"/>
        <w:numPr>
          <w:ilvl w:val="0"/>
          <w:numId w:val="11"/>
        </w:numPr>
        <w:spacing w:after="120" w:line="240" w:lineRule="auto"/>
        <w:ind w:left="714" w:hanging="357"/>
        <w:jc w:val="both"/>
        <w:rPr>
          <w:rFonts w:ascii="Times New Roman" w:eastAsia="Calibri" w:hAnsi="Times New Roman" w:cs="Times New Roman"/>
          <w:szCs w:val="20"/>
        </w:rPr>
      </w:pPr>
      <w:r w:rsidRPr="00833681">
        <w:rPr>
          <w:rFonts w:ascii="Times New Roman" w:eastAsia="Times New Roman" w:hAnsi="Times New Roman" w:cs="Times New Roman"/>
          <w:b/>
          <w:lang w:eastAsia="cs-CZ"/>
        </w:rPr>
        <w:t xml:space="preserve">Záruku proti svévoli </w:t>
      </w:r>
      <w:r w:rsidRPr="00833681">
        <w:rPr>
          <w:rFonts w:ascii="Times New Roman" w:eastAsia="Times New Roman" w:hAnsi="Times New Roman" w:cs="Times New Roman"/>
          <w:lang w:eastAsia="cs-CZ"/>
        </w:rPr>
        <w:t xml:space="preserve">a účinnou obranu proti nesprávnému postupu orgánů celní správy představují primárně řádné opravné prostředky podle daňového řádu. Povinností </w:t>
      </w:r>
      <w:r w:rsidR="00E627F7">
        <w:rPr>
          <w:rFonts w:ascii="Times New Roman" w:eastAsia="Times New Roman" w:hAnsi="Times New Roman" w:cs="Times New Roman"/>
          <w:lang w:eastAsia="cs-CZ"/>
        </w:rPr>
        <w:t>správce daně</w:t>
      </w:r>
      <w:r w:rsidRPr="00833681">
        <w:rPr>
          <w:rFonts w:ascii="Times New Roman" w:eastAsia="Times New Roman" w:hAnsi="Times New Roman" w:cs="Times New Roman"/>
          <w:lang w:eastAsia="cs-CZ"/>
        </w:rPr>
        <w:t xml:space="preserve"> je v souladu s ustanovením § 102 odst. 1 písm. f) daňového řádu uvést ve svém rozhodnutí poučení o tom, zda je možné proti danému rozhodnutí podat odvolání, v jaké lhůtě je tak možno učinit, u kterého </w:t>
      </w:r>
      <w:r w:rsidR="00817F08">
        <w:rPr>
          <w:rFonts w:ascii="Times New Roman" w:eastAsia="Times New Roman" w:hAnsi="Times New Roman" w:cs="Times New Roman"/>
          <w:lang w:eastAsia="cs-CZ"/>
        </w:rPr>
        <w:t>správce daně</w:t>
      </w:r>
      <w:r w:rsidRPr="00833681">
        <w:rPr>
          <w:rFonts w:ascii="Times New Roman" w:eastAsia="Times New Roman" w:hAnsi="Times New Roman" w:cs="Times New Roman"/>
          <w:lang w:eastAsia="cs-CZ"/>
        </w:rPr>
        <w:t xml:space="preserve"> se odvolání podává a zároveň upozornit na případné vyloučení odkladného účinku. Pokud by toto poučení bylo nesprávné, neúplné nebo by zcela chybělo, je to spojeno s důsledky </w:t>
      </w:r>
      <w:r w:rsidRPr="00833681">
        <w:rPr>
          <w:rFonts w:ascii="Times New Roman" w:eastAsia="Times New Roman" w:hAnsi="Times New Roman" w:cs="Times New Roman"/>
          <w:i/>
          <w:lang w:eastAsia="cs-CZ"/>
        </w:rPr>
        <w:t>pro bono</w:t>
      </w:r>
      <w:r w:rsidRPr="00833681">
        <w:rPr>
          <w:rFonts w:ascii="Times New Roman" w:eastAsia="Times New Roman" w:hAnsi="Times New Roman" w:cs="Times New Roman"/>
          <w:lang w:eastAsia="cs-CZ"/>
        </w:rPr>
        <w:t xml:space="preserve"> daného subjektu (srov. § 110 odst. 1 daňového řádu). Vedle řádných opravných prostředků lze využít i mimořádných opravných prostředků dle daňového řádu, upravených v § 117 a násl. Kromě toho připouští daňový řád i jiné prostředky ochrany, kterými je třeba rozumět: námitku (srov. § 159 </w:t>
      </w:r>
      <w:r w:rsidRPr="00833681">
        <w:rPr>
          <w:rFonts w:ascii="Times New Roman" w:eastAsia="Times New Roman" w:hAnsi="Times New Roman" w:cs="Times New Roman"/>
          <w:lang w:eastAsia="cs-CZ"/>
        </w:rPr>
        <w:lastRenderedPageBreak/>
        <w:t>daňového řádu), stížnost (srov. § 261 daňového řádu) a podnět na nečinnost (srov. § 38 daňového řádu). Teprve tehdy, dojde-li k vyčerpání všech opravných prostředků podle daňového řádu, může se subjekt obrátit na soud s žalobou proti rozhodnutí správního orgánu. Riziko svévole je tak díky existenci opravných prostředků, ale i díky možnosti obrátit se na soud eliminováno v nejvyšší možné míře. Lze tedy konstatovat, že navrhovaná právní úprava nemění možnost subjektů využít opravných prostředků, a tím je zajištěna slučitelnost návrhu úpravy s tímto požadavkem Úmluvy.</w:t>
      </w:r>
    </w:p>
    <w:p w14:paraId="5FC364DE" w14:textId="7C40EDC5" w:rsidR="00833681" w:rsidRPr="00833681" w:rsidRDefault="00833681" w:rsidP="00833681">
      <w:pPr>
        <w:widowControl w:val="0"/>
        <w:autoSpaceDE w:val="0"/>
        <w:autoSpaceDN w:val="0"/>
        <w:adjustRightInd w:val="0"/>
        <w:spacing w:after="120" w:line="240" w:lineRule="auto"/>
        <w:jc w:val="both"/>
        <w:rPr>
          <w:rFonts w:ascii="Times New Roman" w:eastAsia="Calibri" w:hAnsi="Times New Roman" w:cs="Times New Roman"/>
          <w:szCs w:val="20"/>
        </w:rPr>
      </w:pPr>
      <w:r w:rsidRPr="00833681">
        <w:rPr>
          <w:rFonts w:ascii="Times New Roman" w:eastAsia="Calibri" w:hAnsi="Times New Roman" w:cs="Times New Roman"/>
          <w:szCs w:val="20"/>
        </w:rPr>
        <w:t xml:space="preserve">Požadavek </w:t>
      </w:r>
      <w:r w:rsidRPr="00833681">
        <w:rPr>
          <w:rFonts w:ascii="Times New Roman" w:eastAsia="Calibri" w:hAnsi="Times New Roman" w:cs="Times New Roman"/>
          <w:b/>
          <w:szCs w:val="20"/>
        </w:rPr>
        <w:t>legitimity</w:t>
      </w:r>
      <w:r w:rsidRPr="00833681">
        <w:rPr>
          <w:rFonts w:ascii="Times New Roman" w:eastAsia="Calibri" w:hAnsi="Times New Roman" w:cs="Times New Roman"/>
          <w:szCs w:val="20"/>
        </w:rPr>
        <w:t xml:space="preserve"> znamená, že je nezbytné zajistit, aby zásah, ke kterému má na základě právního předpisu dojít, sledoval legitimní cíle ve veřejném nebo obecném zájmu. Aby byl požadavek legitimity naplněn, je třeba tyto cíle specifikovat. Legitimním cílem je přitom každý cíl, který zákonodárce za cíl prohlásí, neboť neexistuje žádný, ani příkladný výčet takových cílů, jež by zákonodárce omezoval. Cílem návrhu zákona je zejména</w:t>
      </w:r>
      <w:r w:rsidR="005733D1">
        <w:rPr>
          <w:rFonts w:ascii="Times New Roman" w:eastAsia="Calibri" w:hAnsi="Times New Roman" w:cs="Times New Roman"/>
          <w:szCs w:val="20"/>
        </w:rPr>
        <w:t xml:space="preserve"> </w:t>
      </w:r>
      <w:r w:rsidR="0097426A">
        <w:rPr>
          <w:rFonts w:ascii="Times New Roman" w:eastAsia="Calibri" w:hAnsi="Times New Roman" w:cs="Times New Roman"/>
          <w:szCs w:val="20"/>
        </w:rPr>
        <w:t>přizpůsobit</w:t>
      </w:r>
      <w:r w:rsidR="00F04354">
        <w:rPr>
          <w:rFonts w:ascii="Times New Roman" w:eastAsia="Calibri" w:hAnsi="Times New Roman" w:cs="Times New Roman"/>
          <w:szCs w:val="20"/>
        </w:rPr>
        <w:t xml:space="preserve"> právní úpravu DPH tak, aby odpo</w:t>
      </w:r>
      <w:r w:rsidR="00F62A58">
        <w:rPr>
          <w:rFonts w:ascii="Times New Roman" w:eastAsia="Calibri" w:hAnsi="Times New Roman" w:cs="Times New Roman"/>
          <w:szCs w:val="20"/>
        </w:rPr>
        <w:t>vídala</w:t>
      </w:r>
      <w:r w:rsidR="00847C4C">
        <w:rPr>
          <w:rFonts w:ascii="Times New Roman" w:eastAsia="Calibri" w:hAnsi="Times New Roman" w:cs="Times New Roman"/>
          <w:szCs w:val="20"/>
        </w:rPr>
        <w:t xml:space="preserve"> </w:t>
      </w:r>
      <w:r w:rsidR="00FB00DA">
        <w:rPr>
          <w:rFonts w:ascii="Times New Roman" w:eastAsia="Calibri" w:hAnsi="Times New Roman" w:cs="Times New Roman"/>
          <w:szCs w:val="20"/>
        </w:rPr>
        <w:t xml:space="preserve">ustanovením </w:t>
      </w:r>
      <w:r w:rsidR="00FB00DA" w:rsidRPr="00FB00DA">
        <w:rPr>
          <w:rFonts w:ascii="Times New Roman" w:eastAsia="Calibri" w:hAnsi="Times New Roman" w:cs="Times New Roman"/>
          <w:szCs w:val="20"/>
        </w:rPr>
        <w:t>směrnice DPH v digitálním věku</w:t>
      </w:r>
      <w:r w:rsidRPr="00833681">
        <w:rPr>
          <w:rFonts w:ascii="Times New Roman" w:eastAsia="Calibri" w:hAnsi="Times New Roman" w:cs="Times New Roman"/>
          <w:szCs w:val="20"/>
        </w:rPr>
        <w:t>.</w:t>
      </w:r>
    </w:p>
    <w:p w14:paraId="66017196" w14:textId="146B4025" w:rsidR="00833681" w:rsidRPr="00833681" w:rsidRDefault="0029209E" w:rsidP="00833681">
      <w:pPr>
        <w:widowControl w:val="0"/>
        <w:autoSpaceDE w:val="0"/>
        <w:autoSpaceDN w:val="0"/>
        <w:adjustRightInd w:val="0"/>
        <w:spacing w:after="120" w:line="240" w:lineRule="auto"/>
        <w:jc w:val="both"/>
        <w:rPr>
          <w:rFonts w:ascii="Times New Roman" w:eastAsia="Calibri" w:hAnsi="Times New Roman" w:cs="Times New Roman"/>
          <w:szCs w:val="20"/>
        </w:rPr>
      </w:pPr>
      <w:r w:rsidRPr="0029209E">
        <w:rPr>
          <w:rFonts w:ascii="Times New Roman" w:eastAsia="Calibri" w:hAnsi="Times New Roman" w:cs="Times New Roman"/>
          <w:b/>
          <w:szCs w:val="20"/>
        </w:rPr>
        <w:t>Proporcionalita (přiměřenost)</w:t>
      </w:r>
      <w:r w:rsidRPr="0029209E">
        <w:rPr>
          <w:rFonts w:ascii="Times New Roman" w:eastAsia="Calibri" w:hAnsi="Times New Roman" w:cs="Times New Roman"/>
          <w:szCs w:val="20"/>
        </w:rPr>
        <w:t xml:space="preserve"> jako poslední požadavek se na poli čl. 1 Protokolu č. 1 váže k tomu, že jednotlivec nesmí být nucen nést nadměrné individuální břemeno, typicky takové, které ohrožuje samotnou jeho existenci v rovině majetkových poměrů (hrozba ukončení podnikání či úpadku u právnické nebo fyzické osoby), včetně zabezpečování obživy pro sebe a pro rodinu v případě fyzické osoby. Sazby daní, poplatků a jiných obdobných peněžitých plnění, stejně jako výše případných pokut, by proto neměly být likvidační (viz </w:t>
      </w:r>
      <w:r w:rsidRPr="0029209E">
        <w:rPr>
          <w:rFonts w:ascii="Times New Roman" w:eastAsia="Times New Roman" w:hAnsi="Times New Roman" w:cs="Times New Roman"/>
          <w:lang w:eastAsia="cs-CZ"/>
        </w:rPr>
        <w:t>rozsudek Evropského soudu pro lidská práva ve věci</w:t>
      </w:r>
      <w:r w:rsidRPr="0029209E">
        <w:rPr>
          <w:rFonts w:ascii="Times New Roman" w:eastAsia="Calibri" w:hAnsi="Times New Roman" w:cs="Times New Roman"/>
          <w:szCs w:val="20"/>
        </w:rPr>
        <w:t xml:space="preserve"> </w:t>
      </w:r>
      <w:r w:rsidRPr="0029209E">
        <w:rPr>
          <w:rFonts w:ascii="Times New Roman" w:eastAsia="Calibri" w:hAnsi="Times New Roman" w:cs="Times New Roman"/>
          <w:i/>
          <w:szCs w:val="20"/>
        </w:rPr>
        <w:t xml:space="preserve">Mikrotechna, s. r. o., proti České republice </w:t>
      </w:r>
      <w:r w:rsidRPr="0029209E">
        <w:rPr>
          <w:rFonts w:ascii="Times New Roman" w:eastAsia="Calibri" w:hAnsi="Times New Roman" w:cs="Times New Roman"/>
          <w:szCs w:val="20"/>
        </w:rPr>
        <w:t xml:space="preserve">ze dne 28. května 2008, stížnost č. 23177/04 </w:t>
      </w:r>
      <w:r w:rsidRPr="0029209E">
        <w:rPr>
          <w:rFonts w:ascii="Times New Roman" w:eastAsia="Calibri" w:hAnsi="Times New Roman" w:cs="Times New Roman"/>
          <w:i/>
          <w:szCs w:val="20"/>
        </w:rPr>
        <w:t xml:space="preserve">nebo </w:t>
      </w:r>
      <w:r w:rsidRPr="0029209E">
        <w:rPr>
          <w:rFonts w:ascii="Times New Roman" w:eastAsia="Calibri" w:hAnsi="Times New Roman" w:cs="Times New Roman"/>
          <w:szCs w:val="20"/>
        </w:rPr>
        <w:t xml:space="preserve">rozsudek ve věci </w:t>
      </w:r>
      <w:r w:rsidRPr="0029209E">
        <w:rPr>
          <w:rFonts w:ascii="Times New Roman" w:eastAsia="Calibri" w:hAnsi="Times New Roman" w:cs="Times New Roman"/>
          <w:i/>
          <w:szCs w:val="20"/>
        </w:rPr>
        <w:t>ORION-Břeclav, s. r. o., proti České republice</w:t>
      </w:r>
      <w:r w:rsidRPr="0029209E">
        <w:rPr>
          <w:rFonts w:ascii="Times New Roman" w:eastAsia="Calibri" w:hAnsi="Times New Roman" w:cs="Times New Roman"/>
          <w:szCs w:val="20"/>
        </w:rPr>
        <w:t xml:space="preserve"> ze dne 13. ledna 2004, stížnost č. 43783/98). To, zda navrhovaná právní úprava nepovede k tzv. škrtícímu (rdousícímu) efektu, je přitom třeba posuzovat i ve vztahu k ústavnímu pořádku (viz výše). S ohledem na charakter navrhovaných opatření nelze ve vztahu k tomuto návrhu zákona hovořit o rdousícím účinku.</w:t>
      </w:r>
    </w:p>
    <w:p w14:paraId="606F78A2" w14:textId="77777777" w:rsidR="00833681" w:rsidRPr="00833681" w:rsidRDefault="00833681" w:rsidP="00833681">
      <w:pPr>
        <w:widowControl w:val="0"/>
        <w:autoSpaceDE w:val="0"/>
        <w:autoSpaceDN w:val="0"/>
        <w:adjustRightInd w:val="0"/>
        <w:spacing w:after="120" w:line="240" w:lineRule="auto"/>
        <w:jc w:val="both"/>
        <w:rPr>
          <w:rFonts w:ascii="Times New Roman" w:eastAsia="Calibri" w:hAnsi="Times New Roman" w:cs="Times New Roman"/>
          <w:szCs w:val="20"/>
        </w:rPr>
      </w:pPr>
      <w:r w:rsidRPr="00833681">
        <w:rPr>
          <w:rFonts w:ascii="Times New Roman" w:eastAsia="Calibri" w:hAnsi="Times New Roman" w:cs="Times New Roman"/>
          <w:szCs w:val="20"/>
        </w:rPr>
        <w:t xml:space="preserve">Zákaz </w:t>
      </w:r>
      <w:r w:rsidRPr="00833681">
        <w:rPr>
          <w:rFonts w:ascii="Times New Roman" w:eastAsia="Calibri" w:hAnsi="Times New Roman" w:cs="Times New Roman"/>
          <w:b/>
          <w:szCs w:val="20"/>
        </w:rPr>
        <w:t>diskriminace</w:t>
      </w:r>
      <w:r w:rsidRPr="00833681">
        <w:rPr>
          <w:rFonts w:ascii="Times New Roman" w:eastAsia="Calibri" w:hAnsi="Times New Roman" w:cs="Times New Roman"/>
          <w:szCs w:val="20"/>
        </w:rPr>
        <w:t xml:space="preserve"> vyjádřený v článku 14 Úmluvy směřuje proti takovému zacházení, kdy by s osobami, které jsou ve stejném nebo obdobném postavení, bylo zacházeno nerovně, nebo naopak, kdy by s osobami, které se nacházejí v odlišném postavení, bylo zacházeno stejně. Pokud by tento přístup neměl žádné opodstatnění, tedy pokud by nebyl opřen o žádný legitimní a objektivní důvod, byl by diskriminační. Návrh zákona nerozlišuje subjekty podle jejich pohlaví, rasy, barvy pleti, jazyka, víry, náboženství, politického a jiného smýšlení, národního nebo sociálního původu, příslušnosti k národnostní nebo etnické menšině, majetku, rodu nebo jiného postavení. Navrhovaná právní úprava je tak v souladu s požadavkem Úmluvy zakazujícím diskriminaci. Lze tak konstatovat, že návrh zákona nezavádí žádné opatření, na </w:t>
      </w:r>
      <w:proofErr w:type="gramStart"/>
      <w:r w:rsidRPr="00833681">
        <w:rPr>
          <w:rFonts w:ascii="Times New Roman" w:eastAsia="Calibri" w:hAnsi="Times New Roman" w:cs="Times New Roman"/>
          <w:szCs w:val="20"/>
        </w:rPr>
        <w:t>základě</w:t>
      </w:r>
      <w:proofErr w:type="gramEnd"/>
      <w:r w:rsidRPr="00833681">
        <w:rPr>
          <w:rFonts w:ascii="Times New Roman" w:eastAsia="Calibri" w:hAnsi="Times New Roman" w:cs="Times New Roman"/>
          <w:szCs w:val="20"/>
        </w:rPr>
        <w:t xml:space="preserve"> kterého by byl zákaz diskriminace porušen.</w:t>
      </w:r>
    </w:p>
    <w:p w14:paraId="2F73C355" w14:textId="77777777" w:rsidR="00833681" w:rsidRPr="00833681" w:rsidRDefault="00833681" w:rsidP="00833681">
      <w:pPr>
        <w:widowControl w:val="0"/>
        <w:spacing w:after="120" w:line="240" w:lineRule="auto"/>
        <w:jc w:val="both"/>
        <w:rPr>
          <w:rFonts w:ascii="Times New Roman" w:eastAsia="Calibri" w:hAnsi="Times New Roman" w:cs="Times New Roman"/>
          <w:szCs w:val="20"/>
        </w:rPr>
      </w:pPr>
      <w:r w:rsidRPr="00833681">
        <w:rPr>
          <w:rFonts w:ascii="Times New Roman" w:eastAsia="Times New Roman" w:hAnsi="Times New Roman" w:cs="Times New Roman"/>
          <w:lang w:eastAsia="cs-CZ"/>
        </w:rPr>
        <w:t xml:space="preserve">V rámci celkového zhodnocení navržené právní úpravy v kontextu </w:t>
      </w:r>
      <w:r w:rsidRPr="00833681">
        <w:rPr>
          <w:rFonts w:ascii="Times New Roman" w:eastAsia="Calibri" w:hAnsi="Times New Roman" w:cs="Times New Roman"/>
        </w:rPr>
        <w:t>Úmluvy o ochraně lidských práv a základních svobod lze konstatovat, že s ohledem na všechny výše uvedené skutečnosti je navrhovaná právní úprava plně slučitelná s touto Úmluvou.</w:t>
      </w:r>
    </w:p>
    <w:p w14:paraId="07195D9D" w14:textId="77777777" w:rsidR="00833681" w:rsidRPr="00833681" w:rsidRDefault="00833681" w:rsidP="00833681">
      <w:pPr>
        <w:spacing w:after="120" w:line="240" w:lineRule="auto"/>
        <w:jc w:val="both"/>
        <w:rPr>
          <w:rFonts w:ascii="Times New Roman" w:eastAsia="Times New Roman" w:hAnsi="Times New Roman" w:cs="Times New Roman"/>
          <w:i/>
          <w:iCs/>
          <w:szCs w:val="20"/>
          <w:u w:val="single"/>
        </w:rPr>
      </w:pPr>
      <w:r w:rsidRPr="00833681">
        <w:rPr>
          <w:rFonts w:ascii="Times New Roman" w:eastAsia="Times New Roman" w:hAnsi="Times New Roman" w:cs="Times New Roman"/>
          <w:i/>
          <w:iCs/>
          <w:szCs w:val="20"/>
          <w:u w:val="single"/>
        </w:rPr>
        <w:t>Další dotčená ustanovení</w:t>
      </w:r>
    </w:p>
    <w:p w14:paraId="7328F951" w14:textId="77777777" w:rsidR="00833681" w:rsidRPr="00833681" w:rsidRDefault="00833681" w:rsidP="00833681">
      <w:pPr>
        <w:widowControl w:val="0"/>
        <w:autoSpaceDE w:val="0"/>
        <w:autoSpaceDN w:val="0"/>
        <w:adjustRightInd w:val="0"/>
        <w:spacing w:after="120" w:line="240" w:lineRule="auto"/>
        <w:jc w:val="both"/>
        <w:rPr>
          <w:rFonts w:ascii="Times New Roman" w:eastAsia="Calibri" w:hAnsi="Times New Roman" w:cs="Times New Roman"/>
          <w:szCs w:val="20"/>
        </w:rPr>
      </w:pPr>
      <w:r w:rsidRPr="00833681">
        <w:rPr>
          <w:rFonts w:ascii="Times New Roman" w:eastAsia="Calibri" w:hAnsi="Times New Roman" w:cs="Times New Roman"/>
          <w:szCs w:val="20"/>
        </w:rPr>
        <w:t xml:space="preserve">S požadavkem záruky proti svévoli, uvedeném v předchozím bodě, úzce souvisí ustanovení článku 13 Úmluvy, které deklaruje právo na účinný vnitrostátní prostředek nápravy v případě porušení práva zaručeného Úmluvou. Ten je při správě daní, poplatků a jiných obdobných peněžitých plnění zajištěn možností využít řádné i mimořádné opravné prostředky, a kromě toho i další prostředky, jako jsou námitky, stížnost nebo podnět na nečinnost, popř. možností domáhat </w:t>
      </w:r>
      <w:r w:rsidRPr="00833681">
        <w:rPr>
          <w:rFonts w:ascii="Times New Roman" w:eastAsia="Calibri" w:hAnsi="Times New Roman" w:cs="Times New Roman"/>
          <w:szCs w:val="20"/>
        </w:rPr>
        <w:lastRenderedPageBreak/>
        <w:t>se soudní ochrany, a také právem domáhat se náhrady škody a nemajetkové újmy, která byla porušením základního práva chráněného Úmluvou způsobena. Z tohoto hlediska je tedy soulad navrhované úpravy s Úmluvou zajištěn.</w:t>
      </w:r>
    </w:p>
    <w:p w14:paraId="05F19BDB" w14:textId="77777777" w:rsidR="00833681" w:rsidRPr="00833681" w:rsidRDefault="00833681" w:rsidP="00833681">
      <w:pPr>
        <w:keepNext/>
        <w:spacing w:before="240" w:after="120" w:line="240" w:lineRule="auto"/>
        <w:jc w:val="both"/>
        <w:rPr>
          <w:rFonts w:ascii="Times New Roman" w:eastAsia="Times New Roman" w:hAnsi="Times New Roman" w:cs="Times New Roman"/>
          <w:b/>
          <w:szCs w:val="20"/>
          <w:u w:val="single"/>
        </w:rPr>
      </w:pPr>
      <w:r w:rsidRPr="00833681">
        <w:rPr>
          <w:rFonts w:ascii="Times New Roman" w:eastAsia="Times New Roman" w:hAnsi="Times New Roman" w:cs="Times New Roman"/>
          <w:b/>
          <w:szCs w:val="20"/>
          <w:u w:val="single"/>
        </w:rPr>
        <w:t>Mezinárodní pakt o občanských a politických právech</w:t>
      </w:r>
    </w:p>
    <w:p w14:paraId="20F4C4C0" w14:textId="77777777" w:rsidR="00833681" w:rsidRPr="00833681" w:rsidRDefault="00833681" w:rsidP="00833681">
      <w:pPr>
        <w:widowControl w:val="0"/>
        <w:autoSpaceDE w:val="0"/>
        <w:autoSpaceDN w:val="0"/>
        <w:adjustRightInd w:val="0"/>
        <w:spacing w:after="120" w:line="240" w:lineRule="auto"/>
        <w:jc w:val="both"/>
        <w:rPr>
          <w:rFonts w:ascii="Times New Roman" w:eastAsia="Calibri" w:hAnsi="Times New Roman" w:cs="Times New Roman"/>
          <w:szCs w:val="20"/>
        </w:rPr>
      </w:pPr>
      <w:r w:rsidRPr="00833681">
        <w:rPr>
          <w:rFonts w:ascii="Times New Roman" w:eastAsia="Calibri" w:hAnsi="Times New Roman" w:cs="Times New Roman"/>
          <w:szCs w:val="20"/>
        </w:rPr>
        <w:t>Mezinárodní pakt o občanských a politických právech ze dne 19. prosince 1966, vyhlášený ve Sbírce zákonů pod č. 120/1976 Sb. (dále jen „Pakt“), zakotvuje</w:t>
      </w:r>
    </w:p>
    <w:p w14:paraId="692CC952" w14:textId="77777777" w:rsidR="00833681" w:rsidRPr="00833681" w:rsidRDefault="00833681" w:rsidP="00833681">
      <w:pPr>
        <w:widowControl w:val="0"/>
        <w:numPr>
          <w:ilvl w:val="0"/>
          <w:numId w:val="12"/>
        </w:numPr>
        <w:autoSpaceDE w:val="0"/>
        <w:autoSpaceDN w:val="0"/>
        <w:adjustRightInd w:val="0"/>
        <w:spacing w:after="120" w:line="240" w:lineRule="auto"/>
        <w:jc w:val="both"/>
        <w:rPr>
          <w:rFonts w:ascii="Times New Roman" w:eastAsia="Calibri" w:hAnsi="Times New Roman" w:cs="Times New Roman"/>
          <w:szCs w:val="20"/>
        </w:rPr>
      </w:pPr>
      <w:r w:rsidRPr="00833681">
        <w:rPr>
          <w:rFonts w:ascii="Times New Roman" w:eastAsia="Calibri" w:hAnsi="Times New Roman" w:cs="Times New Roman"/>
          <w:szCs w:val="20"/>
        </w:rPr>
        <w:t>v článku 2 odst. 3 právo domáhat se ochrany před případným zásahem do práv garantovaných Paktem,</w:t>
      </w:r>
    </w:p>
    <w:p w14:paraId="76344B3E" w14:textId="77777777" w:rsidR="00833681" w:rsidRPr="00833681" w:rsidRDefault="00833681" w:rsidP="00833681">
      <w:pPr>
        <w:widowControl w:val="0"/>
        <w:numPr>
          <w:ilvl w:val="0"/>
          <w:numId w:val="12"/>
        </w:numPr>
        <w:autoSpaceDE w:val="0"/>
        <w:autoSpaceDN w:val="0"/>
        <w:adjustRightInd w:val="0"/>
        <w:spacing w:after="120" w:line="240" w:lineRule="auto"/>
        <w:jc w:val="both"/>
        <w:rPr>
          <w:rFonts w:ascii="Times New Roman" w:eastAsia="Calibri" w:hAnsi="Times New Roman" w:cs="Times New Roman"/>
          <w:szCs w:val="20"/>
        </w:rPr>
      </w:pPr>
      <w:r w:rsidRPr="00833681">
        <w:rPr>
          <w:rFonts w:ascii="Times New Roman" w:eastAsia="Calibri" w:hAnsi="Times New Roman" w:cs="Times New Roman"/>
          <w:szCs w:val="20"/>
        </w:rPr>
        <w:t>v článku 3 zákaz diskriminace na základě pohlaví,</w:t>
      </w:r>
    </w:p>
    <w:p w14:paraId="4F377E69" w14:textId="77777777" w:rsidR="00833681" w:rsidRPr="00833681" w:rsidRDefault="00833681" w:rsidP="00833681">
      <w:pPr>
        <w:widowControl w:val="0"/>
        <w:numPr>
          <w:ilvl w:val="0"/>
          <w:numId w:val="12"/>
        </w:numPr>
        <w:autoSpaceDE w:val="0"/>
        <w:autoSpaceDN w:val="0"/>
        <w:adjustRightInd w:val="0"/>
        <w:spacing w:after="120" w:line="240" w:lineRule="auto"/>
        <w:jc w:val="both"/>
        <w:rPr>
          <w:rFonts w:ascii="Times New Roman" w:eastAsia="Calibri" w:hAnsi="Times New Roman" w:cs="Times New Roman"/>
          <w:szCs w:val="20"/>
        </w:rPr>
      </w:pPr>
      <w:r w:rsidRPr="00833681">
        <w:rPr>
          <w:rFonts w:ascii="Times New Roman" w:eastAsia="Calibri" w:hAnsi="Times New Roman" w:cs="Times New Roman"/>
          <w:szCs w:val="20"/>
        </w:rPr>
        <w:t>v článku 14 a 15 právo na spravedlivý proces v trestních věcech,</w:t>
      </w:r>
    </w:p>
    <w:p w14:paraId="1EF969C6" w14:textId="77777777" w:rsidR="00833681" w:rsidRPr="00833681" w:rsidRDefault="00833681" w:rsidP="00833681">
      <w:pPr>
        <w:widowControl w:val="0"/>
        <w:numPr>
          <w:ilvl w:val="0"/>
          <w:numId w:val="12"/>
        </w:numPr>
        <w:autoSpaceDE w:val="0"/>
        <w:autoSpaceDN w:val="0"/>
        <w:adjustRightInd w:val="0"/>
        <w:spacing w:after="120" w:line="240" w:lineRule="auto"/>
        <w:jc w:val="both"/>
        <w:rPr>
          <w:rFonts w:ascii="Times New Roman" w:eastAsia="Calibri" w:hAnsi="Times New Roman" w:cs="Times New Roman"/>
          <w:szCs w:val="20"/>
        </w:rPr>
      </w:pPr>
      <w:r w:rsidRPr="00833681">
        <w:rPr>
          <w:rFonts w:ascii="Times New Roman" w:eastAsia="Calibri" w:hAnsi="Times New Roman" w:cs="Times New Roman"/>
          <w:szCs w:val="20"/>
        </w:rPr>
        <w:t>v článku 17 zákaz svévolných zásahů do soukromého života a</w:t>
      </w:r>
    </w:p>
    <w:p w14:paraId="615B8C6C" w14:textId="77777777" w:rsidR="00833681" w:rsidRPr="00833681" w:rsidRDefault="00833681" w:rsidP="00833681">
      <w:pPr>
        <w:widowControl w:val="0"/>
        <w:numPr>
          <w:ilvl w:val="0"/>
          <w:numId w:val="12"/>
        </w:numPr>
        <w:autoSpaceDE w:val="0"/>
        <w:autoSpaceDN w:val="0"/>
        <w:adjustRightInd w:val="0"/>
        <w:spacing w:after="120" w:line="240" w:lineRule="auto"/>
        <w:jc w:val="both"/>
        <w:rPr>
          <w:rFonts w:ascii="Times New Roman" w:eastAsia="Calibri" w:hAnsi="Times New Roman" w:cs="Times New Roman"/>
          <w:szCs w:val="20"/>
        </w:rPr>
      </w:pPr>
      <w:r w:rsidRPr="00833681">
        <w:rPr>
          <w:rFonts w:ascii="Times New Roman" w:eastAsia="Calibri" w:hAnsi="Times New Roman" w:cs="Times New Roman"/>
          <w:szCs w:val="20"/>
        </w:rPr>
        <w:t>v článku 26 zákaz diskriminace na základě dalších důvodů.</w:t>
      </w:r>
    </w:p>
    <w:p w14:paraId="1026ED9E" w14:textId="77777777" w:rsidR="00833681" w:rsidRPr="00833681" w:rsidRDefault="00833681" w:rsidP="00833681">
      <w:pPr>
        <w:widowControl w:val="0"/>
        <w:autoSpaceDE w:val="0"/>
        <w:autoSpaceDN w:val="0"/>
        <w:adjustRightInd w:val="0"/>
        <w:spacing w:after="120" w:line="240" w:lineRule="auto"/>
        <w:jc w:val="both"/>
        <w:rPr>
          <w:rFonts w:ascii="Times New Roman" w:eastAsia="Calibri" w:hAnsi="Times New Roman" w:cs="Times New Roman"/>
          <w:szCs w:val="20"/>
        </w:rPr>
      </w:pPr>
      <w:r w:rsidRPr="00833681">
        <w:rPr>
          <w:rFonts w:ascii="Times New Roman" w:eastAsia="Calibri" w:hAnsi="Times New Roman" w:cs="Times New Roman"/>
          <w:szCs w:val="20"/>
        </w:rPr>
        <w:t>Tato práva mají zásadně stejný obsah jako obdobná práva zakotvená v Úmluvě, která byla posuzována výše. Výjimkou je zákaz diskriminace dle článku 26 Paktu. Zatímco zákaz diskriminace zakotvený v Úmluvě má povahu akcesorického práva (tedy se ho lze dovolat pouze spolu s porušením jiného práva), v případě Paktu má zákaz diskriminace povahu neakcesorickou, a tedy se jej lze dovolat přímo. Zhodnocení vztahu k zákazu diskriminace provedené v části 5. 1. však nezáviselo na tom, zda má toto právo akcesorickou nebo neakcesorickou povahu. Na základě tohoto zhodnocení tedy lze dovodit, že navržená právní úprava je v souladu s článkem 26 Paktu.</w:t>
      </w:r>
    </w:p>
    <w:p w14:paraId="40768CD5" w14:textId="77777777" w:rsidR="00833681" w:rsidRPr="00833681" w:rsidRDefault="00833681" w:rsidP="00833681">
      <w:pPr>
        <w:widowControl w:val="0"/>
        <w:autoSpaceDE w:val="0"/>
        <w:autoSpaceDN w:val="0"/>
        <w:adjustRightInd w:val="0"/>
        <w:spacing w:after="120" w:line="240" w:lineRule="auto"/>
        <w:jc w:val="both"/>
        <w:rPr>
          <w:rFonts w:ascii="Times New Roman" w:eastAsia="Calibri" w:hAnsi="Times New Roman" w:cs="Times New Roman"/>
          <w:szCs w:val="20"/>
        </w:rPr>
      </w:pPr>
      <w:r w:rsidRPr="00833681">
        <w:rPr>
          <w:rFonts w:ascii="Times New Roman" w:eastAsia="Calibri" w:hAnsi="Times New Roman" w:cs="Times New Roman"/>
          <w:szCs w:val="20"/>
        </w:rPr>
        <w:t>S odkazem na výše uvedenou argumentaci k Úmluvě tedy lze konstatovat, že navrhovaná právní úprava je plně slučitelná s Paktem.</w:t>
      </w:r>
    </w:p>
    <w:p w14:paraId="1F059754" w14:textId="77777777" w:rsidR="00833681" w:rsidRPr="00833681" w:rsidRDefault="00833681" w:rsidP="00833681">
      <w:pPr>
        <w:keepNext/>
        <w:spacing w:before="240" w:after="120" w:line="240" w:lineRule="auto"/>
        <w:jc w:val="both"/>
        <w:rPr>
          <w:rFonts w:ascii="Times New Roman" w:eastAsia="Times New Roman" w:hAnsi="Times New Roman" w:cs="Times New Roman"/>
          <w:b/>
          <w:szCs w:val="20"/>
          <w:u w:val="single"/>
        </w:rPr>
      </w:pPr>
      <w:r w:rsidRPr="00833681">
        <w:rPr>
          <w:rFonts w:ascii="Times New Roman" w:eastAsia="Times New Roman" w:hAnsi="Times New Roman" w:cs="Times New Roman"/>
          <w:b/>
          <w:szCs w:val="20"/>
          <w:u w:val="single"/>
        </w:rPr>
        <w:t>Závěr</w:t>
      </w:r>
    </w:p>
    <w:p w14:paraId="60F3339C" w14:textId="348B4416" w:rsidR="00EA3329" w:rsidRPr="009C4E06" w:rsidRDefault="00833681" w:rsidP="00833681">
      <w:pPr>
        <w:pStyle w:val="8"/>
      </w:pPr>
      <w:r w:rsidRPr="00833681">
        <w:rPr>
          <w:rFonts w:eastAsia="Calibri"/>
        </w:rPr>
        <w:t>S ohledem na to, že návrh zákona respektuje výše uvedené požadavky, lze jej považovat za slučitelný s mezinárodními smlouvami, jimiž je Česká republika vázána, resp. s obecně uznávanými zásadami mezinárodního práva.</w:t>
      </w:r>
    </w:p>
    <w:p w14:paraId="6D0FE2ED" w14:textId="04F5CCD1" w:rsidR="00EA3329" w:rsidRPr="00C2493A" w:rsidRDefault="6A773C19" w:rsidP="00C2493A">
      <w:pPr>
        <w:pStyle w:val="6"/>
        <w:jc w:val="both"/>
        <w:outlineLvl w:val="1"/>
      </w:pPr>
      <w:r w:rsidRPr="00C2493A">
        <w:t>6. Předpokládaný hospodářský a finanční dopad návrhu právního předpisu na státní rozpočet a ostatní veřejné rozpočty</w:t>
      </w:r>
    </w:p>
    <w:p w14:paraId="4A1A583E" w14:textId="0F7F3E2B" w:rsidR="66544441" w:rsidRDefault="66544441" w:rsidP="0117B955">
      <w:pPr>
        <w:spacing w:after="120" w:line="240" w:lineRule="auto"/>
        <w:jc w:val="both"/>
        <w:rPr>
          <w:rFonts w:ascii="Times New Roman" w:eastAsia="Times New Roman" w:hAnsi="Times New Roman" w:cs="Times New Roman"/>
        </w:rPr>
      </w:pPr>
      <w:r w:rsidRPr="00D27501">
        <w:rPr>
          <w:rFonts w:ascii="Times New Roman" w:eastAsia="Times New Roman" w:hAnsi="Times New Roman" w:cs="Times New Roman"/>
        </w:rPr>
        <w:t>Vzhledem k charakteru navržených změn v zákoně o dani z přidané hodnoty, které nemají bezprostřední vliv na výši daně, nemění se ani výše nebo počet sazeb daně, se nepředpokládá výrazný fiskální dopad těchto změn na veřejné rozpočty. U návrhu na vrácení daně dojde pouze k</w:t>
      </w:r>
      <w:r w:rsidR="008A111B" w:rsidRPr="00D27501">
        <w:rPr>
          <w:rFonts w:ascii="Times New Roman" w:eastAsia="Times New Roman" w:hAnsi="Times New Roman" w:cs="Times New Roman"/>
        </w:rPr>
        <w:t> </w:t>
      </w:r>
      <w:r w:rsidRPr="00D27501">
        <w:rPr>
          <w:rFonts w:ascii="Times New Roman" w:eastAsia="Times New Roman" w:hAnsi="Times New Roman" w:cs="Times New Roman"/>
        </w:rPr>
        <w:t>vrácení daně</w:t>
      </w:r>
      <w:r w:rsidR="008D374E" w:rsidRPr="00D27501">
        <w:rPr>
          <w:rFonts w:ascii="Times New Roman" w:eastAsia="Times New Roman" w:hAnsi="Times New Roman" w:cs="Times New Roman"/>
        </w:rPr>
        <w:t xml:space="preserve"> u plnění, kter</w:t>
      </w:r>
      <w:r w:rsidR="008A111B" w:rsidRPr="00D27501">
        <w:rPr>
          <w:rFonts w:ascii="Times New Roman" w:eastAsia="Times New Roman" w:hAnsi="Times New Roman" w:cs="Times New Roman"/>
        </w:rPr>
        <w:t>é</w:t>
      </w:r>
      <w:r w:rsidR="008D374E" w:rsidRPr="00D27501">
        <w:rPr>
          <w:rFonts w:ascii="Times New Roman" w:eastAsia="Times New Roman" w:hAnsi="Times New Roman" w:cs="Times New Roman"/>
        </w:rPr>
        <w:t xml:space="preserve"> měl</w:t>
      </w:r>
      <w:r w:rsidR="008A111B" w:rsidRPr="00D27501">
        <w:rPr>
          <w:rFonts w:ascii="Times New Roman" w:eastAsia="Times New Roman" w:hAnsi="Times New Roman" w:cs="Times New Roman"/>
        </w:rPr>
        <w:t>o</w:t>
      </w:r>
      <w:r w:rsidR="008D374E" w:rsidRPr="00D27501">
        <w:rPr>
          <w:rFonts w:ascii="Times New Roman" w:eastAsia="Times New Roman" w:hAnsi="Times New Roman" w:cs="Times New Roman"/>
        </w:rPr>
        <w:t xml:space="preserve"> být </w:t>
      </w:r>
      <w:r w:rsidR="00D27501">
        <w:rPr>
          <w:rFonts w:ascii="Times New Roman" w:eastAsia="Times New Roman" w:hAnsi="Times New Roman" w:cs="Times New Roman"/>
        </w:rPr>
        <w:t>přímo</w:t>
      </w:r>
      <w:r w:rsidR="008D374E" w:rsidRPr="00D27501">
        <w:rPr>
          <w:rFonts w:ascii="Times New Roman" w:eastAsia="Times New Roman" w:hAnsi="Times New Roman" w:cs="Times New Roman"/>
        </w:rPr>
        <w:t> osvobozen</w:t>
      </w:r>
      <w:r w:rsidR="008A111B" w:rsidRPr="00D27501">
        <w:rPr>
          <w:rFonts w:ascii="Times New Roman" w:eastAsia="Times New Roman" w:hAnsi="Times New Roman" w:cs="Times New Roman"/>
        </w:rPr>
        <w:t>o</w:t>
      </w:r>
      <w:r w:rsidR="74ED43B0" w:rsidRPr="00D27501">
        <w:rPr>
          <w:rFonts w:ascii="Times New Roman" w:eastAsia="Times New Roman" w:hAnsi="Times New Roman" w:cs="Times New Roman"/>
        </w:rPr>
        <w:t>.</w:t>
      </w:r>
      <w:r w:rsidR="2F242651" w:rsidRPr="0117B955">
        <w:rPr>
          <w:rFonts w:ascii="Times New Roman" w:eastAsia="Times New Roman" w:hAnsi="Times New Roman" w:cs="Times New Roman"/>
        </w:rPr>
        <w:t xml:space="preserve"> </w:t>
      </w:r>
    </w:p>
    <w:p w14:paraId="608A956A" w14:textId="1146770E" w:rsidR="00EA3329" w:rsidRPr="00CC50F2" w:rsidRDefault="00CC50F2" w:rsidP="00CC50F2">
      <w:pPr>
        <w:pStyle w:val="6"/>
        <w:jc w:val="both"/>
        <w:outlineLvl w:val="1"/>
      </w:pPr>
      <w:r>
        <w:t>7</w:t>
      </w:r>
      <w:r w:rsidR="00EA3329" w:rsidRPr="00CC50F2">
        <w:t>. Informace dle zákona o regulaci lobbování</w:t>
      </w:r>
    </w:p>
    <w:p w14:paraId="0FB7D28B" w14:textId="77777777" w:rsidR="00EA3329" w:rsidRPr="00D27501" w:rsidRDefault="00EA3329" w:rsidP="00EA3329">
      <w:pPr>
        <w:spacing w:after="120"/>
        <w:jc w:val="both"/>
        <w:rPr>
          <w:rFonts w:ascii="Times New Roman" w:hAnsi="Times New Roman" w:cs="Times New Roman"/>
        </w:rPr>
      </w:pPr>
      <w:r w:rsidRPr="00D27501">
        <w:rPr>
          <w:rFonts w:ascii="Times New Roman" w:hAnsi="Times New Roman" w:cs="Times New Roman"/>
        </w:rPr>
        <w:t>V souvislosti s přípravou návrhu zákona nedošlo k lobbování podle zákona o regulaci lobbování.</w:t>
      </w:r>
    </w:p>
    <w:p w14:paraId="18E9E476" w14:textId="7F5DE379" w:rsidR="005F5DE9" w:rsidRPr="00C2493A" w:rsidRDefault="00C2493A" w:rsidP="00DA7C33">
      <w:pPr>
        <w:pStyle w:val="6"/>
        <w:keepNext/>
        <w:keepLines/>
        <w:jc w:val="both"/>
        <w:outlineLvl w:val="1"/>
      </w:pPr>
      <w:r w:rsidRPr="00C2493A">
        <w:lastRenderedPageBreak/>
        <w:t>8</w:t>
      </w:r>
      <w:r w:rsidR="6A773C19" w:rsidRPr="00C2493A">
        <w:t>. Zhodnocení, zda návrh právního předpisu neobsahuje ustanovení, které by bylo svou povahou technickým předpisem podle právního předpisu upravujícího technické požadavky na výrobky, a informace o splnění oznamovací povinnosti podle tohoto právního předpisu</w:t>
      </w:r>
    </w:p>
    <w:p w14:paraId="5A45F259" w14:textId="2A71D796" w:rsidR="60CA5D05" w:rsidRPr="008D5A79" w:rsidRDefault="60CA5D05" w:rsidP="0117B955">
      <w:pPr>
        <w:pStyle w:val="8"/>
      </w:pPr>
      <w:r w:rsidRPr="008D5A79">
        <w:t>Návrh neobsahuje ustanovení, která by svou povahou byla technickým předpisem ve smyslu § 3 zákona č. 22/1997 Sb., o technických požadavcích na výrobky a o změně a doplnění některých zákonů, ve znění pozdějších předpisů.</w:t>
      </w:r>
    </w:p>
    <w:p w14:paraId="0FF22DD6" w14:textId="44BF1491" w:rsidR="00EA3329" w:rsidRPr="00C2493A" w:rsidRDefault="00C2493A" w:rsidP="00C2493A">
      <w:pPr>
        <w:pStyle w:val="6"/>
        <w:jc w:val="both"/>
        <w:outlineLvl w:val="1"/>
      </w:pPr>
      <w:r w:rsidRPr="00C2493A">
        <w:t>9</w:t>
      </w:r>
      <w:r w:rsidR="00EA3329" w:rsidRPr="00C2493A">
        <w:t>. Informaci o konzultaci návrhu právního předpisu s Evropskou centrální bankou a výsledku konzultace, podléhá-li návrh právního předpisu takové konzultaci</w:t>
      </w:r>
    </w:p>
    <w:p w14:paraId="7E32F7DA" w14:textId="0C143D7A" w:rsidR="005F5DE9" w:rsidRPr="008D5A79" w:rsidRDefault="1E857C79" w:rsidP="0117B955">
      <w:pPr>
        <w:pStyle w:val="8"/>
      </w:pPr>
      <w:r w:rsidRPr="008D5A79">
        <w:t>Návrh nepodléhá konzultac</w:t>
      </w:r>
      <w:r w:rsidR="007160C5">
        <w:t>i</w:t>
      </w:r>
      <w:r w:rsidRPr="008D5A79">
        <w:t xml:space="preserve"> s Evropskou centrální bankou.</w:t>
      </w:r>
    </w:p>
    <w:p w14:paraId="0145EF6B" w14:textId="1128297B" w:rsidR="00EA3329" w:rsidRPr="0058560B" w:rsidRDefault="00EA3329" w:rsidP="007B59FB">
      <w:pPr>
        <w:pStyle w:val="6"/>
        <w:keepNext/>
        <w:jc w:val="both"/>
        <w:outlineLvl w:val="1"/>
      </w:pPr>
      <w:r w:rsidRPr="0058560B">
        <w:t>1</w:t>
      </w:r>
      <w:r w:rsidR="00C2493A" w:rsidRPr="0058560B">
        <w:t>0</w:t>
      </w:r>
      <w:r w:rsidRPr="0058560B">
        <w:t>. Předpokládaný dopad návrhu právního předpisu</w:t>
      </w:r>
    </w:p>
    <w:p w14:paraId="72FE933E" w14:textId="4B8332D3" w:rsidR="00EA3329" w:rsidRPr="003D5428" w:rsidRDefault="6A773C19" w:rsidP="007B59FB">
      <w:pPr>
        <w:pStyle w:val="9"/>
        <w:keepNext/>
        <w:jc w:val="both"/>
        <w:outlineLvl w:val="2"/>
      </w:pPr>
      <w:r w:rsidRPr="003D5428">
        <w:t>1</w:t>
      </w:r>
      <w:r w:rsidR="00A8267F" w:rsidRPr="003D5428">
        <w:t>0</w:t>
      </w:r>
      <w:r w:rsidRPr="003D5428">
        <w:t>.1 Dopad na práva a povinnosti fyzických a právnických osob</w:t>
      </w:r>
    </w:p>
    <w:p w14:paraId="34607CD1" w14:textId="779D1330" w:rsidR="00EA3329" w:rsidRPr="008D5A79" w:rsidRDefault="1FAB296E" w:rsidP="0117B955">
      <w:pPr>
        <w:pStyle w:val="8"/>
      </w:pPr>
      <w:r w:rsidRPr="008D5A79">
        <w:t>Navrhovaná právní úprava má dopa</w:t>
      </w:r>
      <w:r w:rsidR="5C40CB75" w:rsidRPr="008D5A79">
        <w:t>dy pouze na fyzické a právnické osoby, které vykonávají ekonomickou činnost</w:t>
      </w:r>
      <w:r w:rsidR="27D31A2B" w:rsidRPr="008D5A79">
        <w:t xml:space="preserve"> podle zákona o dani z přidané hodnoty</w:t>
      </w:r>
      <w:r w:rsidR="003530E5" w:rsidRPr="008D5A79">
        <w:t xml:space="preserve"> (zjednodušeně </w:t>
      </w:r>
      <w:r w:rsidR="5DE35805" w:rsidRPr="008D5A79">
        <w:t>p</w:t>
      </w:r>
      <w:r w:rsidR="5C40CB75" w:rsidRPr="008D5A79">
        <w:t>odnikají</w:t>
      </w:r>
      <w:r w:rsidR="003530E5" w:rsidRPr="008D5A79">
        <w:t>)</w:t>
      </w:r>
      <w:r w:rsidR="5C40CB75" w:rsidRPr="008D5A79">
        <w:t>, v rozsahu uvedeném v následujícím bodě.</w:t>
      </w:r>
    </w:p>
    <w:p w14:paraId="74401D2B" w14:textId="06881E85" w:rsidR="00511FD3" w:rsidRPr="003D5428" w:rsidRDefault="6A773C19" w:rsidP="003D5428">
      <w:pPr>
        <w:pStyle w:val="9"/>
        <w:jc w:val="both"/>
        <w:outlineLvl w:val="2"/>
      </w:pPr>
      <w:r w:rsidRPr="003D5428">
        <w:t>1</w:t>
      </w:r>
      <w:r w:rsidR="00A8267F" w:rsidRPr="003D5428">
        <w:t>0</w:t>
      </w:r>
      <w:r w:rsidRPr="003D5428">
        <w:t>.2 Dopad na podnikatelské prostředí České republiky</w:t>
      </w:r>
    </w:p>
    <w:p w14:paraId="0AC0F60B" w14:textId="3ACBA9E2" w:rsidR="00511FD3" w:rsidRPr="00327F11" w:rsidRDefault="744EB332" w:rsidP="004A7D33">
      <w:pPr>
        <w:pStyle w:val="8"/>
      </w:pPr>
      <w:r w:rsidRPr="00327F11">
        <w:t>Návrh přináší ve vybraných oblastech zjednodušení a vyjasnění aplikace pravid</w:t>
      </w:r>
      <w:r w:rsidR="45A2E248" w:rsidRPr="00327F11">
        <w:t>el</w:t>
      </w:r>
      <w:r w:rsidRPr="00327F11">
        <w:t xml:space="preserve"> pro </w:t>
      </w:r>
      <w:r w:rsidR="005C3A1F" w:rsidRPr="00327F11">
        <w:t xml:space="preserve">určení </w:t>
      </w:r>
      <w:r w:rsidRPr="00327F11">
        <w:t>míst</w:t>
      </w:r>
      <w:r w:rsidR="005C3A1F" w:rsidRPr="00327F11">
        <w:t>a</w:t>
      </w:r>
      <w:r w:rsidRPr="00327F11">
        <w:t xml:space="preserve"> plnění a dat</w:t>
      </w:r>
      <w:r w:rsidR="005C3A1F" w:rsidRPr="00327F11">
        <w:t>a</w:t>
      </w:r>
      <w:r w:rsidRPr="00327F11">
        <w:t xml:space="preserve"> uskutečnění zdanitelného plnění u plnění</w:t>
      </w:r>
      <w:r w:rsidR="3382E28F" w:rsidRPr="00327F11">
        <w:t>, která jsou předmětem vykazování ve</w:t>
      </w:r>
      <w:r w:rsidR="00F03AD9" w:rsidRPr="00327F11">
        <w:t> </w:t>
      </w:r>
      <w:r w:rsidR="3382E28F" w:rsidRPr="00327F11">
        <w:t>zvláštním režimu jednoho správního místa</w:t>
      </w:r>
      <w:r w:rsidR="00F03AD9" w:rsidRPr="00327F11">
        <w:t xml:space="preserve"> (OSS)</w:t>
      </w:r>
      <w:r w:rsidR="3382E28F" w:rsidRPr="00327F11">
        <w:t>. Zároveň přináší možnost odvodu DPH u</w:t>
      </w:r>
      <w:r w:rsidR="00F03AD9" w:rsidRPr="00327F11">
        <w:t> </w:t>
      </w:r>
      <w:r w:rsidR="3382E28F" w:rsidRPr="00327F11">
        <w:t>přeshraničního dodání zboží</w:t>
      </w:r>
      <w:r w:rsidR="0038348F">
        <w:t xml:space="preserve"> (</w:t>
      </w:r>
      <w:r w:rsidR="0038348F" w:rsidRPr="2CFDE19E">
        <w:t>elektřiny, plynu, tepla či chladu</w:t>
      </w:r>
      <w:r w:rsidR="0038348F">
        <w:t>)</w:t>
      </w:r>
      <w:r w:rsidR="3382E28F" w:rsidRPr="00327F11">
        <w:t xml:space="preserve"> soustavami a sítěmi přes zvláštní režim jednoho správního místa, což eliminuj</w:t>
      </w:r>
      <w:r w:rsidR="3A185692" w:rsidRPr="00327F11">
        <w:t>e vícenásobné registrace k DPH v</w:t>
      </w:r>
      <w:r w:rsidR="0038348F">
        <w:t xml:space="preserve"> jednotlivých </w:t>
      </w:r>
      <w:r w:rsidR="3A185692" w:rsidRPr="00327F11">
        <w:t>členských státech Evropské unie. T</w:t>
      </w:r>
      <w:r w:rsidR="0038348F">
        <w:t>a</w:t>
      </w:r>
      <w:r w:rsidR="3A185692" w:rsidRPr="00327F11">
        <w:t>to opatření mají pozitivní dopad na podnikat</w:t>
      </w:r>
      <w:r w:rsidR="3409D9DD" w:rsidRPr="00327F11">
        <w:t xml:space="preserve">elské prostřední České republiky. </w:t>
      </w:r>
      <w:r w:rsidR="61ABC88D" w:rsidRPr="00327F11">
        <w:t xml:space="preserve">Plánované zrušení režimu skladu </w:t>
      </w:r>
      <w:r w:rsidR="00786409">
        <w:t xml:space="preserve">bude plynule nahrazeno </w:t>
      </w:r>
      <w:r w:rsidR="00786409" w:rsidRPr="005B2E04">
        <w:t>zavedením zvláštního režimu pro přemístění zboží</w:t>
      </w:r>
      <w:r w:rsidR="00786409">
        <w:t xml:space="preserve"> (bude zavedeno následu</w:t>
      </w:r>
      <w:r w:rsidR="004A7D33">
        <w:t xml:space="preserve">jící novelou zákona o dani z přidané hodnoty v souladu s termínem stanoveným </w:t>
      </w:r>
      <w:r w:rsidR="004A7D33" w:rsidRPr="005B2E04">
        <w:rPr>
          <w:szCs w:val="24"/>
        </w:rPr>
        <w:t>směrnic</w:t>
      </w:r>
      <w:r w:rsidR="004A7D33">
        <w:rPr>
          <w:szCs w:val="24"/>
        </w:rPr>
        <w:t>í</w:t>
      </w:r>
      <w:r w:rsidR="004A7D33" w:rsidRPr="005B2E04">
        <w:rPr>
          <w:szCs w:val="24"/>
        </w:rPr>
        <w:t xml:space="preserve"> DPH v digitálním věku</w:t>
      </w:r>
      <w:r w:rsidR="004A7D33">
        <w:rPr>
          <w:szCs w:val="24"/>
        </w:rPr>
        <w:t>).</w:t>
      </w:r>
      <w:r w:rsidR="68AF3DDA" w:rsidRPr="00327F11">
        <w:t xml:space="preserve"> Rozšíření možnosti odvodu DPH prostřednictvím provozovatele elektronického rozhraní </w:t>
      </w:r>
      <w:r w:rsidR="0E4C8C7F" w:rsidRPr="00327F11">
        <w:t>povede také k</w:t>
      </w:r>
      <w:r w:rsidR="004A7D33">
        <w:t>e</w:t>
      </w:r>
      <w:r w:rsidR="0E4C8C7F" w:rsidRPr="00327F11">
        <w:t xml:space="preserve"> zjednodušení odvodu DPH, neboť provozovatelé elektronického rozhraní budou jednodušeji rozlišovat mezi případy, kdy mají povinnost odvést daň</w:t>
      </w:r>
      <w:r w:rsidR="112E888A" w:rsidRPr="00327F11">
        <w:t xml:space="preserve"> a kdy tato povinnost přísluší skutečnému dodavateli.</w:t>
      </w:r>
    </w:p>
    <w:p w14:paraId="3BFF6BD2" w14:textId="4FE8944A" w:rsidR="00EA3329" w:rsidRPr="003D5428" w:rsidRDefault="6A773C19" w:rsidP="003D5428">
      <w:pPr>
        <w:pStyle w:val="9"/>
        <w:jc w:val="both"/>
        <w:outlineLvl w:val="2"/>
      </w:pPr>
      <w:r w:rsidRPr="003D5428">
        <w:t>1</w:t>
      </w:r>
      <w:r w:rsidR="00A8267F" w:rsidRPr="003D5428">
        <w:t>0</w:t>
      </w:r>
      <w:r w:rsidRPr="003D5428">
        <w:t>.3 Zhodnocení, zda návrhem právního předpisu není zakládána veřejná podpora</w:t>
      </w:r>
    </w:p>
    <w:p w14:paraId="19792F47" w14:textId="59CF34EE" w:rsidR="00F84F83" w:rsidRPr="00327F11" w:rsidRDefault="60FC28AE" w:rsidP="0117B955">
      <w:pPr>
        <w:widowControl w:val="0"/>
        <w:spacing w:after="120" w:line="240" w:lineRule="auto"/>
        <w:jc w:val="both"/>
        <w:rPr>
          <w:rFonts w:ascii="Times New Roman" w:eastAsia="Times New Roman" w:hAnsi="Times New Roman" w:cs="Times New Roman"/>
        </w:rPr>
      </w:pPr>
      <w:r w:rsidRPr="00327F11">
        <w:rPr>
          <w:rFonts w:ascii="Times New Roman" w:eastAsia="Times New Roman" w:hAnsi="Times New Roman" w:cs="Times New Roman"/>
        </w:rPr>
        <w:t>Navrhovanou právní úpravou není zakládána veřejná podpora</w:t>
      </w:r>
      <w:r w:rsidRPr="00327F11">
        <w:rPr>
          <w:rFonts w:ascii="Times New Roman" w:eastAsia="Calibri" w:hAnsi="Times New Roman" w:cs="Times New Roman"/>
        </w:rPr>
        <w:t>.</w:t>
      </w:r>
    </w:p>
    <w:p w14:paraId="5081509E" w14:textId="6005F738" w:rsidR="00EA3329" w:rsidRPr="00C3118F" w:rsidRDefault="00EA3329" w:rsidP="003D5428">
      <w:pPr>
        <w:pStyle w:val="9"/>
        <w:jc w:val="both"/>
        <w:outlineLvl w:val="2"/>
      </w:pPr>
      <w:r w:rsidRPr="003D5428">
        <w:t>1</w:t>
      </w:r>
      <w:r w:rsidR="00A8267F" w:rsidRPr="003D5428">
        <w:t>0</w:t>
      </w:r>
      <w:r w:rsidRPr="003D5428">
        <w:t>.4 Sociální dopad, včetně dopadu na specifické skupiny obyvatel, především</w:t>
      </w:r>
      <w:r w:rsidRPr="00C3118F">
        <w:t xml:space="preserve"> </w:t>
      </w:r>
      <w:r w:rsidRPr="003D5428">
        <w:t>na osoby sociálně slabé, osoby se zdravotním postižením a národnostní menšiny</w:t>
      </w:r>
    </w:p>
    <w:p w14:paraId="2AE273A9" w14:textId="30838AEA" w:rsidR="003E0CCF" w:rsidRPr="00327F11" w:rsidRDefault="10BC9F3B" w:rsidP="1B90E530">
      <w:pPr>
        <w:spacing w:after="57" w:line="240" w:lineRule="auto"/>
        <w:jc w:val="both"/>
        <w:rPr>
          <w:rFonts w:ascii="Times New Roman" w:eastAsia="Times New Roman" w:hAnsi="Times New Roman" w:cs="Times New Roman"/>
        </w:rPr>
      </w:pPr>
      <w:r w:rsidRPr="00327F11">
        <w:rPr>
          <w:rFonts w:ascii="Times New Roman" w:eastAsia="Calibri" w:hAnsi="Times New Roman" w:cs="Times New Roman"/>
        </w:rPr>
        <w:t xml:space="preserve">Navrhovaná právní úprava nemá </w:t>
      </w:r>
      <w:r w:rsidRPr="00327F11">
        <w:rPr>
          <w:rFonts w:ascii="Times New Roman" w:eastAsia="Times New Roman" w:hAnsi="Times New Roman" w:cs="Times New Roman"/>
        </w:rPr>
        <w:t>sociální dopady, a to včetně dopadů na specifické skupiny obyvatel (např. osoby sociálně slabé, osoby se zdravotním postižením a národnostní menšiny). Žádná speciální úprava vztahující se k těmto oblastem se návrhem zákona neupravuje.</w:t>
      </w:r>
    </w:p>
    <w:p w14:paraId="17EEB2F4" w14:textId="31FD2439" w:rsidR="00EA3329" w:rsidRPr="003D5428" w:rsidRDefault="00EA3329" w:rsidP="00DA7C33">
      <w:pPr>
        <w:pStyle w:val="9"/>
        <w:keepNext/>
        <w:jc w:val="both"/>
        <w:outlineLvl w:val="2"/>
      </w:pPr>
      <w:r w:rsidRPr="003D5428">
        <w:lastRenderedPageBreak/>
        <w:t>1</w:t>
      </w:r>
      <w:r w:rsidR="00A8267F" w:rsidRPr="003D5428">
        <w:t>0</w:t>
      </w:r>
      <w:r w:rsidRPr="003D5428">
        <w:t>.5 Dopad na rovnost mužů a žen, upravuje-li návrh právního předpisu postavení fyzických osob nebo se tohoto postavení dotýká</w:t>
      </w:r>
    </w:p>
    <w:p w14:paraId="493125CD" w14:textId="27C97033" w:rsidR="00245B0C" w:rsidRPr="00327F11" w:rsidRDefault="3D9DA867" w:rsidP="1B90E530">
      <w:pPr>
        <w:spacing w:after="57" w:line="240" w:lineRule="auto"/>
        <w:jc w:val="both"/>
        <w:rPr>
          <w:rFonts w:ascii="Times New Roman" w:eastAsia="Times New Roman" w:hAnsi="Times New Roman" w:cs="Times New Roman"/>
        </w:rPr>
      </w:pPr>
      <w:r w:rsidRPr="00327F11">
        <w:rPr>
          <w:rFonts w:ascii="Times New Roman" w:eastAsia="Calibri" w:hAnsi="Times New Roman" w:cs="Times New Roman"/>
        </w:rPr>
        <w:t>Navrhovaná právní úprava nemá dopad ve vztahu k zákazu diskriminace</w:t>
      </w:r>
      <w:r w:rsidRPr="00327F11">
        <w:rPr>
          <w:rFonts w:ascii="Times New Roman" w:eastAsia="Times New Roman" w:hAnsi="Times New Roman" w:cs="Times New Roman"/>
        </w:rPr>
        <w:t xml:space="preserve"> ani ve vztahu k rovnosti mužů a žen</w:t>
      </w:r>
      <w:r w:rsidRPr="00327F11">
        <w:rPr>
          <w:rFonts w:ascii="Times New Roman" w:eastAsia="Calibri" w:hAnsi="Times New Roman" w:cs="Times New Roman"/>
        </w:rPr>
        <w:t>.</w:t>
      </w:r>
    </w:p>
    <w:p w14:paraId="03D2D241" w14:textId="1F1718E5" w:rsidR="00EA3329" w:rsidRPr="003D5428" w:rsidRDefault="6A773C19" w:rsidP="003D5428">
      <w:pPr>
        <w:pStyle w:val="9"/>
        <w:jc w:val="both"/>
        <w:outlineLvl w:val="2"/>
      </w:pPr>
      <w:r w:rsidRPr="003D5428">
        <w:t>1</w:t>
      </w:r>
      <w:r w:rsidR="00A8267F" w:rsidRPr="003D5428">
        <w:t>0</w:t>
      </w:r>
      <w:r w:rsidRPr="003D5428">
        <w:t>.6 Dopad na životní prostředí</w:t>
      </w:r>
    </w:p>
    <w:p w14:paraId="0F159CE2" w14:textId="2F47635C" w:rsidR="00042CF6" w:rsidRPr="00327F11" w:rsidRDefault="454CE6D7" w:rsidP="0117B955">
      <w:pPr>
        <w:widowControl w:val="0"/>
        <w:tabs>
          <w:tab w:val="left" w:pos="6660"/>
        </w:tabs>
        <w:spacing w:after="120" w:line="240" w:lineRule="auto"/>
        <w:jc w:val="both"/>
        <w:rPr>
          <w:rFonts w:ascii="Times New Roman" w:eastAsia="Times New Roman" w:hAnsi="Times New Roman" w:cs="Times New Roman"/>
        </w:rPr>
      </w:pPr>
      <w:r w:rsidRPr="00327F11">
        <w:rPr>
          <w:rFonts w:ascii="Times New Roman" w:eastAsia="Calibri" w:hAnsi="Times New Roman" w:cs="Times New Roman"/>
        </w:rPr>
        <w:t xml:space="preserve">Navrhovaná právní úprava nemá dopad </w:t>
      </w:r>
      <w:r w:rsidRPr="00327F11">
        <w:rPr>
          <w:rFonts w:ascii="Times New Roman" w:eastAsia="Times New Roman" w:hAnsi="Times New Roman" w:cs="Times New Roman"/>
        </w:rPr>
        <w:t>na životní prostředí.</w:t>
      </w:r>
    </w:p>
    <w:p w14:paraId="719190F4" w14:textId="55842895" w:rsidR="00EA3329" w:rsidRPr="003D5428" w:rsidRDefault="6A773C19" w:rsidP="003D5428">
      <w:pPr>
        <w:pStyle w:val="9"/>
        <w:jc w:val="both"/>
        <w:outlineLvl w:val="2"/>
      </w:pPr>
      <w:r w:rsidRPr="003D5428">
        <w:t>1</w:t>
      </w:r>
      <w:r w:rsidR="00A8267F" w:rsidRPr="003D5428">
        <w:t>0</w:t>
      </w:r>
      <w:r w:rsidRPr="003D5428">
        <w:t>.7 Dopad na ochranu práv dětí</w:t>
      </w:r>
    </w:p>
    <w:p w14:paraId="2849CE09" w14:textId="500FF5E2" w:rsidR="00824290" w:rsidRPr="00327F11" w:rsidRDefault="14F175DF" w:rsidP="0117B955">
      <w:pPr>
        <w:widowControl w:val="0"/>
        <w:tabs>
          <w:tab w:val="left" w:pos="6660"/>
        </w:tabs>
        <w:spacing w:after="120" w:line="240" w:lineRule="auto"/>
        <w:jc w:val="both"/>
        <w:rPr>
          <w:rFonts w:ascii="Times New Roman" w:eastAsia="Times New Roman" w:hAnsi="Times New Roman" w:cs="Times New Roman"/>
        </w:rPr>
      </w:pPr>
      <w:r w:rsidRPr="00327F11">
        <w:rPr>
          <w:rFonts w:ascii="Times New Roman" w:eastAsia="Calibri" w:hAnsi="Times New Roman" w:cs="Times New Roman"/>
        </w:rPr>
        <w:t xml:space="preserve">Navrhovaná právní úprava nemá dopad </w:t>
      </w:r>
      <w:r w:rsidRPr="00327F11">
        <w:rPr>
          <w:rFonts w:ascii="Times New Roman" w:eastAsia="Times New Roman" w:hAnsi="Times New Roman" w:cs="Times New Roman"/>
        </w:rPr>
        <w:t>na ochranu práv dětí.</w:t>
      </w:r>
    </w:p>
    <w:p w14:paraId="3D557570" w14:textId="4014E432" w:rsidR="00EA3329" w:rsidRPr="003D5428" w:rsidRDefault="6A773C19" w:rsidP="003D5428">
      <w:pPr>
        <w:pStyle w:val="9"/>
        <w:jc w:val="both"/>
        <w:outlineLvl w:val="2"/>
      </w:pPr>
      <w:r w:rsidRPr="003D5428">
        <w:t>1</w:t>
      </w:r>
      <w:r w:rsidR="00A8267F" w:rsidRPr="003D5428">
        <w:t>0</w:t>
      </w:r>
      <w:r w:rsidRPr="003D5428">
        <w:t>.8</w:t>
      </w:r>
      <w:r w:rsidR="00AF4FA7" w:rsidRPr="003D5428">
        <w:t> </w:t>
      </w:r>
      <w:r w:rsidRPr="003D5428">
        <w:t>Zhodnocení dopadů na rodiny, zejména s ohledem na plnění funkcí rodiny</w:t>
      </w:r>
    </w:p>
    <w:p w14:paraId="39691D64" w14:textId="3C73BA84" w:rsidR="5D4018BB" w:rsidRPr="00327F11" w:rsidRDefault="5D4018BB" w:rsidP="0117B955">
      <w:pPr>
        <w:widowControl w:val="0"/>
        <w:tabs>
          <w:tab w:val="left" w:pos="6660"/>
        </w:tabs>
        <w:spacing w:after="120" w:line="240" w:lineRule="auto"/>
        <w:jc w:val="both"/>
        <w:rPr>
          <w:rFonts w:ascii="Times New Roman" w:eastAsia="Times New Roman" w:hAnsi="Times New Roman" w:cs="Times New Roman"/>
        </w:rPr>
      </w:pPr>
      <w:r w:rsidRPr="00327F11">
        <w:rPr>
          <w:rFonts w:ascii="Times New Roman" w:eastAsia="Calibri" w:hAnsi="Times New Roman" w:cs="Times New Roman"/>
        </w:rPr>
        <w:t>Navrhovaná právní úprava nemá dopad</w:t>
      </w:r>
      <w:r w:rsidRPr="00327F11">
        <w:rPr>
          <w:rFonts w:ascii="Times New Roman" w:eastAsia="Times New Roman" w:hAnsi="Times New Roman" w:cs="Times New Roman"/>
        </w:rPr>
        <w:t>y na rodiny.</w:t>
      </w:r>
    </w:p>
    <w:p w14:paraId="3C106AD3" w14:textId="4CCF0FF8" w:rsidR="00EA3329" w:rsidRPr="003D5428" w:rsidRDefault="6A773C19" w:rsidP="003D5428">
      <w:pPr>
        <w:pStyle w:val="9"/>
        <w:jc w:val="both"/>
        <w:outlineLvl w:val="2"/>
      </w:pPr>
      <w:r w:rsidRPr="003D5428">
        <w:t>1</w:t>
      </w:r>
      <w:r w:rsidR="00A8267F" w:rsidRPr="003D5428">
        <w:t>0</w:t>
      </w:r>
      <w:r w:rsidRPr="003D5428">
        <w:t>.9</w:t>
      </w:r>
      <w:r w:rsidR="00AF4FA7" w:rsidRPr="003D5428">
        <w:t> </w:t>
      </w:r>
      <w:r w:rsidRPr="003D5428">
        <w:t>Zhodnocení územních dopadů, včetně dopadů na územní samosprávné celky</w:t>
      </w:r>
    </w:p>
    <w:p w14:paraId="2C88503C" w14:textId="57E56CAF" w:rsidR="7EBCA8B8" w:rsidRPr="00327F11" w:rsidRDefault="7EBCA8B8" w:rsidP="0117B955">
      <w:pPr>
        <w:widowControl w:val="0"/>
        <w:tabs>
          <w:tab w:val="left" w:pos="6660"/>
        </w:tabs>
        <w:spacing w:after="120" w:line="240" w:lineRule="auto"/>
        <w:jc w:val="both"/>
        <w:rPr>
          <w:rFonts w:ascii="Times New Roman" w:eastAsia="Times New Roman" w:hAnsi="Times New Roman" w:cs="Times New Roman"/>
        </w:rPr>
      </w:pPr>
      <w:r w:rsidRPr="00327F11">
        <w:rPr>
          <w:rFonts w:ascii="Times New Roman" w:eastAsia="Times New Roman" w:hAnsi="Times New Roman" w:cs="Times New Roman"/>
        </w:rPr>
        <w:t>S realizací navrhované právní úpravy nebudou spojeny žádné územní dopady, a to včetně dopadů na územní samosprávné celky.</w:t>
      </w:r>
    </w:p>
    <w:p w14:paraId="2618A886" w14:textId="4792F390" w:rsidR="00EA3329" w:rsidRPr="003D5428" w:rsidRDefault="00EA3329" w:rsidP="003D5428">
      <w:pPr>
        <w:pStyle w:val="9"/>
        <w:jc w:val="both"/>
        <w:outlineLvl w:val="2"/>
      </w:pPr>
      <w:r w:rsidRPr="003D5428">
        <w:t>1</w:t>
      </w:r>
      <w:r w:rsidR="00A8267F" w:rsidRPr="003D5428">
        <w:t>0</w:t>
      </w:r>
      <w:r w:rsidRPr="003D5428">
        <w:t>.10 Dopad na bezpečnost nebo obranu státu</w:t>
      </w:r>
    </w:p>
    <w:p w14:paraId="32AF6279" w14:textId="15AE08C1" w:rsidR="00C17430" w:rsidRPr="00327F11" w:rsidRDefault="2BBDA635" w:rsidP="0117B955">
      <w:pPr>
        <w:widowControl w:val="0"/>
        <w:spacing w:after="120" w:line="240" w:lineRule="auto"/>
        <w:jc w:val="both"/>
        <w:rPr>
          <w:rFonts w:ascii="Times New Roman" w:eastAsia="Times New Roman" w:hAnsi="Times New Roman" w:cs="Times New Roman"/>
        </w:rPr>
      </w:pPr>
      <w:r w:rsidRPr="000612FC">
        <w:rPr>
          <w:rFonts w:ascii="Times New Roman" w:eastAsia="Calibri" w:hAnsi="Times New Roman" w:cs="Times New Roman"/>
        </w:rPr>
        <w:t>Navrhovaná právní úprava nemá dopad na bezpečnost nebo obranu státu.</w:t>
      </w:r>
      <w:r w:rsidR="00327F11">
        <w:rPr>
          <w:rFonts w:ascii="Times New Roman" w:eastAsia="Calibri" w:hAnsi="Times New Roman" w:cs="Times New Roman"/>
        </w:rPr>
        <w:t xml:space="preserve"> </w:t>
      </w:r>
    </w:p>
    <w:p w14:paraId="41A4A4BD" w14:textId="111A9A8C" w:rsidR="00EA3329" w:rsidRPr="003D5428" w:rsidRDefault="00EA3329" w:rsidP="003D5428">
      <w:pPr>
        <w:pStyle w:val="9"/>
        <w:jc w:val="both"/>
        <w:outlineLvl w:val="2"/>
      </w:pPr>
      <w:r w:rsidRPr="003D5428">
        <w:t>1</w:t>
      </w:r>
      <w:r w:rsidR="00A8267F" w:rsidRPr="003D5428">
        <w:t>0</w:t>
      </w:r>
      <w:r w:rsidRPr="003D5428">
        <w:t>.11 Dopad ve vztahu k ochraně soukromí a osobních údajů</w:t>
      </w:r>
    </w:p>
    <w:p w14:paraId="1A0261D9" w14:textId="32A18F65" w:rsidR="00041793" w:rsidRPr="00327F11" w:rsidRDefault="69097357" w:rsidP="0117B955">
      <w:pPr>
        <w:pStyle w:val="8"/>
      </w:pPr>
      <w:r w:rsidRPr="00327F11">
        <w:t>Navrhovaná právní úprava nemá dopad ve vztahu k ochraně soukromí a osobních údajů.</w:t>
      </w:r>
    </w:p>
    <w:p w14:paraId="06FEB6CF" w14:textId="7059B6E8" w:rsidR="00EA3329" w:rsidRPr="003D5428" w:rsidRDefault="00EA3329" w:rsidP="0028121C">
      <w:pPr>
        <w:pStyle w:val="6"/>
        <w:jc w:val="both"/>
        <w:outlineLvl w:val="1"/>
      </w:pPr>
      <w:r w:rsidRPr="003D5428">
        <w:t>1</w:t>
      </w:r>
      <w:r w:rsidR="00A8267F" w:rsidRPr="003D5428">
        <w:t>1</w:t>
      </w:r>
      <w:r w:rsidRPr="003D5428">
        <w:t>. Zhodnocení korupčních rizik návrhu právního předpisu</w:t>
      </w:r>
    </w:p>
    <w:p w14:paraId="733E0BC8" w14:textId="77777777" w:rsidR="002A6EFC" w:rsidRPr="007B2FDF" w:rsidRDefault="002A6EFC" w:rsidP="002A6EFC">
      <w:pPr>
        <w:pStyle w:val="8"/>
        <w:spacing w:after="120"/>
      </w:pPr>
      <w:r w:rsidRPr="007B2FDF">
        <w:t>Obecně lze k navrhované úpravě ve vztahu ke vzniku korupčních rizik uvést následující:</w:t>
      </w:r>
    </w:p>
    <w:p w14:paraId="2E56F59D" w14:textId="77777777" w:rsidR="002A6EFC" w:rsidRPr="007B2FDF" w:rsidRDefault="002A6EFC" w:rsidP="002A6EFC">
      <w:pPr>
        <w:pStyle w:val="8"/>
        <w:keepNext/>
        <w:spacing w:before="240" w:after="120"/>
        <w:rPr>
          <w:b/>
        </w:rPr>
      </w:pPr>
      <w:r w:rsidRPr="007B2FDF">
        <w:rPr>
          <w:b/>
        </w:rPr>
        <w:t>a) Přiměřenost</w:t>
      </w:r>
    </w:p>
    <w:p w14:paraId="5919488C" w14:textId="75422790" w:rsidR="002A6EFC" w:rsidRPr="007B2FDF" w:rsidRDefault="002A6EFC" w:rsidP="002A6EFC">
      <w:pPr>
        <w:pStyle w:val="8"/>
        <w:spacing w:after="120"/>
      </w:pPr>
      <w:r w:rsidRPr="007B2FDF">
        <w:t xml:space="preserve">Pokud jde o rozsah působnosti správního orgánu, je rozhodující jak zákonný okruh působností jako takový, tak míra diskrece, kterou zákon při výkonu jednotlivých působností správnímu orgánu umožňuje, resp. jakou míru diskrece zákon předpokládá. Jakýkoli normativní text zakotvující určitou míru diskrece sám o sobě představuje potenciální korupční riziko. Proto se při přípravě takového ustanovení vždy poměřuje nutnost zavedení takové diskrece daného orgánu s mírou zásahu do individuální sféry subjektu, o jehož právech a povinnostech by se v rámci této diskrece rozhodovalo. </w:t>
      </w:r>
      <w:r w:rsidR="00941C80">
        <w:t xml:space="preserve">Stran stanovení příslušného orgánu pro opatření osvědčení o osvobození od DPH razítkem se vychází z obdobné úpravy, kterou už oblast DPH pro ozbrojené síly má, tedy se v podstatě rozšiřuje kompetence stávajícího správního orgánu o další související </w:t>
      </w:r>
      <w:r w:rsidR="001A7E4A">
        <w:t xml:space="preserve">kompetenci v oblasti nařízení SAFE. </w:t>
      </w:r>
      <w:r w:rsidR="00027F0F">
        <w:t>Toto rozšíření se uskutečňuje</w:t>
      </w:r>
      <w:r w:rsidRPr="00941C80">
        <w:t xml:space="preserve"> pouze v rozsahu nezbytném pro úpravu vztahů, které mají být právní úpravou nově regulovány, přičemž míra diskrece je vzhledem k vymezení povinností minimální.</w:t>
      </w:r>
    </w:p>
    <w:p w14:paraId="3A010BC2" w14:textId="77777777" w:rsidR="002A6EFC" w:rsidRPr="007B2FDF" w:rsidRDefault="002A6EFC" w:rsidP="002A6EFC">
      <w:pPr>
        <w:pStyle w:val="8"/>
        <w:keepNext/>
        <w:spacing w:before="240" w:after="120"/>
        <w:rPr>
          <w:b/>
        </w:rPr>
      </w:pPr>
      <w:r w:rsidRPr="007B2FDF">
        <w:rPr>
          <w:b/>
        </w:rPr>
        <w:t>b) Efektivita</w:t>
      </w:r>
    </w:p>
    <w:p w14:paraId="552CF6B4" w14:textId="61EEAC41" w:rsidR="002A6EFC" w:rsidRPr="007B2FDF" w:rsidRDefault="002A6EFC" w:rsidP="002A6EFC">
      <w:pPr>
        <w:pStyle w:val="8"/>
        <w:spacing w:after="120"/>
      </w:pPr>
      <w:r w:rsidRPr="007B2FDF">
        <w:t xml:space="preserve">Z hlediska efektivity lze k předložené úpravě poznamenat, že ke kontrole a vynucování splnění povinností stanovených zákonem budou příslušné orgány Finanční správy České republiky. Tyto příslušné orgány obvykle disponují podklady pro vydání daného rozhodnutí, ale i potřebnými odbornými znalostmi, čímž je zaručena efektivní implementace dané regulace i její efektivní </w:t>
      </w:r>
      <w:r w:rsidRPr="007B2FDF">
        <w:lastRenderedPageBreak/>
        <w:t>kontrola, případně vynucování. Nástroje kontroly a vynucování jsou upraveny jako obecné instituty daňového řádu.</w:t>
      </w:r>
    </w:p>
    <w:p w14:paraId="39014071" w14:textId="77777777" w:rsidR="002A6EFC" w:rsidRPr="007B2FDF" w:rsidRDefault="002A6EFC" w:rsidP="002A6EFC">
      <w:pPr>
        <w:pStyle w:val="8"/>
        <w:spacing w:after="120"/>
      </w:pPr>
      <w:r w:rsidRPr="007B2FDF">
        <w:t>Přitom při zajištění efektivity úpravy užitím kontrolních a vynucovacích nástrojů se uplatní účelně nezbytná míra diskrece příslušných orgánů související s právní kvalifikací zjištěných faktických poznatků a případnou volbou v daném případě nejefektivnějšího postupu z hlediska uložení dodatečných povinností sankční povahy, který zajistí individualizaci aplikace sankční normy při zohlednění okolnosti konkrétního případu a jehož v praxi ověřeným výsledkem bude vyšší naplnění represivní a výchovné funkce přijatých vynucovacích opatření.</w:t>
      </w:r>
    </w:p>
    <w:p w14:paraId="0011FBDB" w14:textId="77777777" w:rsidR="002A6EFC" w:rsidRPr="007B2FDF" w:rsidRDefault="002A6EFC" w:rsidP="002A6EFC">
      <w:pPr>
        <w:pStyle w:val="8"/>
        <w:keepNext/>
        <w:spacing w:before="240" w:after="120"/>
        <w:rPr>
          <w:b/>
        </w:rPr>
      </w:pPr>
      <w:r w:rsidRPr="007B2FDF">
        <w:rPr>
          <w:b/>
        </w:rPr>
        <w:t>c) Odpovědnost</w:t>
      </w:r>
    </w:p>
    <w:p w14:paraId="4CF7BB01" w14:textId="77777777" w:rsidR="002A6EFC" w:rsidRPr="007B2FDF" w:rsidRDefault="002A6EFC" w:rsidP="002A6EFC">
      <w:pPr>
        <w:pStyle w:val="8"/>
        <w:spacing w:after="120"/>
      </w:pPr>
      <w:r w:rsidRPr="007B2FDF">
        <w:t>Zvolená právní úprava vždy jasně reflektuje požadavek čl. 79 odst. 1 Ústavy, podle něhož musí být působnost správního orgánu stanovena zákonem.</w:t>
      </w:r>
    </w:p>
    <w:p w14:paraId="56CDE2EA" w14:textId="77777777" w:rsidR="002A6EFC" w:rsidRPr="007B2FDF" w:rsidRDefault="002A6EFC" w:rsidP="002A6EFC">
      <w:pPr>
        <w:pStyle w:val="8"/>
        <w:spacing w:after="120"/>
      </w:pPr>
      <w:r w:rsidRPr="007B2FDF">
        <w:t xml:space="preserve">Odpovědnou osobou na straně správce daně, resp. jiného správního orgánu je v daňovém řízení vždy úřední osoba. Určení konkrétní úřední osoby je prováděno na základě vnitřních předpisů, resp. organizačního uspořádání konkrétního správního orgánu, přičemž popis své organizační struktury je správní orgán povinen zveřejnit na základě zákona č. 106/1999 Sb., o svobodném přístupu k informacím, ve znění pozdějších předpisů. Totožnost konkrétní úřední osoby je přitom </w:t>
      </w:r>
      <w:proofErr w:type="spellStart"/>
      <w:r w:rsidRPr="007B2FDF">
        <w:t>seznatelná</w:t>
      </w:r>
      <w:proofErr w:type="spellEnd"/>
      <w:r w:rsidRPr="007B2FDF">
        <w:t xml:space="preserve"> zákonem předvídaným postupem (srov. § 12 odst. 4 daňového řádu); úřední osoba je povinna se při výkonu působnosti správního orgánu prokazovat příslušným služebním průkazem.</w:t>
      </w:r>
    </w:p>
    <w:p w14:paraId="33871269" w14:textId="77777777" w:rsidR="002A6EFC" w:rsidRPr="007B2FDF" w:rsidRDefault="002A6EFC" w:rsidP="002A6EFC">
      <w:pPr>
        <w:pStyle w:val="8"/>
        <w:keepNext/>
        <w:spacing w:before="240" w:after="120"/>
        <w:rPr>
          <w:b/>
        </w:rPr>
      </w:pPr>
      <w:r w:rsidRPr="007B2FDF">
        <w:rPr>
          <w:b/>
        </w:rPr>
        <w:t>d) Opravné prostředky</w:t>
      </w:r>
    </w:p>
    <w:p w14:paraId="5FDA1318" w14:textId="77777777" w:rsidR="002A6EFC" w:rsidRPr="007B2FDF" w:rsidRDefault="002A6EFC" w:rsidP="002A6EFC">
      <w:pPr>
        <w:pStyle w:val="8"/>
        <w:spacing w:after="120"/>
      </w:pPr>
      <w:r w:rsidRPr="007B2FDF">
        <w:t>Z hlediska opravných prostředků existuje možnost účinné obrany proti nesprávnému postupu správce daně v první řadě v podobě řádného opravného prostředku, kterým je odvolání, resp.</w:t>
      </w:r>
      <w:r>
        <w:t> </w:t>
      </w:r>
      <w:r w:rsidRPr="007B2FDF">
        <w:t>rozklad (srov. § 109 a násl. daňového řádu). V souladu s § 102 odst. 1 písm. f) daňového řádu má správce daně povinnost v rozhodnutí uvést poučení, zda je možné proti rozhodnutí podat odvolání, v jaké lhůtě je tak možno učinit, u kterého správce daně se odvolání podává, spolu s upozorněním na případné vyloučení odkladného účinku. Neúplné, nesprávné nebo chybějící poučení je spojeno s důsledky pro bono daného subjektu uvedenými v § 110 odst. 1 daňového řádu. Existuje také možnost užití mimořádných opravných prostředků dle daňového řádu (srov.</w:t>
      </w:r>
      <w:r>
        <w:t> </w:t>
      </w:r>
      <w:r w:rsidRPr="007B2FDF">
        <w:t>§ 117 a násl. daňového řádu). Vedle opravných prostředků daňový řád připouští rovněž jiné prostředky ochrany, kterými je třeba rozumět: námitku (srov. § 159 daňového řádu), stížnost (srov.</w:t>
      </w:r>
      <w:r>
        <w:t> </w:t>
      </w:r>
      <w:r w:rsidRPr="007B2FDF">
        <w:t>§ 261 daňového řádu), podnět na nečinnost (srov. § 38 daňového řádu).</w:t>
      </w:r>
    </w:p>
    <w:p w14:paraId="4C1B6E76" w14:textId="77777777" w:rsidR="002A6EFC" w:rsidRPr="007B2FDF" w:rsidRDefault="002A6EFC" w:rsidP="002A6EFC">
      <w:pPr>
        <w:pStyle w:val="8"/>
        <w:keepNext/>
        <w:spacing w:before="240" w:after="120"/>
        <w:rPr>
          <w:b/>
        </w:rPr>
      </w:pPr>
      <w:r w:rsidRPr="007B2FDF">
        <w:rPr>
          <w:b/>
        </w:rPr>
        <w:t>e) Kontrolní mechanismy</w:t>
      </w:r>
    </w:p>
    <w:p w14:paraId="5369908A" w14:textId="20F11DB8" w:rsidR="002A6EFC" w:rsidRPr="007B2FDF" w:rsidRDefault="002A6EFC" w:rsidP="002A6EFC">
      <w:pPr>
        <w:pStyle w:val="8"/>
        <w:spacing w:after="120"/>
      </w:pPr>
      <w:r w:rsidRPr="007B2FDF">
        <w:t>Z hlediska systému kontrolních mechanismů je nutno uvést, že oblast daňového práva se pohybuje v procesním režimu daňového řádu. Proti rozhodnutím je možno podat odvolání anebo v určitých případech užít mimořádných opravných prostředků či jiných prostředků ochrany (viz</w:t>
      </w:r>
      <w:r>
        <w:t> </w:t>
      </w:r>
      <w:r w:rsidRPr="007B2FDF">
        <w:t>předchozí bod). Vedle toho lze využít rovněž dozorčí prostředky, čímž je zaručena dostatečná kontrola správnosti a zákonnosti všech rozhodnutí vydávaných v režimu daňového řádu.</w:t>
      </w:r>
    </w:p>
    <w:p w14:paraId="13DAD8A6" w14:textId="06F4A4ED" w:rsidR="002A6EFC" w:rsidRPr="007B2FDF" w:rsidRDefault="002A6EFC" w:rsidP="002A6EFC">
      <w:pPr>
        <w:pStyle w:val="8"/>
        <w:spacing w:after="120"/>
      </w:pPr>
      <w:r w:rsidRPr="007B2FDF">
        <w:t xml:space="preserve">Soustavy orgánů vykonávajících správu daní, resp. další dotčené působnosti současně disponují interním systémem kontroly v rámci hierarchie nadřízenosti a podřízenosti včetně navazujícího systému personální odpovědnosti. V případě vydání nezákonného rozhodnutí či nesprávného úředního postupu je s odpovědností konkrétní úřední osoby spojena eventuální povinnost regresní náhrady škody, za níž v důsledku nezákonného rozhodnutí nebo nesprávného úředního postupu </w:t>
      </w:r>
      <w:r w:rsidRPr="007B2FDF">
        <w:lastRenderedPageBreak/>
        <w:t xml:space="preserve">odpovídá stát. Z hlediska transparence a otevřenosti dat lze konstatovat, že navrhovaná úprava nemá vliv na dostupnost informací </w:t>
      </w:r>
      <w:r w:rsidR="009145B6">
        <w:t>po</w:t>
      </w:r>
      <w:r w:rsidRPr="007B2FDF">
        <w:t>dle zákona č. 106/1999 Sb., o svobodném přístupu k informacím, ve znění pozdějších předpisů.</w:t>
      </w:r>
    </w:p>
    <w:p w14:paraId="4DB61BF7" w14:textId="77777777" w:rsidR="002A6EFC" w:rsidRPr="007B2FDF" w:rsidRDefault="002A6EFC" w:rsidP="002A6EFC">
      <w:pPr>
        <w:pStyle w:val="8"/>
        <w:spacing w:after="120"/>
      </w:pPr>
      <w:r w:rsidRPr="007B2FDF" w:rsidDel="00EB3C35">
        <w:t>Při správě daní se uplatňuje zásada neveřejnosti. Informace</w:t>
      </w:r>
      <w:r w:rsidRPr="007B2FDF">
        <w:t xml:space="preserve"> o </w:t>
      </w:r>
      <w:r w:rsidRPr="007B2FDF" w:rsidDel="00EB3C35">
        <w:t>poměrech daňových subjektů jsou tak chráněny povinností mlčenlivosti pod hrozbou pokuty</w:t>
      </w:r>
      <w:r w:rsidRPr="007B2FDF">
        <w:t xml:space="preserve"> do </w:t>
      </w:r>
      <w:r w:rsidRPr="007B2FDF" w:rsidDel="00EB3C35">
        <w:t>výše 500 000 Kč</w:t>
      </w:r>
      <w:r w:rsidRPr="007B2FDF">
        <w:t xml:space="preserve"> a </w:t>
      </w:r>
      <w:r w:rsidRPr="007B2FDF" w:rsidDel="00EB3C35">
        <w:t xml:space="preserve">nemohou být zpřístupněny veřejnosti. </w:t>
      </w:r>
    </w:p>
    <w:p w14:paraId="4BC1BDB3" w14:textId="040AC30A" w:rsidR="00EA3329" w:rsidRPr="0028121C" w:rsidRDefault="00EA3329" w:rsidP="005C6C4C">
      <w:pPr>
        <w:pStyle w:val="6"/>
        <w:keepNext/>
        <w:jc w:val="both"/>
        <w:outlineLvl w:val="1"/>
      </w:pPr>
      <w:r w:rsidRPr="0028121C">
        <w:t>1</w:t>
      </w:r>
      <w:r w:rsidR="00A8267F" w:rsidRPr="0028121C">
        <w:t>2</w:t>
      </w:r>
      <w:r w:rsidRPr="0028121C">
        <w:t>.</w:t>
      </w:r>
      <w:r w:rsidR="00AF4FA7" w:rsidRPr="003D5428">
        <w:t>   </w:t>
      </w:r>
      <w:r w:rsidRPr="0028121C">
        <w:t>Zhodnocení souladu navrhovaného řešení se zásadami tvorby digitálně přívětivé legislativy</w:t>
      </w:r>
    </w:p>
    <w:p w14:paraId="72DF95AC" w14:textId="6BE37ED8" w:rsidR="00EA3329" w:rsidRPr="003F2A7F" w:rsidRDefault="0032060E" w:rsidP="00A33921">
      <w:pPr>
        <w:pStyle w:val="8"/>
        <w:spacing w:after="120"/>
        <w:jc w:val="center"/>
        <w:rPr>
          <w:rFonts w:eastAsiaTheme="majorEastAsia"/>
          <w:b/>
          <w:bCs/>
          <w:sz w:val="32"/>
          <w:szCs w:val="28"/>
          <w:lang w:eastAsia="cs-CZ"/>
        </w:rPr>
      </w:pPr>
      <w:r>
        <w:t xml:space="preserve">Vzhledem k povaze návrhu zákona, kterým dochází pouze k upřesňování </w:t>
      </w:r>
      <w:r w:rsidR="005B2778">
        <w:t xml:space="preserve">stávajících </w:t>
      </w:r>
      <w:r w:rsidR="00FD10C3">
        <w:t>pravidel</w:t>
      </w:r>
      <w:r w:rsidR="005B2778">
        <w:t xml:space="preserve"> či stanovení kompetence, </w:t>
      </w:r>
      <w:r w:rsidR="00D43712">
        <w:t xml:space="preserve">tedy </w:t>
      </w:r>
      <w:r w:rsidR="005B2778">
        <w:t>nedochází ke změnám v </w:t>
      </w:r>
      <w:r w:rsidR="005C6C4C">
        <w:t>procesech</w:t>
      </w:r>
      <w:r w:rsidR="00D43712">
        <w:t xml:space="preserve">, nedochází </w:t>
      </w:r>
      <w:r w:rsidR="00E465D4">
        <w:t xml:space="preserve">tímto </w:t>
      </w:r>
      <w:r w:rsidR="00D43712">
        <w:t xml:space="preserve">návrhem zákona ke změnám </w:t>
      </w:r>
      <w:r w:rsidR="000C332B">
        <w:t xml:space="preserve">týkajícím se </w:t>
      </w:r>
      <w:r w:rsidR="2397ADFB" w:rsidRPr="00327F11">
        <w:t>digitáln</w:t>
      </w:r>
      <w:r w:rsidR="000C332B">
        <w:t>í</w:t>
      </w:r>
      <w:r w:rsidR="2397ADFB" w:rsidRPr="00327F11">
        <w:t xml:space="preserve"> přívětiv</w:t>
      </w:r>
      <w:r w:rsidR="00D22273">
        <w:t>osti</w:t>
      </w:r>
      <w:r w:rsidR="2397ADFB" w:rsidRPr="00327F11">
        <w:t>.</w:t>
      </w:r>
      <w:r w:rsidR="00EA3329">
        <w:rPr>
          <w:highlight w:val="lightGray"/>
        </w:rPr>
        <w:br w:type="page"/>
      </w:r>
      <w:r w:rsidR="00EA3329" w:rsidRPr="003F2A7F">
        <w:rPr>
          <w:rFonts w:eastAsiaTheme="majorEastAsia"/>
          <w:b/>
          <w:bCs/>
          <w:sz w:val="32"/>
          <w:szCs w:val="28"/>
          <w:lang w:eastAsia="cs-CZ"/>
        </w:rPr>
        <w:lastRenderedPageBreak/>
        <w:t>II. Zvláštní část</w:t>
      </w:r>
    </w:p>
    <w:p w14:paraId="67A92948" w14:textId="77777777" w:rsidR="00755E5C" w:rsidRPr="00755E5C" w:rsidRDefault="00755E5C" w:rsidP="00755E5C">
      <w:pPr>
        <w:pStyle w:val="Dvodovzprvaknovlnku"/>
        <w:rPr>
          <w:rFonts w:ascii="Times New Roman" w:hAnsi="Times New Roman"/>
          <w:color w:val="auto"/>
          <w:szCs w:val="24"/>
        </w:rPr>
      </w:pPr>
      <w:r w:rsidRPr="00755E5C">
        <w:rPr>
          <w:rFonts w:ascii="Times New Roman" w:hAnsi="Times New Roman"/>
          <w:color w:val="auto"/>
          <w:szCs w:val="24"/>
        </w:rPr>
        <w:t>K čl. I</w:t>
      </w:r>
    </w:p>
    <w:p w14:paraId="5FA1A863" w14:textId="77777777" w:rsidR="00755E5C" w:rsidRPr="00755E5C" w:rsidRDefault="00755E5C" w:rsidP="00755E5C">
      <w:pPr>
        <w:pStyle w:val="Dvodovzprvakbodu"/>
        <w:numPr>
          <w:ilvl w:val="0"/>
          <w:numId w:val="4"/>
        </w:numPr>
        <w:rPr>
          <w:rFonts w:ascii="Times New Roman" w:hAnsi="Times New Roman"/>
          <w:color w:val="auto"/>
          <w:sz w:val="24"/>
          <w:szCs w:val="24"/>
        </w:rPr>
      </w:pPr>
      <w:r w:rsidRPr="00755E5C">
        <w:rPr>
          <w:rFonts w:ascii="Times New Roman" w:hAnsi="Times New Roman"/>
          <w:color w:val="auto"/>
          <w:sz w:val="24"/>
          <w:szCs w:val="24"/>
        </w:rPr>
        <w:t>(Poznámka pod čarou č. 1)</w:t>
      </w:r>
    </w:p>
    <w:p w14:paraId="57C5DA1F" w14:textId="50C7D42D" w:rsidR="00755E5C" w:rsidRPr="00755E5C" w:rsidRDefault="00755E5C" w:rsidP="00755E5C">
      <w:pPr>
        <w:pStyle w:val="Dvodovzprva"/>
        <w:rPr>
          <w:rFonts w:ascii="Times New Roman" w:eastAsia="Aptos" w:hAnsi="Times New Roman"/>
          <w:color w:val="auto"/>
          <w:sz w:val="24"/>
          <w:szCs w:val="24"/>
          <w:lang w:eastAsia="en-US"/>
        </w:rPr>
      </w:pPr>
      <w:r w:rsidRPr="00755E5C">
        <w:rPr>
          <w:rFonts w:ascii="Times New Roman" w:eastAsia="Aptos" w:hAnsi="Times New Roman"/>
          <w:color w:val="auto"/>
          <w:sz w:val="24"/>
          <w:szCs w:val="24"/>
          <w:lang w:eastAsia="en-US"/>
        </w:rPr>
        <w:t>Vzhledem k transpoziční povaze tohoto návrhu zákona dochází k doplnění odkazu na směrnici Rady (EU) 2025/516 ze dne 11. března 2025, kterou se mění směrnice 2006/112/ES, o společném systému daně z přidané hodnoty, pokud jde o pravidla DPH pro digitální věk.</w:t>
      </w:r>
    </w:p>
    <w:p w14:paraId="5C4DB046" w14:textId="77777777" w:rsidR="00755E5C" w:rsidRPr="00755E5C" w:rsidRDefault="00755E5C" w:rsidP="00755E5C">
      <w:pPr>
        <w:pStyle w:val="Dvodovzprvakbodu"/>
        <w:numPr>
          <w:ilvl w:val="0"/>
          <w:numId w:val="4"/>
        </w:numPr>
        <w:rPr>
          <w:rFonts w:ascii="Times New Roman" w:hAnsi="Times New Roman"/>
          <w:color w:val="auto"/>
          <w:sz w:val="24"/>
          <w:szCs w:val="24"/>
        </w:rPr>
      </w:pPr>
      <w:r w:rsidRPr="00755E5C">
        <w:rPr>
          <w:rFonts w:ascii="Times New Roman" w:hAnsi="Times New Roman"/>
          <w:color w:val="auto"/>
          <w:sz w:val="24"/>
          <w:szCs w:val="24"/>
        </w:rPr>
        <w:t>(§ 2a odst. 1 písm. a))</w:t>
      </w:r>
    </w:p>
    <w:p w14:paraId="2B70658B" w14:textId="1D2396CB" w:rsidR="00755E5C" w:rsidRPr="00755E5C" w:rsidRDefault="00755E5C" w:rsidP="00755E5C">
      <w:pPr>
        <w:pStyle w:val="Dvodovzprva"/>
        <w:rPr>
          <w:rFonts w:ascii="Times New Roman" w:eastAsia="Aptos" w:hAnsi="Times New Roman"/>
          <w:color w:val="auto"/>
          <w:sz w:val="24"/>
          <w:szCs w:val="24"/>
          <w:lang w:eastAsia="en-US"/>
        </w:rPr>
      </w:pPr>
      <w:r w:rsidRPr="00755E5C">
        <w:rPr>
          <w:rFonts w:ascii="Times New Roman" w:eastAsia="Aptos" w:hAnsi="Times New Roman"/>
          <w:color w:val="auto"/>
          <w:sz w:val="24"/>
          <w:szCs w:val="24"/>
          <w:lang w:eastAsia="en-US"/>
        </w:rPr>
        <w:t>K doplnění odkazu na § 68 odst. 17 dochází z důvodu uvedení do souladu vymezení vynětí z předmětu daně v čl. 3 odst. 1 písm. a) směrnice o dani z přidané hodnoty v návaznosti na osvobození zavedené směrnicí Rady (EU) 2021/1159 ze dne 13. července 2021, kterou se mění směrnice 2006/112/ES, pokud jde o dočasná osvobození od daně při dovozu a některých dodáních v reakci na pandemii COVID-19 (viz rovněž druhé přechodné ustanovení). Vzhledem k tomu, že osvobození od daně u dodání zboží uvedené v § 68 odst.</w:t>
      </w:r>
      <w:r w:rsidRPr="00755E5C">
        <w:rPr>
          <w:rFonts w:ascii="Times New Roman" w:eastAsia="Aptos" w:hAnsi="Times New Roman"/>
          <w:color w:val="auto"/>
          <w:sz w:val="24"/>
          <w:szCs w:val="24"/>
        </w:rPr>
        <w:t> </w:t>
      </w:r>
      <w:r w:rsidRPr="00755E5C">
        <w:rPr>
          <w:rFonts w:ascii="Times New Roman" w:eastAsia="Aptos" w:hAnsi="Times New Roman"/>
          <w:color w:val="auto"/>
          <w:sz w:val="24"/>
          <w:szCs w:val="24"/>
          <w:lang w:eastAsia="en-US"/>
        </w:rPr>
        <w:t>17 zákona o dani z přidané hodnoty je osvobozeno v tuzemsku, pak ani pořízení zboží z jiného členského státu vymezené rozsahem v</w:t>
      </w:r>
      <w:r w:rsidR="0071211F">
        <w:rPr>
          <w:rFonts w:ascii="Times New Roman" w:eastAsia="Aptos" w:hAnsi="Times New Roman"/>
          <w:color w:val="auto"/>
          <w:sz w:val="24"/>
          <w:szCs w:val="24"/>
          <w:lang w:eastAsia="en-US"/>
        </w:rPr>
        <w:t> </w:t>
      </w:r>
      <w:r w:rsidRPr="00755E5C">
        <w:rPr>
          <w:rFonts w:ascii="Times New Roman" w:eastAsia="Aptos" w:hAnsi="Times New Roman"/>
          <w:color w:val="auto"/>
          <w:sz w:val="24"/>
          <w:szCs w:val="24"/>
          <w:lang w:eastAsia="en-US"/>
        </w:rPr>
        <w:t>§</w:t>
      </w:r>
      <w:r w:rsidR="0071211F">
        <w:rPr>
          <w:rFonts w:ascii="Times New Roman" w:eastAsia="Aptos" w:hAnsi="Times New Roman"/>
          <w:color w:val="auto"/>
          <w:sz w:val="24"/>
          <w:szCs w:val="24"/>
          <w:lang w:eastAsia="en-US"/>
        </w:rPr>
        <w:t> </w:t>
      </w:r>
      <w:r w:rsidRPr="00755E5C">
        <w:rPr>
          <w:rFonts w:ascii="Times New Roman" w:eastAsia="Aptos" w:hAnsi="Times New Roman"/>
          <w:color w:val="auto"/>
          <w:sz w:val="24"/>
          <w:szCs w:val="24"/>
          <w:lang w:eastAsia="en-US"/>
        </w:rPr>
        <w:t>68 odst. 17 zákona o dani z přidané hodnoty není předmětem daně.</w:t>
      </w:r>
    </w:p>
    <w:p w14:paraId="11F43F7E" w14:textId="77777777" w:rsidR="00755E5C" w:rsidRPr="00755E5C" w:rsidRDefault="00755E5C" w:rsidP="00755E5C">
      <w:pPr>
        <w:pStyle w:val="Dvodovzprvakbodu"/>
        <w:numPr>
          <w:ilvl w:val="0"/>
          <w:numId w:val="4"/>
        </w:numPr>
        <w:rPr>
          <w:rFonts w:ascii="Times New Roman" w:hAnsi="Times New Roman"/>
          <w:color w:val="auto"/>
          <w:sz w:val="24"/>
          <w:szCs w:val="24"/>
        </w:rPr>
      </w:pPr>
      <w:r w:rsidRPr="00755E5C">
        <w:rPr>
          <w:rFonts w:ascii="Times New Roman" w:hAnsi="Times New Roman"/>
          <w:color w:val="auto"/>
          <w:sz w:val="24"/>
          <w:szCs w:val="24"/>
        </w:rPr>
        <w:t>(§ 8 odst. 5)</w:t>
      </w:r>
    </w:p>
    <w:p w14:paraId="62348EE0" w14:textId="31480715" w:rsidR="00755E5C" w:rsidRPr="00755E5C" w:rsidRDefault="00755E5C" w:rsidP="00755E5C">
      <w:pPr>
        <w:pStyle w:val="Dvodovzprva"/>
        <w:rPr>
          <w:rFonts w:ascii="Times New Roman" w:eastAsia="Aptos" w:hAnsi="Times New Roman"/>
          <w:color w:val="auto"/>
          <w:sz w:val="24"/>
          <w:szCs w:val="24"/>
          <w:lang w:eastAsia="en-US"/>
        </w:rPr>
      </w:pPr>
      <w:r w:rsidRPr="00755E5C">
        <w:rPr>
          <w:rFonts w:ascii="Times New Roman" w:eastAsia="Aptos" w:hAnsi="Times New Roman"/>
          <w:color w:val="auto"/>
          <w:sz w:val="24"/>
          <w:szCs w:val="24"/>
          <w:lang w:eastAsia="en-US"/>
        </w:rPr>
        <w:t>Navrhovaná úprava reaguje na změnu v druhém pododstavci čl. 59c odst. 3 směrnice o dani z</w:t>
      </w:r>
      <w:r w:rsidR="0071211F">
        <w:rPr>
          <w:rFonts w:ascii="Times New Roman" w:eastAsia="Aptos" w:hAnsi="Times New Roman"/>
          <w:color w:val="auto"/>
          <w:sz w:val="24"/>
          <w:szCs w:val="24"/>
          <w:lang w:eastAsia="en-US"/>
        </w:rPr>
        <w:t> </w:t>
      </w:r>
      <w:r w:rsidRPr="00755E5C">
        <w:rPr>
          <w:rFonts w:ascii="Times New Roman" w:eastAsia="Aptos" w:hAnsi="Times New Roman"/>
          <w:color w:val="auto"/>
          <w:sz w:val="24"/>
          <w:szCs w:val="24"/>
          <w:lang w:eastAsia="en-US"/>
        </w:rPr>
        <w:t xml:space="preserve">přidané hodnoty, ve znění </w:t>
      </w:r>
      <w:r w:rsidRPr="00755E5C">
        <w:rPr>
          <w:rFonts w:ascii="Times New Roman" w:hAnsi="Times New Roman"/>
          <w:color w:val="auto"/>
          <w:sz w:val="24"/>
          <w:szCs w:val="24"/>
        </w:rPr>
        <w:t>směrnice DPH v digitálním věku</w:t>
      </w:r>
      <w:r w:rsidRPr="00755E5C">
        <w:rPr>
          <w:rFonts w:ascii="Times New Roman" w:eastAsia="Aptos" w:hAnsi="Times New Roman"/>
          <w:color w:val="auto"/>
          <w:sz w:val="24"/>
          <w:szCs w:val="24"/>
          <w:lang w:eastAsia="en-US"/>
        </w:rPr>
        <w:t>. Dosavadní úprava neobsahuje jednoznačné pravidlo pro stanovení místa plnění u prodeje zboží na dálku pro osoby registrované ve zvláštním režimu jednoho správního místa (hlava V díl 4 zákona o dani z přidané hodnoty) v</w:t>
      </w:r>
      <w:r w:rsidR="0071211F">
        <w:rPr>
          <w:rFonts w:ascii="Times New Roman" w:eastAsia="Aptos" w:hAnsi="Times New Roman"/>
          <w:color w:val="auto"/>
          <w:sz w:val="24"/>
          <w:szCs w:val="24"/>
          <w:lang w:eastAsia="en-US"/>
        </w:rPr>
        <w:t> </w:t>
      </w:r>
      <w:r w:rsidRPr="00755E5C">
        <w:rPr>
          <w:rFonts w:ascii="Times New Roman" w:eastAsia="Aptos" w:hAnsi="Times New Roman"/>
          <w:color w:val="auto"/>
          <w:sz w:val="24"/>
          <w:szCs w:val="24"/>
          <w:lang w:eastAsia="en-US"/>
        </w:rPr>
        <w:t>režimu Evropské unie. Místo plnění pro prodej zboží na dálku se řídí dvěma následujícími pravidly. Základní pravidlo je, že místo plnění u prodeje zboží na dálku se nachází v členském státě ukončení odeslání nebo přepravy zboží (§ 8 odst. 1 zákona o dani z přidané hodnoty). Druhé pravidlo platí pouze pro osobu, která je usazena pouze v jednom členském státě a poskytla plnění (prodej zboží na dálku a telekomunikačních služeb, služeb rozhlasového a televizního vysílání a elektronicky poskytovaných služeb osobám nepovinným k dani) do celkové hodnoty plnění 10 000 EUR za příslušný kalendářní rok a bezprostředně předcházející kalendářní rok. Pro tyto osoby platí, že místo plnění u prodeje zboží na dálku je v členském státě, ve kterém dochází k zahájení přepravy a odeslání (§ 8 odst. 2 zákona o dani z přidané hodnoty), ale mohou se také rozhodnout, že již pro všechny plnění budou postupovat podle prvního pravidla, tj. místo plnění u prodeje zboží na dálku bude v členském státě ukončení odeslání nebo přepravy zboží. Po překročení částky 10 000 EUR musí postupovat již povinně podle prvního pravidla a určit místo plnění v členském státě, ve kterém končí odeslání nebo přeprava zboží. Z toho důvodu, že existují dvě pravidla pro stanovení místa plnění, bylo nezbytné postavit na jisto, které se použije pro prodej zboží na dálku u osob, které jsou registrovány ve zvláštním režimu jednoho správního místa v</w:t>
      </w:r>
      <w:r w:rsidR="0071211F">
        <w:rPr>
          <w:rFonts w:ascii="Times New Roman" w:eastAsia="Aptos" w:hAnsi="Times New Roman"/>
          <w:color w:val="auto"/>
          <w:sz w:val="24"/>
          <w:szCs w:val="24"/>
          <w:lang w:eastAsia="en-US"/>
        </w:rPr>
        <w:t> </w:t>
      </w:r>
      <w:r w:rsidRPr="00755E5C">
        <w:rPr>
          <w:rFonts w:ascii="Times New Roman" w:eastAsia="Aptos" w:hAnsi="Times New Roman"/>
          <w:color w:val="auto"/>
          <w:sz w:val="24"/>
          <w:szCs w:val="24"/>
          <w:lang w:eastAsia="en-US"/>
        </w:rPr>
        <w:t>režimu Evropské unie.</w:t>
      </w:r>
    </w:p>
    <w:p w14:paraId="155A19DE" w14:textId="0B62867B" w:rsidR="00755E5C" w:rsidRPr="00755E5C" w:rsidRDefault="00755E5C" w:rsidP="00755E5C">
      <w:pPr>
        <w:pStyle w:val="Dvodovzprva"/>
        <w:rPr>
          <w:rFonts w:ascii="Times New Roman" w:eastAsia="Aptos" w:hAnsi="Times New Roman"/>
          <w:color w:val="auto"/>
          <w:sz w:val="24"/>
          <w:szCs w:val="24"/>
          <w:lang w:eastAsia="en-US"/>
        </w:rPr>
      </w:pPr>
      <w:r w:rsidRPr="00755E5C">
        <w:rPr>
          <w:rFonts w:ascii="Times New Roman" w:eastAsia="Aptos" w:hAnsi="Times New Roman"/>
          <w:color w:val="auto"/>
          <w:sz w:val="24"/>
          <w:szCs w:val="24"/>
          <w:lang w:eastAsia="en-US"/>
        </w:rPr>
        <w:t>V odstavci 5 se zakotvuje pravidlo, že je-li osoba povinná k dani registrovaná v režimu Evropské unie zvláštního režimu jednoho správního místa, stanoví se místo plnění vždy podle § 8 odst.</w:t>
      </w:r>
      <w:r w:rsidR="00BC7B5A">
        <w:rPr>
          <w:rFonts w:ascii="Times New Roman" w:eastAsia="Aptos" w:hAnsi="Times New Roman"/>
          <w:color w:val="auto"/>
          <w:sz w:val="24"/>
          <w:szCs w:val="24"/>
          <w:lang w:eastAsia="en-US"/>
        </w:rPr>
        <w:t> </w:t>
      </w:r>
      <w:r w:rsidRPr="00755E5C">
        <w:rPr>
          <w:rFonts w:ascii="Times New Roman" w:eastAsia="Aptos" w:hAnsi="Times New Roman"/>
          <w:color w:val="auto"/>
          <w:sz w:val="24"/>
          <w:szCs w:val="24"/>
          <w:lang w:eastAsia="en-US"/>
        </w:rPr>
        <w:t xml:space="preserve">1 zákona o dani z přidané hodnoty (členský stát, ve kterém dochází k ukončení odeslání nebo přepravy zboží). Toto pravidlo se konstruuje prostřednictvím právní fikce, která stanovuje, že osoba povinná k dani registrovaná ve zvláštním režimu jednoho správního místa v režimu Evropské unie učinila rozhodnutí podle § 8 odst. 4 zákona o dani z přidané hodnoty (tedy a priori registrace </w:t>
      </w:r>
      <w:r w:rsidRPr="00755E5C">
        <w:rPr>
          <w:rFonts w:ascii="Times New Roman" w:eastAsia="Aptos" w:hAnsi="Times New Roman"/>
          <w:color w:val="auto"/>
          <w:sz w:val="24"/>
          <w:szCs w:val="24"/>
          <w:lang w:eastAsia="en-US"/>
        </w:rPr>
        <w:lastRenderedPageBreak/>
        <w:t>ve zvláštním režimu jednoho správního místa v režimu Evropské unie znamená volbu podle §</w:t>
      </w:r>
      <w:r w:rsidR="00BC7B5A">
        <w:rPr>
          <w:rFonts w:ascii="Times New Roman" w:eastAsia="Aptos" w:hAnsi="Times New Roman"/>
          <w:color w:val="auto"/>
          <w:sz w:val="24"/>
          <w:szCs w:val="24"/>
          <w:lang w:eastAsia="en-US"/>
        </w:rPr>
        <w:t> </w:t>
      </w:r>
      <w:r w:rsidRPr="00755E5C">
        <w:rPr>
          <w:rFonts w:ascii="Times New Roman" w:eastAsia="Aptos" w:hAnsi="Times New Roman"/>
          <w:color w:val="auto"/>
          <w:sz w:val="24"/>
          <w:szCs w:val="24"/>
          <w:lang w:eastAsia="en-US"/>
        </w:rPr>
        <w:t>8 odst. 4 zákona o dani z přidané hodnoty).</w:t>
      </w:r>
    </w:p>
    <w:p w14:paraId="3C9F221B" w14:textId="77777777" w:rsidR="00755E5C" w:rsidRPr="00755E5C" w:rsidRDefault="00755E5C" w:rsidP="00755E5C">
      <w:pPr>
        <w:pStyle w:val="Dvodovzprva"/>
        <w:rPr>
          <w:rFonts w:ascii="Times New Roman" w:eastAsia="Aptos" w:hAnsi="Times New Roman"/>
          <w:color w:val="auto"/>
          <w:sz w:val="24"/>
          <w:szCs w:val="24"/>
          <w:lang w:eastAsia="en-US"/>
        </w:rPr>
      </w:pPr>
      <w:r w:rsidRPr="00755E5C">
        <w:rPr>
          <w:rFonts w:ascii="Times New Roman" w:eastAsia="Aptos" w:hAnsi="Times New Roman"/>
          <w:color w:val="auto"/>
          <w:sz w:val="24"/>
          <w:szCs w:val="24"/>
          <w:lang w:eastAsia="en-US"/>
        </w:rPr>
        <w:t>Uvedený postup bude pro osobu povinnou k dani registrovanou v režimu Evropské unie platit po celou dobu její registrace ve zvláštním režimu jednoho správní místa.</w:t>
      </w:r>
    </w:p>
    <w:p w14:paraId="3FEC3216" w14:textId="77777777" w:rsidR="00755E5C" w:rsidRPr="00755E5C" w:rsidRDefault="00755E5C" w:rsidP="00755E5C">
      <w:pPr>
        <w:pStyle w:val="Dvodovzprva"/>
        <w:rPr>
          <w:rFonts w:ascii="Times New Roman" w:hAnsi="Times New Roman"/>
          <w:color w:val="auto"/>
          <w:sz w:val="24"/>
          <w:szCs w:val="24"/>
        </w:rPr>
      </w:pPr>
      <w:r w:rsidRPr="00755E5C">
        <w:rPr>
          <w:rFonts w:ascii="Times New Roman" w:eastAsia="Aptos" w:hAnsi="Times New Roman"/>
          <w:color w:val="auto"/>
          <w:sz w:val="24"/>
          <w:szCs w:val="24"/>
          <w:lang w:eastAsia="en-US"/>
        </w:rPr>
        <w:t>Osoby povinné k dani, které nejsou registrovány ve zvláštním režimu jednoho správního místa, postupují u stanovení místa plnění u prodeje zboží na dálku dle dosavadních postupů (mohou využít obě pravidla, resp. se mohou rozhodnout podle § 8 odst. 4 zákona o dani z přidané hodnoty).</w:t>
      </w:r>
    </w:p>
    <w:p w14:paraId="634A4C62" w14:textId="77777777" w:rsidR="00755E5C" w:rsidRPr="00755E5C" w:rsidRDefault="00755E5C" w:rsidP="00755E5C">
      <w:pPr>
        <w:pStyle w:val="Dvodovzprvakbodu"/>
        <w:numPr>
          <w:ilvl w:val="0"/>
          <w:numId w:val="4"/>
        </w:numPr>
        <w:rPr>
          <w:rFonts w:ascii="Times New Roman" w:hAnsi="Times New Roman"/>
          <w:color w:val="auto"/>
          <w:sz w:val="24"/>
          <w:szCs w:val="24"/>
        </w:rPr>
      </w:pPr>
      <w:r w:rsidRPr="00755E5C">
        <w:rPr>
          <w:rFonts w:ascii="Times New Roman" w:hAnsi="Times New Roman"/>
          <w:color w:val="auto"/>
          <w:sz w:val="24"/>
          <w:szCs w:val="24"/>
        </w:rPr>
        <w:t>(§ 10i odst. 6)</w:t>
      </w:r>
    </w:p>
    <w:p w14:paraId="34613600" w14:textId="71DBBFD8" w:rsidR="00755E5C" w:rsidRPr="00755E5C" w:rsidRDefault="00755E5C" w:rsidP="00755E5C">
      <w:pPr>
        <w:pStyle w:val="Dvodovzprva"/>
        <w:rPr>
          <w:rFonts w:ascii="Times New Roman" w:eastAsia="Aptos" w:hAnsi="Times New Roman"/>
          <w:color w:val="auto"/>
          <w:sz w:val="24"/>
          <w:szCs w:val="24"/>
          <w:lang w:eastAsia="en-US"/>
        </w:rPr>
      </w:pPr>
      <w:r w:rsidRPr="00755E5C">
        <w:rPr>
          <w:rFonts w:ascii="Times New Roman" w:eastAsia="Aptos" w:hAnsi="Times New Roman"/>
          <w:color w:val="auto"/>
          <w:sz w:val="24"/>
          <w:szCs w:val="24"/>
          <w:lang w:eastAsia="en-US"/>
        </w:rPr>
        <w:t>V ustanovení § 10i se doplňuje nový odstavec 6, jehož úprava je totožná jako nově vloženého odst.</w:t>
      </w:r>
      <w:r w:rsidR="00BC7B5A">
        <w:rPr>
          <w:rFonts w:ascii="Times New Roman" w:eastAsia="Aptos" w:hAnsi="Times New Roman"/>
          <w:color w:val="auto"/>
          <w:sz w:val="24"/>
          <w:szCs w:val="24"/>
          <w:lang w:eastAsia="en-US"/>
        </w:rPr>
        <w:t> </w:t>
      </w:r>
      <w:r w:rsidRPr="00755E5C">
        <w:rPr>
          <w:rFonts w:ascii="Times New Roman" w:eastAsia="Aptos" w:hAnsi="Times New Roman"/>
          <w:color w:val="auto"/>
          <w:sz w:val="24"/>
          <w:szCs w:val="24"/>
          <w:lang w:eastAsia="en-US"/>
        </w:rPr>
        <w:t>5 v ustanovení § 8. Proto v plném rozsahu odkazujeme na zdůvodnění v předchozím novelizačním bodě s tím, že jediným rozdílem je, že ustanovení § 10i se týká stanovení místa plnění u poskytnutí telekomunikačních služeb, služeb rozhlasového a televizního vysílání a</w:t>
      </w:r>
      <w:r w:rsidR="0071211F">
        <w:rPr>
          <w:rFonts w:ascii="Times New Roman" w:eastAsia="Aptos" w:hAnsi="Times New Roman"/>
          <w:color w:val="auto"/>
          <w:sz w:val="24"/>
          <w:szCs w:val="24"/>
          <w:lang w:eastAsia="en-US"/>
        </w:rPr>
        <w:t xml:space="preserve"> </w:t>
      </w:r>
      <w:r w:rsidRPr="00755E5C">
        <w:rPr>
          <w:rFonts w:ascii="Times New Roman" w:eastAsia="Aptos" w:hAnsi="Times New Roman"/>
          <w:color w:val="auto"/>
          <w:sz w:val="24"/>
          <w:szCs w:val="24"/>
          <w:lang w:eastAsia="en-US"/>
        </w:rPr>
        <w:t>elektronicky poskytovaných služeb osobám nepovinným k dani.</w:t>
      </w:r>
    </w:p>
    <w:p w14:paraId="10617525" w14:textId="77777777" w:rsidR="00755E5C" w:rsidRPr="00755E5C" w:rsidRDefault="00755E5C" w:rsidP="00755E5C">
      <w:pPr>
        <w:pStyle w:val="Dvodovzprvakbodu"/>
        <w:numPr>
          <w:ilvl w:val="0"/>
          <w:numId w:val="4"/>
        </w:numPr>
        <w:rPr>
          <w:rFonts w:ascii="Times New Roman" w:hAnsi="Times New Roman"/>
          <w:color w:val="auto"/>
          <w:sz w:val="24"/>
          <w:szCs w:val="24"/>
        </w:rPr>
      </w:pPr>
      <w:r w:rsidRPr="00755E5C">
        <w:rPr>
          <w:rFonts w:ascii="Times New Roman" w:hAnsi="Times New Roman"/>
          <w:color w:val="auto"/>
          <w:sz w:val="24"/>
          <w:szCs w:val="24"/>
        </w:rPr>
        <w:t>(§ 13a odst. 2 úvodní část ustanovení)</w:t>
      </w:r>
    </w:p>
    <w:p w14:paraId="05D7C970" w14:textId="7341A541" w:rsidR="00755E5C" w:rsidRPr="00755E5C" w:rsidRDefault="00755E5C" w:rsidP="00755E5C">
      <w:pPr>
        <w:pStyle w:val="Dvodovzprva"/>
        <w:rPr>
          <w:rFonts w:ascii="Times New Roman" w:eastAsia="Aptos" w:hAnsi="Times New Roman"/>
          <w:color w:val="auto"/>
          <w:sz w:val="24"/>
          <w:szCs w:val="24"/>
          <w:lang w:eastAsia="en-US"/>
        </w:rPr>
      </w:pPr>
      <w:r w:rsidRPr="00755E5C">
        <w:rPr>
          <w:rFonts w:ascii="Times New Roman" w:eastAsia="Aptos" w:hAnsi="Times New Roman"/>
          <w:color w:val="auto"/>
          <w:sz w:val="24"/>
          <w:szCs w:val="24"/>
          <w:lang w:eastAsia="en-US"/>
        </w:rPr>
        <w:t xml:space="preserve">Navrhovaná úprava vychází ze změny v prvním pododstavci čl. </w:t>
      </w:r>
      <w:proofErr w:type="gramStart"/>
      <w:r w:rsidRPr="00755E5C">
        <w:rPr>
          <w:rFonts w:ascii="Times New Roman" w:eastAsia="Aptos" w:hAnsi="Times New Roman"/>
          <w:color w:val="auto"/>
          <w:sz w:val="24"/>
          <w:szCs w:val="24"/>
          <w:lang w:eastAsia="en-US"/>
        </w:rPr>
        <w:t>14a</w:t>
      </w:r>
      <w:proofErr w:type="gramEnd"/>
      <w:r w:rsidRPr="00755E5C">
        <w:rPr>
          <w:rFonts w:ascii="Times New Roman" w:eastAsia="Aptos" w:hAnsi="Times New Roman"/>
          <w:color w:val="auto"/>
          <w:sz w:val="24"/>
          <w:szCs w:val="24"/>
          <w:lang w:eastAsia="en-US"/>
        </w:rPr>
        <w:t xml:space="preserve"> odst. 2 směrnice o dani z</w:t>
      </w:r>
      <w:r w:rsidR="0071211F">
        <w:rPr>
          <w:rFonts w:ascii="Times New Roman" w:eastAsia="Aptos" w:hAnsi="Times New Roman"/>
          <w:color w:val="auto"/>
          <w:sz w:val="24"/>
          <w:szCs w:val="24"/>
          <w:lang w:eastAsia="en-US"/>
        </w:rPr>
        <w:t> </w:t>
      </w:r>
      <w:r w:rsidRPr="00755E5C">
        <w:rPr>
          <w:rFonts w:ascii="Times New Roman" w:eastAsia="Aptos" w:hAnsi="Times New Roman"/>
          <w:color w:val="auto"/>
          <w:sz w:val="24"/>
          <w:szCs w:val="24"/>
          <w:lang w:eastAsia="en-US"/>
        </w:rPr>
        <w:t xml:space="preserve">přidané hodnoty, ve znění </w:t>
      </w:r>
      <w:r w:rsidRPr="00755E5C">
        <w:rPr>
          <w:rFonts w:ascii="Times New Roman" w:hAnsi="Times New Roman"/>
          <w:color w:val="auto"/>
          <w:sz w:val="24"/>
          <w:szCs w:val="24"/>
        </w:rPr>
        <w:t>směrnice DPH v digitálním věku</w:t>
      </w:r>
      <w:r w:rsidRPr="00755E5C">
        <w:rPr>
          <w:rFonts w:ascii="Times New Roman" w:eastAsia="Aptos" w:hAnsi="Times New Roman"/>
          <w:color w:val="auto"/>
          <w:sz w:val="24"/>
          <w:szCs w:val="24"/>
          <w:lang w:eastAsia="en-US"/>
        </w:rPr>
        <w:t>. Cílem této změny je rozšířit okruh odběratelů, u kterých je možné uplatnit tzv. princip domnělého dodavatele. Ten spočívá v tom, že přenáší plnění daňových povinností (zejména tvrzení a odvod daně) ze skutečného dodavatele (v</w:t>
      </w:r>
      <w:r w:rsidR="0071211F">
        <w:rPr>
          <w:rFonts w:ascii="Times New Roman" w:eastAsia="Aptos" w:hAnsi="Times New Roman"/>
          <w:color w:val="auto"/>
          <w:sz w:val="24"/>
          <w:szCs w:val="24"/>
          <w:lang w:eastAsia="en-US"/>
        </w:rPr>
        <w:t> </w:t>
      </w:r>
      <w:r w:rsidRPr="00755E5C">
        <w:rPr>
          <w:rFonts w:ascii="Times New Roman" w:eastAsia="Aptos" w:hAnsi="Times New Roman"/>
          <w:color w:val="auto"/>
          <w:sz w:val="24"/>
          <w:szCs w:val="24"/>
          <w:lang w:eastAsia="en-US"/>
        </w:rPr>
        <w:t>tomto případě zahraniční osoby – osoby usazené mimo Evropskou unii) na provozovatele elektronického rozhraní. Právně je tento princip zakotven jako právní fikce, na jejímž základě dochází k rozdělení faktického plnění na plnění dvě. Dodání zboží (zahrnuje jak o přeshraniční prodej zboží na dálku, tak také dodání zboží v rámci jednoho členského státu) zahraniční osobou osobě nepovinné k dani na území Evropské unie, které usnadňuje provozovatel elektronického rozhraní se rozděluje na (i) dodání zboží bez odeslání a přepravy mezi zahraniční osobou a</w:t>
      </w:r>
      <w:r w:rsidR="0071211F">
        <w:rPr>
          <w:rFonts w:ascii="Times New Roman" w:eastAsia="Aptos" w:hAnsi="Times New Roman"/>
          <w:color w:val="auto"/>
          <w:sz w:val="24"/>
          <w:szCs w:val="24"/>
          <w:lang w:eastAsia="en-US"/>
        </w:rPr>
        <w:t> </w:t>
      </w:r>
      <w:r w:rsidRPr="00755E5C">
        <w:rPr>
          <w:rFonts w:ascii="Times New Roman" w:eastAsia="Aptos" w:hAnsi="Times New Roman"/>
          <w:color w:val="auto"/>
          <w:sz w:val="24"/>
          <w:szCs w:val="24"/>
          <w:lang w:eastAsia="en-US"/>
        </w:rPr>
        <w:t>provozovatelem elektronického rozhraní a na (</w:t>
      </w:r>
      <w:proofErr w:type="spellStart"/>
      <w:r w:rsidRPr="00755E5C">
        <w:rPr>
          <w:rFonts w:ascii="Times New Roman" w:eastAsia="Aptos" w:hAnsi="Times New Roman"/>
          <w:color w:val="auto"/>
          <w:sz w:val="24"/>
          <w:szCs w:val="24"/>
          <w:lang w:eastAsia="en-US"/>
        </w:rPr>
        <w:t>ii</w:t>
      </w:r>
      <w:proofErr w:type="spellEnd"/>
      <w:r w:rsidRPr="00755E5C">
        <w:rPr>
          <w:rFonts w:ascii="Times New Roman" w:eastAsia="Aptos" w:hAnsi="Times New Roman"/>
          <w:color w:val="auto"/>
          <w:sz w:val="24"/>
          <w:szCs w:val="24"/>
          <w:lang w:eastAsia="en-US"/>
        </w:rPr>
        <w:t>) prodej zboží na dálku nebo dodání zboží s odesláním nebo přepravou mezi provozovatelem elektronického rozhraní a osobou nepovinnou k dani. První plnění je osvobozeno od daně a druhé plnění je zdanitelné.</w:t>
      </w:r>
    </w:p>
    <w:p w14:paraId="42577B9E" w14:textId="751BD66E" w:rsidR="00755E5C" w:rsidRPr="00755E5C" w:rsidRDefault="00755E5C" w:rsidP="00755E5C">
      <w:pPr>
        <w:pStyle w:val="Dvodovzprva"/>
        <w:rPr>
          <w:rFonts w:ascii="Times New Roman" w:eastAsia="Aptos" w:hAnsi="Times New Roman"/>
          <w:color w:val="auto"/>
          <w:sz w:val="24"/>
          <w:szCs w:val="24"/>
          <w:lang w:eastAsia="en-US"/>
        </w:rPr>
      </w:pPr>
      <w:r w:rsidRPr="00755E5C">
        <w:rPr>
          <w:rFonts w:ascii="Times New Roman" w:eastAsia="Aptos" w:hAnsi="Times New Roman"/>
          <w:color w:val="auto"/>
          <w:sz w:val="24"/>
          <w:szCs w:val="24"/>
          <w:lang w:eastAsia="en-US"/>
        </w:rPr>
        <w:t>Dosavadní úprava umožňovala tento princip aplikovat pouze na dodání zboží mezi zahraniční osobou a osobou nepovinnou k dani (tj. koncovým spotřebitelem). Z důvodu praktických problémů v podobě nepřesného či nemožného rozlišení osoby nepovinné k dani od vybraných osob povinných k dani ze strany provozovatele elektronického rozhraní, se rozšiřuje okruh příjemců, kterým je dodáno zboží zahraniční osobou a uplatní se na toto dodání princip domnělého dodavatele, tj. provozovatel elektronického rozhraní je tím, který má povinnost transakci zdanit.</w:t>
      </w:r>
    </w:p>
    <w:p w14:paraId="312E4380" w14:textId="5F1E049B" w:rsidR="00755E5C" w:rsidRPr="00755E5C" w:rsidRDefault="00755E5C" w:rsidP="00755E5C">
      <w:pPr>
        <w:pStyle w:val="Dvodovzprva"/>
        <w:rPr>
          <w:rFonts w:ascii="Times New Roman" w:hAnsi="Times New Roman"/>
          <w:color w:val="auto"/>
          <w:sz w:val="24"/>
          <w:szCs w:val="24"/>
        </w:rPr>
      </w:pPr>
      <w:r w:rsidRPr="00755E5C">
        <w:rPr>
          <w:rFonts w:ascii="Times New Roman" w:eastAsia="Aptos" w:hAnsi="Times New Roman"/>
          <w:color w:val="auto"/>
          <w:sz w:val="24"/>
          <w:szCs w:val="24"/>
          <w:lang w:eastAsia="en-US"/>
        </w:rPr>
        <w:t xml:space="preserve">Nově se uvedené principy (povinnost přiznat a odvést daň provozovatelem elektronického rozhraní) aplikují i na dodání zboží mezi zahraniční osobou jako dodavatelem a osobou, </w:t>
      </w:r>
      <w:r w:rsidRPr="00755E5C">
        <w:rPr>
          <w:rFonts w:ascii="Times New Roman" w:hAnsi="Times New Roman"/>
          <w:color w:val="auto"/>
          <w:sz w:val="24"/>
          <w:szCs w:val="24"/>
        </w:rPr>
        <w:t>pro kterou pořízení zboží z jiného členského státu není v příslušném členském státě předmětem daně, jako odběratelem. Do této kategorie odběratelů spadá jak osoba nepovinná k dani, tak také osoby povinné k dani, které splní podmínky uvedené v § 2a odst. 2 písm. b) zákona o dani z přidané hodnoty, tj., pro které by dané dodání zboží nebylo předmětem daně, pokud by jej pořizovali z</w:t>
      </w:r>
      <w:r w:rsidR="0071211F">
        <w:rPr>
          <w:rFonts w:ascii="Times New Roman" w:hAnsi="Times New Roman"/>
          <w:color w:val="auto"/>
          <w:sz w:val="24"/>
          <w:szCs w:val="24"/>
        </w:rPr>
        <w:t> </w:t>
      </w:r>
      <w:r w:rsidRPr="00755E5C">
        <w:rPr>
          <w:rFonts w:ascii="Times New Roman" w:hAnsi="Times New Roman"/>
          <w:color w:val="auto"/>
          <w:sz w:val="24"/>
          <w:szCs w:val="24"/>
        </w:rPr>
        <w:t>jiného členského státu. Jedná se o tyto osoby:</w:t>
      </w:r>
    </w:p>
    <w:p w14:paraId="56E05CF1" w14:textId="0F84705A" w:rsidR="00755E5C" w:rsidRPr="00755E5C" w:rsidRDefault="00755E5C" w:rsidP="0071211F">
      <w:pPr>
        <w:pStyle w:val="Dvodovzprva"/>
        <w:ind w:left="567" w:hanging="283"/>
        <w:rPr>
          <w:rFonts w:ascii="Times New Roman" w:hAnsi="Times New Roman"/>
          <w:color w:val="auto"/>
          <w:sz w:val="24"/>
          <w:szCs w:val="24"/>
        </w:rPr>
      </w:pPr>
      <w:r w:rsidRPr="00755E5C">
        <w:rPr>
          <w:rFonts w:ascii="Times New Roman" w:hAnsi="Times New Roman"/>
          <w:color w:val="auto"/>
          <w:sz w:val="24"/>
          <w:szCs w:val="24"/>
        </w:rPr>
        <w:t>a)</w:t>
      </w:r>
      <w:r w:rsidR="0071211F">
        <w:rPr>
          <w:rFonts w:ascii="Times New Roman" w:hAnsi="Times New Roman"/>
          <w:color w:val="auto"/>
          <w:sz w:val="24"/>
          <w:szCs w:val="24"/>
        </w:rPr>
        <w:tab/>
      </w:r>
      <w:r w:rsidRPr="00755E5C">
        <w:rPr>
          <w:rFonts w:ascii="Times New Roman" w:hAnsi="Times New Roman"/>
          <w:color w:val="auto"/>
          <w:sz w:val="24"/>
          <w:szCs w:val="24"/>
        </w:rPr>
        <w:t>osoba povinná k dani se sídlem v tuzemsku, která není plátcem ani osobou uskutečňující pouze plnění, u kterých by neměla nárok na odpočet daně, pokud by byla plátcem, jejíž obrat v tuzemsku v bezprostředně předcházejícím kalendářním roce překročil částku podle §</w:t>
      </w:r>
      <w:r w:rsidR="00000F3B">
        <w:rPr>
          <w:rFonts w:ascii="Times New Roman" w:hAnsi="Times New Roman"/>
          <w:color w:val="auto"/>
          <w:sz w:val="24"/>
          <w:szCs w:val="24"/>
        </w:rPr>
        <w:t> </w:t>
      </w:r>
      <w:r w:rsidRPr="00755E5C">
        <w:rPr>
          <w:rFonts w:ascii="Times New Roman" w:hAnsi="Times New Roman"/>
          <w:color w:val="auto"/>
          <w:sz w:val="24"/>
          <w:szCs w:val="24"/>
        </w:rPr>
        <w:t xml:space="preserve">6 </w:t>
      </w:r>
      <w:r w:rsidRPr="00755E5C">
        <w:rPr>
          <w:rFonts w:ascii="Times New Roman" w:hAnsi="Times New Roman"/>
          <w:color w:val="auto"/>
          <w:sz w:val="24"/>
          <w:szCs w:val="24"/>
        </w:rPr>
        <w:lastRenderedPageBreak/>
        <w:t>odst.</w:t>
      </w:r>
      <w:r w:rsidR="003F2A7F">
        <w:rPr>
          <w:rFonts w:ascii="Times New Roman" w:hAnsi="Times New Roman"/>
          <w:color w:val="auto"/>
          <w:sz w:val="24"/>
          <w:szCs w:val="24"/>
        </w:rPr>
        <w:t> </w:t>
      </w:r>
      <w:r w:rsidRPr="00755E5C">
        <w:rPr>
          <w:rFonts w:ascii="Times New Roman" w:hAnsi="Times New Roman"/>
          <w:color w:val="auto"/>
          <w:sz w:val="24"/>
          <w:szCs w:val="24"/>
        </w:rPr>
        <w:t>1 zákona o dani z přidané hodnoty (2 mil. Kč) nebo jejíž obrat v tuzemsku překročil v</w:t>
      </w:r>
      <w:r w:rsidR="0071211F">
        <w:rPr>
          <w:rFonts w:ascii="Times New Roman" w:hAnsi="Times New Roman"/>
          <w:color w:val="auto"/>
          <w:sz w:val="24"/>
          <w:szCs w:val="24"/>
        </w:rPr>
        <w:t> </w:t>
      </w:r>
      <w:r w:rsidRPr="00755E5C">
        <w:rPr>
          <w:rFonts w:ascii="Times New Roman" w:hAnsi="Times New Roman"/>
          <w:color w:val="auto"/>
          <w:sz w:val="24"/>
          <w:szCs w:val="24"/>
        </w:rPr>
        <w:t>příslušném kalendářním roce částku podle § 6 odst. 2 písm. b) zákona o dani z přidané hodnoty (2 536 500 Kč),</w:t>
      </w:r>
    </w:p>
    <w:p w14:paraId="785A626A" w14:textId="5ADEC4D3" w:rsidR="00755E5C" w:rsidRPr="00755E5C" w:rsidRDefault="00755E5C" w:rsidP="0071211F">
      <w:pPr>
        <w:pStyle w:val="Dvodovzprva"/>
        <w:ind w:left="567" w:hanging="283"/>
        <w:rPr>
          <w:rFonts w:ascii="Times New Roman" w:hAnsi="Times New Roman"/>
          <w:color w:val="auto"/>
          <w:sz w:val="24"/>
          <w:szCs w:val="24"/>
        </w:rPr>
      </w:pPr>
      <w:r w:rsidRPr="00755E5C">
        <w:rPr>
          <w:rFonts w:ascii="Times New Roman" w:hAnsi="Times New Roman"/>
          <w:color w:val="auto"/>
          <w:sz w:val="24"/>
          <w:szCs w:val="24"/>
        </w:rPr>
        <w:t>b)</w:t>
      </w:r>
      <w:r w:rsidR="0071211F">
        <w:rPr>
          <w:rFonts w:ascii="Times New Roman" w:hAnsi="Times New Roman"/>
          <w:color w:val="auto"/>
          <w:sz w:val="24"/>
          <w:szCs w:val="24"/>
        </w:rPr>
        <w:tab/>
      </w:r>
      <w:r w:rsidRPr="00755E5C">
        <w:rPr>
          <w:rFonts w:ascii="Times New Roman" w:hAnsi="Times New Roman"/>
          <w:color w:val="auto"/>
          <w:sz w:val="24"/>
          <w:szCs w:val="24"/>
        </w:rPr>
        <w:t>osoba povinná k dani se sídlem nebo provozovnou v jiném členském státě, která</w:t>
      </w:r>
    </w:p>
    <w:p w14:paraId="3E7E66AE" w14:textId="480FB3C5" w:rsidR="00755E5C" w:rsidRPr="00755E5C" w:rsidRDefault="00755E5C" w:rsidP="0071211F">
      <w:pPr>
        <w:pStyle w:val="Dvodovzprva"/>
        <w:ind w:left="1418" w:hanging="425"/>
        <w:rPr>
          <w:rFonts w:ascii="Times New Roman" w:hAnsi="Times New Roman"/>
          <w:color w:val="auto"/>
          <w:sz w:val="24"/>
          <w:szCs w:val="24"/>
        </w:rPr>
      </w:pPr>
      <w:r w:rsidRPr="00755E5C">
        <w:rPr>
          <w:rFonts w:ascii="Times New Roman" w:hAnsi="Times New Roman"/>
          <w:color w:val="auto"/>
          <w:sz w:val="24"/>
          <w:szCs w:val="24"/>
        </w:rPr>
        <w:t>1.</w:t>
      </w:r>
      <w:r w:rsidR="0071211F">
        <w:rPr>
          <w:rFonts w:ascii="Times New Roman" w:hAnsi="Times New Roman"/>
          <w:color w:val="auto"/>
          <w:sz w:val="24"/>
          <w:szCs w:val="24"/>
        </w:rPr>
        <w:tab/>
      </w:r>
      <w:r w:rsidRPr="00755E5C">
        <w:rPr>
          <w:rFonts w:ascii="Times New Roman" w:hAnsi="Times New Roman"/>
          <w:color w:val="auto"/>
          <w:sz w:val="24"/>
          <w:szCs w:val="24"/>
        </w:rPr>
        <w:t>je osobou registrovanou do režimu pro malé podniky pro tuzemsko, která může tento režim využívat a která jedná jako taková, nebo</w:t>
      </w:r>
    </w:p>
    <w:p w14:paraId="123609E4" w14:textId="71DDAE8A" w:rsidR="00755E5C" w:rsidRPr="00755E5C" w:rsidRDefault="00755E5C" w:rsidP="0071211F">
      <w:pPr>
        <w:pStyle w:val="Dvodovzprva"/>
        <w:ind w:left="1418" w:hanging="425"/>
        <w:rPr>
          <w:rFonts w:ascii="Times New Roman" w:hAnsi="Times New Roman"/>
          <w:color w:val="auto"/>
          <w:sz w:val="24"/>
          <w:szCs w:val="24"/>
        </w:rPr>
      </w:pPr>
      <w:r w:rsidRPr="00755E5C">
        <w:rPr>
          <w:rFonts w:ascii="Times New Roman" w:hAnsi="Times New Roman"/>
          <w:color w:val="auto"/>
          <w:sz w:val="24"/>
          <w:szCs w:val="24"/>
        </w:rPr>
        <w:t>2.</w:t>
      </w:r>
      <w:r w:rsidR="0071211F">
        <w:rPr>
          <w:rFonts w:ascii="Times New Roman" w:hAnsi="Times New Roman"/>
          <w:color w:val="auto"/>
          <w:sz w:val="24"/>
          <w:szCs w:val="24"/>
        </w:rPr>
        <w:tab/>
      </w:r>
      <w:r w:rsidRPr="00755E5C">
        <w:rPr>
          <w:rFonts w:ascii="Times New Roman" w:hAnsi="Times New Roman"/>
          <w:color w:val="auto"/>
          <w:sz w:val="24"/>
          <w:szCs w:val="24"/>
        </w:rPr>
        <w:t>není osobou podle bodu 1 ani plátcem a která je ve všech jiných členských státech osobou s obdobným postavením jako v tuzemsku osoba povinná k dani se sídlem v</w:t>
      </w:r>
      <w:r w:rsidR="0071211F">
        <w:rPr>
          <w:rFonts w:ascii="Times New Roman" w:hAnsi="Times New Roman"/>
          <w:color w:val="auto"/>
          <w:sz w:val="24"/>
          <w:szCs w:val="24"/>
        </w:rPr>
        <w:t> </w:t>
      </w:r>
      <w:r w:rsidRPr="00755E5C">
        <w:rPr>
          <w:rFonts w:ascii="Times New Roman" w:hAnsi="Times New Roman"/>
          <w:color w:val="auto"/>
          <w:sz w:val="24"/>
          <w:szCs w:val="24"/>
        </w:rPr>
        <w:t>tuzemsku, která není plátcem,</w:t>
      </w:r>
    </w:p>
    <w:p w14:paraId="3E2619CA" w14:textId="73B3F9DA" w:rsidR="00755E5C" w:rsidRPr="00755E5C" w:rsidRDefault="00755E5C" w:rsidP="0071211F">
      <w:pPr>
        <w:pStyle w:val="Dvodovzprva"/>
        <w:ind w:left="567" w:hanging="283"/>
        <w:rPr>
          <w:rFonts w:ascii="Times New Roman" w:hAnsi="Times New Roman"/>
          <w:color w:val="auto"/>
          <w:sz w:val="24"/>
          <w:szCs w:val="24"/>
        </w:rPr>
      </w:pPr>
      <w:r w:rsidRPr="00755E5C">
        <w:rPr>
          <w:rFonts w:ascii="Times New Roman" w:hAnsi="Times New Roman"/>
          <w:color w:val="auto"/>
          <w:sz w:val="24"/>
          <w:szCs w:val="24"/>
        </w:rPr>
        <w:t>c)</w:t>
      </w:r>
      <w:r w:rsidR="0071211F">
        <w:rPr>
          <w:rFonts w:ascii="Times New Roman" w:hAnsi="Times New Roman"/>
          <w:color w:val="auto"/>
          <w:sz w:val="24"/>
          <w:szCs w:val="24"/>
        </w:rPr>
        <w:tab/>
      </w:r>
      <w:r w:rsidRPr="00755E5C">
        <w:rPr>
          <w:rFonts w:ascii="Times New Roman" w:hAnsi="Times New Roman"/>
          <w:color w:val="auto"/>
          <w:sz w:val="24"/>
          <w:szCs w:val="24"/>
        </w:rPr>
        <w:t>osoba povinná k dani, na kterou se v jiném členském státě vztahuje společný režim daňového paušálu pro zemědělce, nebo</w:t>
      </w:r>
    </w:p>
    <w:p w14:paraId="56B8296E" w14:textId="2C86A63B" w:rsidR="00755E5C" w:rsidRPr="00755E5C" w:rsidRDefault="00755E5C" w:rsidP="0071211F">
      <w:pPr>
        <w:pStyle w:val="Dvodovzprva"/>
        <w:ind w:left="567" w:hanging="283"/>
        <w:rPr>
          <w:rFonts w:ascii="Times New Roman" w:hAnsi="Times New Roman"/>
          <w:color w:val="auto"/>
          <w:sz w:val="24"/>
          <w:szCs w:val="24"/>
        </w:rPr>
      </w:pPr>
      <w:r w:rsidRPr="00755E5C">
        <w:rPr>
          <w:rFonts w:ascii="Times New Roman" w:hAnsi="Times New Roman"/>
          <w:color w:val="auto"/>
          <w:sz w:val="24"/>
          <w:szCs w:val="24"/>
        </w:rPr>
        <w:t>d)</w:t>
      </w:r>
      <w:r w:rsidR="0071211F">
        <w:rPr>
          <w:rFonts w:ascii="Times New Roman" w:hAnsi="Times New Roman"/>
          <w:color w:val="auto"/>
          <w:sz w:val="24"/>
          <w:szCs w:val="24"/>
        </w:rPr>
        <w:tab/>
      </w:r>
      <w:r w:rsidRPr="00755E5C">
        <w:rPr>
          <w:rFonts w:ascii="Times New Roman" w:hAnsi="Times New Roman"/>
          <w:color w:val="auto"/>
          <w:sz w:val="24"/>
          <w:szCs w:val="24"/>
        </w:rPr>
        <w:t>právnická osoba nepovinná k dani.</w:t>
      </w:r>
    </w:p>
    <w:p w14:paraId="721A5300" w14:textId="47FE3A03" w:rsidR="00755E5C" w:rsidRPr="00755E5C" w:rsidRDefault="00755E5C" w:rsidP="00755E5C">
      <w:pPr>
        <w:pStyle w:val="Dvodovzprva"/>
        <w:rPr>
          <w:rFonts w:ascii="Times New Roman" w:hAnsi="Times New Roman"/>
          <w:color w:val="auto"/>
          <w:sz w:val="24"/>
          <w:szCs w:val="24"/>
        </w:rPr>
      </w:pPr>
      <w:r w:rsidRPr="00755E5C">
        <w:rPr>
          <w:rFonts w:ascii="Times New Roman" w:hAnsi="Times New Roman"/>
          <w:color w:val="auto"/>
          <w:sz w:val="24"/>
          <w:szCs w:val="24"/>
        </w:rPr>
        <w:t>Pro správnou aplikaci principu domnělého dodavatele musí provozovatel vyhodnotit, zda odběratelem zboží je osoba, pro kterou pořízení zboží z jiného členského státu není předmětem daně v členském státě, ve kterém dochází k dodání zboží. V praktické rovině toto vyhodnotí tak, že od odběratele neobdržel daňové identifikační číslo pro účely daně z přidané hodnoty a zároveň mu není známo z jiných dostupných zdrojů, že by odběratel takové číslo měl.</w:t>
      </w:r>
    </w:p>
    <w:p w14:paraId="76EF125F" w14:textId="7626C0D0" w:rsidR="00755E5C" w:rsidRPr="00755E5C" w:rsidRDefault="00755E5C" w:rsidP="00755E5C">
      <w:pPr>
        <w:pStyle w:val="Dvodovzprva"/>
        <w:rPr>
          <w:rFonts w:ascii="Times New Roman" w:hAnsi="Times New Roman"/>
          <w:color w:val="auto"/>
          <w:sz w:val="24"/>
          <w:szCs w:val="24"/>
        </w:rPr>
      </w:pPr>
      <w:r w:rsidRPr="00755E5C">
        <w:rPr>
          <w:rFonts w:ascii="Times New Roman" w:hAnsi="Times New Roman"/>
          <w:color w:val="auto"/>
          <w:sz w:val="24"/>
          <w:szCs w:val="24"/>
        </w:rPr>
        <w:t>V případech, kdy provozovatel elektronického rozhraní usnadňuje dodání zboží mezi zahraniční osobou a osobou povinnou k dani, která je plátcem nebo je registrována k dani v jiném členském státě, pak se výše uvedený princip domnělého dodavatele nepoužije a provozovateli nevznikne povinnost přiznat a odvést daň z uvedeného dodání. Bude-li místo plnění u tohoto dodání zboží v</w:t>
      </w:r>
      <w:r w:rsidR="0071211F">
        <w:rPr>
          <w:rFonts w:ascii="Times New Roman" w:hAnsi="Times New Roman"/>
          <w:color w:val="auto"/>
          <w:sz w:val="24"/>
          <w:szCs w:val="24"/>
        </w:rPr>
        <w:t> </w:t>
      </w:r>
      <w:r w:rsidRPr="00755E5C">
        <w:rPr>
          <w:rFonts w:ascii="Times New Roman" w:hAnsi="Times New Roman"/>
          <w:color w:val="auto"/>
          <w:sz w:val="24"/>
          <w:szCs w:val="24"/>
        </w:rPr>
        <w:t>tuzemsku, pak přechází povinnost přiznat daň podle § 108 odst. 3 písm. b) zákona o dani z</w:t>
      </w:r>
      <w:r w:rsidR="0071211F">
        <w:rPr>
          <w:rFonts w:ascii="Times New Roman" w:hAnsi="Times New Roman"/>
          <w:color w:val="auto"/>
          <w:sz w:val="24"/>
          <w:szCs w:val="24"/>
        </w:rPr>
        <w:t> </w:t>
      </w:r>
      <w:r w:rsidRPr="00755E5C">
        <w:rPr>
          <w:rFonts w:ascii="Times New Roman" w:hAnsi="Times New Roman"/>
          <w:color w:val="auto"/>
          <w:sz w:val="24"/>
          <w:szCs w:val="24"/>
        </w:rPr>
        <w:t>přidané hodnoty na příjemce, který je plátcem. Není-li příjemce plátcem, pak se zahraniční osoba stává ze zákona plátcem společně s povinností přiznat a odvést daň včetně povinnost registrace k DPH jako plátce.</w:t>
      </w:r>
    </w:p>
    <w:p w14:paraId="4CA0AB97" w14:textId="77777777" w:rsidR="00755E5C" w:rsidRPr="00755E5C" w:rsidRDefault="00755E5C" w:rsidP="00755E5C">
      <w:pPr>
        <w:pStyle w:val="Dvodovzprvakbodu"/>
        <w:numPr>
          <w:ilvl w:val="0"/>
          <w:numId w:val="4"/>
        </w:numPr>
        <w:rPr>
          <w:rFonts w:ascii="Times New Roman" w:hAnsi="Times New Roman"/>
          <w:color w:val="auto"/>
          <w:sz w:val="24"/>
          <w:szCs w:val="24"/>
        </w:rPr>
      </w:pPr>
      <w:r w:rsidRPr="00755E5C">
        <w:rPr>
          <w:rFonts w:ascii="Times New Roman" w:hAnsi="Times New Roman"/>
          <w:color w:val="auto"/>
          <w:sz w:val="24"/>
          <w:szCs w:val="24"/>
        </w:rPr>
        <w:t>(§ 13a odst. 2 písm. a))</w:t>
      </w:r>
    </w:p>
    <w:p w14:paraId="4AE39B0B" w14:textId="4FCC92C0" w:rsidR="00755E5C" w:rsidRPr="00755E5C" w:rsidRDefault="00755E5C" w:rsidP="00755E5C">
      <w:pPr>
        <w:pStyle w:val="Dvodovzprva"/>
        <w:rPr>
          <w:rFonts w:ascii="Times New Roman" w:hAnsi="Times New Roman"/>
          <w:color w:val="auto"/>
          <w:sz w:val="24"/>
          <w:szCs w:val="24"/>
        </w:rPr>
      </w:pPr>
      <w:r w:rsidRPr="00755E5C">
        <w:rPr>
          <w:rFonts w:ascii="Times New Roman" w:hAnsi="Times New Roman"/>
          <w:color w:val="auto"/>
          <w:sz w:val="24"/>
          <w:szCs w:val="24"/>
        </w:rPr>
        <w:t>Dochází ke zpřesnění textu, aby bylo zřejmé, mezi kterými osobami dochází k dodání zboží bez odeslání nebo přepravy. V písm. a) dochází k dodání zboží bez odeslání nebo přepravy mezi zahraniční osobou a provozovatelem elektronického rozhraní.</w:t>
      </w:r>
    </w:p>
    <w:p w14:paraId="18BFD103" w14:textId="77777777" w:rsidR="00755E5C" w:rsidRPr="00755E5C" w:rsidRDefault="00755E5C" w:rsidP="00755E5C">
      <w:pPr>
        <w:pStyle w:val="Dvodovzprvakbodu"/>
        <w:numPr>
          <w:ilvl w:val="0"/>
          <w:numId w:val="4"/>
        </w:numPr>
        <w:rPr>
          <w:rFonts w:ascii="Times New Roman" w:hAnsi="Times New Roman"/>
          <w:color w:val="auto"/>
          <w:sz w:val="24"/>
          <w:szCs w:val="24"/>
        </w:rPr>
      </w:pPr>
      <w:r w:rsidRPr="00755E5C">
        <w:rPr>
          <w:rFonts w:ascii="Times New Roman" w:hAnsi="Times New Roman"/>
          <w:color w:val="auto"/>
          <w:sz w:val="24"/>
          <w:szCs w:val="24"/>
        </w:rPr>
        <w:t>(§ 13a odst. 2 písm. b))</w:t>
      </w:r>
    </w:p>
    <w:p w14:paraId="11C215AB" w14:textId="77777777" w:rsidR="00755E5C" w:rsidRPr="00755E5C" w:rsidRDefault="00755E5C" w:rsidP="00755E5C">
      <w:pPr>
        <w:pStyle w:val="Dvodovzprva"/>
        <w:rPr>
          <w:rFonts w:ascii="Times New Roman" w:hAnsi="Times New Roman"/>
          <w:color w:val="auto"/>
          <w:sz w:val="24"/>
          <w:szCs w:val="24"/>
        </w:rPr>
      </w:pPr>
      <w:r w:rsidRPr="00755E5C">
        <w:rPr>
          <w:rFonts w:ascii="Times New Roman" w:hAnsi="Times New Roman"/>
          <w:color w:val="auto"/>
          <w:sz w:val="24"/>
          <w:szCs w:val="24"/>
        </w:rPr>
        <w:t>I změny činěné v § 13a odst. 2 písm. b) souvisí se změnami tohoto ustanovení výše. V tomto novelizačním bodě dochází k rozšíření okruhu osob, na které se koncept domnělého dodavatele vztahuje, a to tak, že namísto osoby nepovinné k dani se bude jednat o osoby, pro které pořízení zboží z jiného členského státu není v příslušném členském státě předmětem daně. Více ke změnám činěným v § 13a odst. 2 viz první novelizační bod k těmto změnám.</w:t>
      </w:r>
    </w:p>
    <w:p w14:paraId="5DC5EFBA" w14:textId="77777777" w:rsidR="00755E5C" w:rsidRPr="00755E5C" w:rsidRDefault="00755E5C" w:rsidP="00755E5C">
      <w:pPr>
        <w:pStyle w:val="Dvodovzprvakbodu"/>
        <w:numPr>
          <w:ilvl w:val="0"/>
          <w:numId w:val="4"/>
        </w:numPr>
        <w:rPr>
          <w:rFonts w:ascii="Times New Roman" w:hAnsi="Times New Roman"/>
          <w:color w:val="auto"/>
          <w:sz w:val="24"/>
          <w:szCs w:val="24"/>
        </w:rPr>
      </w:pPr>
      <w:r w:rsidRPr="00755E5C">
        <w:rPr>
          <w:rFonts w:ascii="Times New Roman" w:hAnsi="Times New Roman"/>
          <w:color w:val="auto"/>
          <w:sz w:val="24"/>
          <w:szCs w:val="24"/>
        </w:rPr>
        <w:t>(oddíl 6)</w:t>
      </w:r>
    </w:p>
    <w:p w14:paraId="171CAB1D" w14:textId="7ABB0FC1" w:rsidR="00755E5C" w:rsidRPr="0071211F" w:rsidRDefault="00755E5C" w:rsidP="0071211F">
      <w:pPr>
        <w:pStyle w:val="Dvodovzprva"/>
        <w:rPr>
          <w:rFonts w:ascii="Times New Roman" w:hAnsi="Times New Roman"/>
          <w:color w:val="auto"/>
          <w:sz w:val="24"/>
          <w:szCs w:val="24"/>
        </w:rPr>
      </w:pPr>
      <w:r w:rsidRPr="0071211F">
        <w:rPr>
          <w:rFonts w:ascii="Times New Roman" w:hAnsi="Times New Roman"/>
          <w:color w:val="auto"/>
          <w:sz w:val="24"/>
          <w:szCs w:val="24"/>
        </w:rPr>
        <w:t xml:space="preserve">Tento novelizační bod ruší s odloženou účinností od 1. července 2028 základní ustanovení upravující v zákoně o dani z přidané hodnoty tzv. režim </w:t>
      </w:r>
      <w:r w:rsidRPr="00BC7B5A">
        <w:rPr>
          <w:rFonts w:ascii="Times New Roman" w:hAnsi="Times New Roman"/>
          <w:i/>
          <w:iCs/>
          <w:color w:val="auto"/>
          <w:sz w:val="24"/>
          <w:szCs w:val="24"/>
        </w:rPr>
        <w:t>call</w:t>
      </w:r>
      <w:r w:rsidR="0071211F" w:rsidRPr="00BC7B5A">
        <w:rPr>
          <w:rFonts w:ascii="Times New Roman" w:hAnsi="Times New Roman"/>
          <w:i/>
          <w:iCs/>
          <w:color w:val="auto"/>
          <w:sz w:val="24"/>
          <w:szCs w:val="24"/>
        </w:rPr>
        <w:t>-</w:t>
      </w:r>
      <w:proofErr w:type="spellStart"/>
      <w:r w:rsidRPr="00BC7B5A">
        <w:rPr>
          <w:rFonts w:ascii="Times New Roman" w:hAnsi="Times New Roman"/>
          <w:i/>
          <w:iCs/>
          <w:color w:val="auto"/>
          <w:sz w:val="24"/>
          <w:szCs w:val="24"/>
        </w:rPr>
        <w:t>off</w:t>
      </w:r>
      <w:proofErr w:type="spellEnd"/>
      <w:r w:rsidRPr="00BC7B5A">
        <w:rPr>
          <w:rFonts w:ascii="Times New Roman" w:hAnsi="Times New Roman"/>
          <w:i/>
          <w:iCs/>
          <w:color w:val="auto"/>
          <w:sz w:val="24"/>
          <w:szCs w:val="24"/>
        </w:rPr>
        <w:t xml:space="preserve"> </w:t>
      </w:r>
      <w:proofErr w:type="spellStart"/>
      <w:proofErr w:type="gramStart"/>
      <w:r w:rsidRPr="00BC7B5A">
        <w:rPr>
          <w:rFonts w:ascii="Times New Roman" w:hAnsi="Times New Roman"/>
          <w:i/>
          <w:iCs/>
          <w:color w:val="auto"/>
          <w:sz w:val="24"/>
          <w:szCs w:val="24"/>
        </w:rPr>
        <w:t>stock</w:t>
      </w:r>
      <w:proofErr w:type="spellEnd"/>
      <w:r w:rsidRPr="0071211F">
        <w:rPr>
          <w:rFonts w:ascii="Times New Roman" w:hAnsi="Times New Roman"/>
          <w:color w:val="auto"/>
          <w:sz w:val="24"/>
          <w:szCs w:val="24"/>
        </w:rPr>
        <w:t>,</w:t>
      </w:r>
      <w:proofErr w:type="gramEnd"/>
      <w:r w:rsidRPr="0071211F">
        <w:rPr>
          <w:rFonts w:ascii="Times New Roman" w:hAnsi="Times New Roman"/>
          <w:color w:val="auto"/>
          <w:sz w:val="24"/>
          <w:szCs w:val="24"/>
        </w:rPr>
        <w:t xml:space="preserve"> neboli režim skladu (ustanovení § 18 zákona o dani z přidané hodnoty). De facto se jedná o zamezení vstupu do tohoto režimu, který je možné využít ve lhůtě 12 měsíců od ukončení přepravy. Režim skladu bude moct být využit pro zboží, u kterého dojde k ukončení odeslání nebo přepravy zboží do 30. června 2028. </w:t>
      </w:r>
      <w:r w:rsidRPr="0071211F">
        <w:rPr>
          <w:rFonts w:ascii="Times New Roman" w:hAnsi="Times New Roman"/>
          <w:color w:val="auto"/>
          <w:sz w:val="24"/>
          <w:szCs w:val="24"/>
        </w:rPr>
        <w:lastRenderedPageBreak/>
        <w:t>V souladu s přechodným ustanovením bude režim skladu se všemi pravidly, která se k němu vážou, možné použít na takové zboží do 30. června 2029. Po uplynutí této lhůty bude dodání v režimu skladu považováno z pohledu pořizovatele jako pořízení zboží z jiného členského státu, které je zdanitelným plněním, a z pohledu dodavatele jako dodání zboží do jiného členského státu, které může být osvobozeno od daně.</w:t>
      </w:r>
    </w:p>
    <w:p w14:paraId="41DD2D69" w14:textId="2951698A" w:rsidR="00755E5C" w:rsidRPr="0071211F" w:rsidRDefault="00755E5C" w:rsidP="00755E5C">
      <w:pPr>
        <w:pStyle w:val="Dvodovzprva"/>
        <w:rPr>
          <w:rFonts w:ascii="Times New Roman" w:hAnsi="Times New Roman"/>
          <w:color w:val="auto"/>
          <w:sz w:val="24"/>
          <w:szCs w:val="24"/>
        </w:rPr>
      </w:pPr>
      <w:r w:rsidRPr="0071211F">
        <w:rPr>
          <w:rFonts w:ascii="Times New Roman" w:hAnsi="Times New Roman"/>
          <w:color w:val="auto"/>
          <w:sz w:val="24"/>
          <w:szCs w:val="24"/>
        </w:rPr>
        <w:t>Od 1. července 2028 bude zaveden nový zvláštní režim pro přemístění zboží, který bude součástí zvláštního režimu jednoho správního místa (bude zavedeno následující novelou zákona o dani z</w:t>
      </w:r>
      <w:r w:rsidR="00D57860">
        <w:rPr>
          <w:rFonts w:ascii="Times New Roman" w:hAnsi="Times New Roman"/>
          <w:color w:val="auto"/>
          <w:sz w:val="24"/>
          <w:szCs w:val="24"/>
        </w:rPr>
        <w:t> </w:t>
      </w:r>
      <w:r w:rsidRPr="0071211F">
        <w:rPr>
          <w:rFonts w:ascii="Times New Roman" w:hAnsi="Times New Roman"/>
          <w:color w:val="auto"/>
          <w:sz w:val="24"/>
          <w:szCs w:val="24"/>
        </w:rPr>
        <w:t>přidané hodnoty). Tento režim bude mít obdobné využití jako režim skladu, tj. k přemístění zboží v rámci Evropské unie bez povinnost se registrovat ve všech příslušných členských státech Evropské unie k DPH.</w:t>
      </w:r>
    </w:p>
    <w:p w14:paraId="5D23DF9F" w14:textId="77777777" w:rsidR="00755E5C" w:rsidRPr="00755E5C" w:rsidRDefault="00755E5C" w:rsidP="00755E5C">
      <w:pPr>
        <w:pStyle w:val="Dvodovzprvakbodu"/>
        <w:numPr>
          <w:ilvl w:val="0"/>
          <w:numId w:val="4"/>
        </w:numPr>
        <w:rPr>
          <w:rFonts w:ascii="Times New Roman" w:hAnsi="Times New Roman"/>
          <w:color w:val="auto"/>
          <w:sz w:val="24"/>
          <w:szCs w:val="24"/>
        </w:rPr>
      </w:pPr>
      <w:r w:rsidRPr="00755E5C">
        <w:rPr>
          <w:rFonts w:ascii="Times New Roman" w:hAnsi="Times New Roman"/>
          <w:color w:val="auto"/>
          <w:sz w:val="24"/>
          <w:szCs w:val="24"/>
        </w:rPr>
        <w:t>(§ 21 odst. 3)</w:t>
      </w:r>
    </w:p>
    <w:p w14:paraId="4446C5BB" w14:textId="5145505D" w:rsidR="00755E5C" w:rsidRPr="00755E5C" w:rsidRDefault="00755E5C" w:rsidP="00755E5C">
      <w:pPr>
        <w:pStyle w:val="Dvodovzprva"/>
        <w:rPr>
          <w:rFonts w:ascii="Times New Roman" w:eastAsia="Aptos" w:hAnsi="Times New Roman"/>
          <w:color w:val="auto"/>
          <w:sz w:val="24"/>
          <w:szCs w:val="24"/>
        </w:rPr>
      </w:pPr>
      <w:r w:rsidRPr="00755E5C">
        <w:rPr>
          <w:rFonts w:ascii="Times New Roman" w:eastAsia="Aptos" w:hAnsi="Times New Roman"/>
          <w:color w:val="auto"/>
          <w:sz w:val="24"/>
          <w:szCs w:val="24"/>
          <w:lang w:eastAsia="en-US"/>
        </w:rPr>
        <w:t xml:space="preserve">Navrhovaná úprava v návaznosti na čl. 66 odst. 2 písm. a) a b) směrnice o dani z přidané hodnoty, ve znění </w:t>
      </w:r>
      <w:r w:rsidRPr="00755E5C">
        <w:rPr>
          <w:rFonts w:ascii="Times New Roman" w:hAnsi="Times New Roman"/>
          <w:color w:val="auto"/>
          <w:sz w:val="24"/>
          <w:szCs w:val="24"/>
        </w:rPr>
        <w:t>směrnice DPH v digitálním věku,</w:t>
      </w:r>
      <w:r w:rsidRPr="00755E5C">
        <w:rPr>
          <w:rFonts w:ascii="Times New Roman" w:eastAsia="Aptos" w:hAnsi="Times New Roman"/>
          <w:color w:val="auto"/>
          <w:sz w:val="24"/>
          <w:szCs w:val="24"/>
          <w:lang w:eastAsia="en-US"/>
        </w:rPr>
        <w:t xml:space="preserve"> sjednocuje data uskutečnění zdanitelného plnění u</w:t>
      </w:r>
      <w:r w:rsidR="00D57860">
        <w:rPr>
          <w:rFonts w:ascii="Times New Roman" w:eastAsia="Aptos" w:hAnsi="Times New Roman"/>
          <w:color w:val="auto"/>
          <w:sz w:val="24"/>
          <w:szCs w:val="24"/>
          <w:lang w:eastAsia="en-US"/>
        </w:rPr>
        <w:t> </w:t>
      </w:r>
      <w:r w:rsidRPr="00755E5C">
        <w:rPr>
          <w:rFonts w:ascii="Times New Roman" w:eastAsia="Aptos" w:hAnsi="Times New Roman"/>
          <w:color w:val="auto"/>
          <w:sz w:val="24"/>
          <w:szCs w:val="24"/>
          <w:lang w:eastAsia="en-US"/>
        </w:rPr>
        <w:t>vybraných plnění uskutečňovaných v rámci zvláštního režimu jednoho správního místa, a to jak v režimu Evropské unie, tak v režimu mimo Evropskou unii, aby tato úprava byla ve všech členských státech Evropské unie jednotná.</w:t>
      </w:r>
    </w:p>
    <w:p w14:paraId="6A1C7125" w14:textId="3B75698B" w:rsidR="00755E5C" w:rsidRPr="00755E5C" w:rsidRDefault="00755E5C" w:rsidP="00755E5C">
      <w:pPr>
        <w:pStyle w:val="Dvodovzprva"/>
        <w:rPr>
          <w:rFonts w:ascii="Times New Roman" w:eastAsia="Aptos" w:hAnsi="Times New Roman"/>
          <w:color w:val="auto"/>
          <w:sz w:val="24"/>
          <w:szCs w:val="24"/>
          <w:lang w:eastAsia="en-US"/>
        </w:rPr>
      </w:pPr>
      <w:r w:rsidRPr="00755E5C">
        <w:rPr>
          <w:rFonts w:ascii="Times New Roman" w:eastAsia="Aptos" w:hAnsi="Times New Roman"/>
          <w:color w:val="auto"/>
          <w:sz w:val="24"/>
          <w:szCs w:val="24"/>
          <w:lang w:eastAsia="en-US"/>
        </w:rPr>
        <w:t>Dle dosavadních pravidel uvedených v § 21 odst. 3 zákona o dani z přidané hodnoty bylo poskytnutí služby považováno za uskutečněné dnem jejího poskytnutí (čl. 63 směrnice o dani z</w:t>
      </w:r>
      <w:r w:rsidR="00D57860">
        <w:rPr>
          <w:rFonts w:ascii="Times New Roman" w:eastAsia="Aptos" w:hAnsi="Times New Roman"/>
          <w:color w:val="auto"/>
          <w:sz w:val="24"/>
          <w:szCs w:val="24"/>
          <w:lang w:eastAsia="en-US"/>
        </w:rPr>
        <w:t> </w:t>
      </w:r>
      <w:r w:rsidRPr="00755E5C">
        <w:rPr>
          <w:rFonts w:ascii="Times New Roman" w:eastAsia="Aptos" w:hAnsi="Times New Roman"/>
          <w:color w:val="auto"/>
          <w:sz w:val="24"/>
          <w:szCs w:val="24"/>
          <w:lang w:eastAsia="en-US"/>
        </w:rPr>
        <w:t xml:space="preserve">přidané hodnoty) nebo dnem vystavení daňového dokladu (čl. 66 směrnice o dani z přidané hodnoty). Nové pravidla uvedená v čl. 66 odst. 2 písm. a) a b) směrnice o dani z přidané hodnoty, ve znění </w:t>
      </w:r>
      <w:r w:rsidRPr="00755E5C">
        <w:rPr>
          <w:rFonts w:ascii="Times New Roman" w:hAnsi="Times New Roman"/>
          <w:color w:val="auto"/>
          <w:sz w:val="24"/>
          <w:szCs w:val="24"/>
        </w:rPr>
        <w:t xml:space="preserve">směrnice DPH v digitálním věku, </w:t>
      </w:r>
      <w:r w:rsidRPr="00755E5C">
        <w:rPr>
          <w:rFonts w:ascii="Times New Roman" w:eastAsia="Aptos" w:hAnsi="Times New Roman"/>
          <w:color w:val="auto"/>
          <w:sz w:val="24"/>
          <w:szCs w:val="24"/>
          <w:lang w:eastAsia="en-US"/>
        </w:rPr>
        <w:t>neumožňují považovat u poskytnutí služby, na kterou se vztahuje zvláštní režim jednoho správního místa, datum vystavení daňového dokladu jako datum uskutečnění zdanitelného plnění. Datum uskutečnění zdanitelného plnění se určí pouze podle základního pravidla, tedy ke dni poskytnutí služby (čl. 63 směrnice o dani z přidané hodnoty), případně ke dni vystavení dokladu na přijatou úplatu, pokud je úplata přijata před uskutečněním plnění (čl. 65 směrnice o dani z přidané hodnoty). Tato změna se týká tzv. vybraných plnění, kterými se rozumí v režimu mimo Evropskou unii poskytnutí služby osobě nepovinné k dani s</w:t>
      </w:r>
      <w:r w:rsidR="00BC7B5A">
        <w:rPr>
          <w:rFonts w:ascii="Times New Roman" w:eastAsia="Aptos" w:hAnsi="Times New Roman"/>
          <w:color w:val="auto"/>
          <w:sz w:val="24"/>
          <w:szCs w:val="24"/>
          <w:lang w:eastAsia="en-US"/>
        </w:rPr>
        <w:t> </w:t>
      </w:r>
      <w:r w:rsidRPr="00755E5C">
        <w:rPr>
          <w:rFonts w:ascii="Times New Roman" w:eastAsia="Aptos" w:hAnsi="Times New Roman"/>
          <w:color w:val="auto"/>
          <w:sz w:val="24"/>
          <w:szCs w:val="24"/>
          <w:lang w:eastAsia="en-US"/>
        </w:rPr>
        <w:t>místem plnění na území Evropské unie a v režimu Evropské unie poskytnutí služby osobě nepovinné k dani s místem plnění na území Evropské unie, prodej zboží na dálku, dodání zboží provozovatelem elektronického rozhraní podle § 13a odst. 2 písm. b) zákona o dani z přidané hodnoty. Pro ostatní poskytnutí služeb zůstává stávající pravidlo v § 21 odst. 3 zákona o dani z přidané hodnoty beze změny.</w:t>
      </w:r>
    </w:p>
    <w:p w14:paraId="602D8CF4" w14:textId="58ED1607" w:rsidR="00755E5C" w:rsidRPr="00755E5C" w:rsidRDefault="00755E5C" w:rsidP="00755E5C">
      <w:pPr>
        <w:pStyle w:val="Dvodovzprva"/>
        <w:rPr>
          <w:rFonts w:ascii="Times New Roman" w:eastAsia="Aptos" w:hAnsi="Times New Roman"/>
          <w:color w:val="auto"/>
          <w:sz w:val="24"/>
          <w:szCs w:val="24"/>
        </w:rPr>
      </w:pPr>
      <w:r w:rsidRPr="00755E5C">
        <w:rPr>
          <w:rFonts w:ascii="Times New Roman" w:eastAsia="Aptos" w:hAnsi="Times New Roman"/>
          <w:color w:val="auto"/>
          <w:sz w:val="24"/>
          <w:szCs w:val="24"/>
        </w:rPr>
        <w:t>Vzhledem k tomu, že uskutečnění plnění dnem vystavení daňového dokladu v ustanovení § 21 odst. 3 zákona o dani z přidané hodnoty se vztahuje pouze na poskytnutí služby, nikoli na dodání zboží, není nutné upravovat pravidla pro dodání zboží.</w:t>
      </w:r>
    </w:p>
    <w:p w14:paraId="4E8557CA" w14:textId="77777777" w:rsidR="00755E5C" w:rsidRPr="00755E5C" w:rsidRDefault="00755E5C" w:rsidP="00755E5C">
      <w:pPr>
        <w:pStyle w:val="Dvodovzprvakbodu"/>
        <w:numPr>
          <w:ilvl w:val="0"/>
          <w:numId w:val="4"/>
        </w:numPr>
        <w:rPr>
          <w:rFonts w:ascii="Times New Roman" w:hAnsi="Times New Roman"/>
          <w:color w:val="auto"/>
          <w:sz w:val="24"/>
          <w:szCs w:val="24"/>
        </w:rPr>
      </w:pPr>
      <w:r w:rsidRPr="00755E5C">
        <w:rPr>
          <w:rFonts w:ascii="Times New Roman" w:hAnsi="Times New Roman"/>
          <w:color w:val="auto"/>
          <w:sz w:val="24"/>
          <w:szCs w:val="24"/>
        </w:rPr>
        <w:t>(§ 22 odst. 3)</w:t>
      </w:r>
    </w:p>
    <w:p w14:paraId="6C85B07B" w14:textId="77777777" w:rsidR="00755E5C" w:rsidRPr="00755E5C" w:rsidRDefault="00755E5C" w:rsidP="00755E5C">
      <w:pPr>
        <w:pStyle w:val="Dvodovzprva"/>
        <w:rPr>
          <w:rFonts w:ascii="Times New Roman" w:eastAsia="Aptos" w:hAnsi="Times New Roman"/>
          <w:color w:val="auto"/>
          <w:sz w:val="24"/>
          <w:szCs w:val="24"/>
          <w:lang w:eastAsia="en-US"/>
        </w:rPr>
      </w:pPr>
      <w:r w:rsidRPr="00755E5C">
        <w:rPr>
          <w:rFonts w:ascii="Times New Roman" w:eastAsia="Aptos" w:hAnsi="Times New Roman"/>
          <w:color w:val="auto"/>
          <w:sz w:val="24"/>
          <w:szCs w:val="24"/>
          <w:lang w:eastAsia="en-US"/>
        </w:rPr>
        <w:t>V souvislosti se zrušením režimu skladu (ustanovení § 18 zákona o dani z přidané hodnoty) dochází ke zrušení i souvisejících ustanovení.</w:t>
      </w:r>
    </w:p>
    <w:p w14:paraId="5FD03F31" w14:textId="77777777" w:rsidR="00755E5C" w:rsidRPr="00755E5C" w:rsidRDefault="00755E5C" w:rsidP="00755E5C">
      <w:pPr>
        <w:pStyle w:val="Dvodovzprvakbodu"/>
        <w:numPr>
          <w:ilvl w:val="0"/>
          <w:numId w:val="4"/>
        </w:numPr>
        <w:rPr>
          <w:rFonts w:ascii="Times New Roman" w:hAnsi="Times New Roman"/>
          <w:color w:val="auto"/>
          <w:sz w:val="24"/>
          <w:szCs w:val="24"/>
        </w:rPr>
      </w:pPr>
      <w:r w:rsidRPr="00755E5C">
        <w:rPr>
          <w:rFonts w:ascii="Times New Roman" w:hAnsi="Times New Roman"/>
          <w:color w:val="auto"/>
          <w:sz w:val="24"/>
          <w:szCs w:val="24"/>
        </w:rPr>
        <w:t>(§ 25 odst. 2)</w:t>
      </w:r>
    </w:p>
    <w:p w14:paraId="531512D7" w14:textId="77777777" w:rsidR="00755E5C" w:rsidRPr="00755E5C" w:rsidRDefault="00755E5C" w:rsidP="00755E5C">
      <w:pPr>
        <w:pStyle w:val="Dvodovzprva"/>
        <w:rPr>
          <w:rFonts w:ascii="Times New Roman" w:eastAsia="Aptos" w:hAnsi="Times New Roman"/>
          <w:color w:val="auto"/>
          <w:sz w:val="24"/>
          <w:szCs w:val="24"/>
          <w:lang w:eastAsia="en-US"/>
        </w:rPr>
      </w:pPr>
      <w:r w:rsidRPr="00755E5C">
        <w:rPr>
          <w:rFonts w:ascii="Times New Roman" w:eastAsia="Aptos" w:hAnsi="Times New Roman"/>
          <w:color w:val="auto"/>
          <w:sz w:val="24"/>
          <w:szCs w:val="24"/>
          <w:lang w:eastAsia="en-US"/>
        </w:rPr>
        <w:t>V souvislosti se zrušením režimu skladu (ustanovení § 18 zákona o dani z přidané hodnoty) dochází ke zrušení i souvisejících ustanovení.</w:t>
      </w:r>
    </w:p>
    <w:p w14:paraId="6A80AC5A" w14:textId="77777777" w:rsidR="00755E5C" w:rsidRPr="00755E5C" w:rsidRDefault="00755E5C" w:rsidP="00755E5C">
      <w:pPr>
        <w:pStyle w:val="Dvodovzprvakbodu"/>
        <w:numPr>
          <w:ilvl w:val="0"/>
          <w:numId w:val="4"/>
        </w:numPr>
        <w:rPr>
          <w:rFonts w:ascii="Times New Roman" w:hAnsi="Times New Roman"/>
          <w:color w:val="auto"/>
          <w:sz w:val="24"/>
          <w:szCs w:val="24"/>
        </w:rPr>
      </w:pPr>
      <w:r w:rsidRPr="00755E5C">
        <w:rPr>
          <w:rFonts w:ascii="Times New Roman" w:hAnsi="Times New Roman"/>
          <w:color w:val="auto"/>
          <w:sz w:val="24"/>
          <w:szCs w:val="24"/>
        </w:rPr>
        <w:lastRenderedPageBreak/>
        <w:t>(§ 68 odst. 21)</w:t>
      </w:r>
    </w:p>
    <w:p w14:paraId="6560E843" w14:textId="3905A0DC" w:rsidR="00755E5C" w:rsidRPr="00755E5C" w:rsidRDefault="00755E5C" w:rsidP="00755E5C">
      <w:pPr>
        <w:pStyle w:val="Dvodovzprva"/>
        <w:rPr>
          <w:rFonts w:ascii="Times New Roman" w:eastAsia="Aptos" w:hAnsi="Times New Roman"/>
          <w:color w:val="auto"/>
          <w:sz w:val="24"/>
          <w:szCs w:val="24"/>
          <w:lang w:eastAsia="en-US"/>
        </w:rPr>
      </w:pPr>
      <w:r w:rsidRPr="00755E5C">
        <w:rPr>
          <w:rFonts w:ascii="Times New Roman" w:eastAsia="Aptos" w:hAnsi="Times New Roman"/>
          <w:color w:val="auto"/>
          <w:sz w:val="24"/>
          <w:szCs w:val="24"/>
          <w:lang w:eastAsia="en-US"/>
        </w:rPr>
        <w:t>V návaznosti na článek 20 nařízení Rady (EU) 2025/1106 ze dne 27. května 2025, kterým se zřizuje nástroj Bezpečnostní akce pro Evropu (SAFE) prostřednictvím posílení evropského obranného průmyslu, který zakotvuje osvobození od DPH při dovozu a dodávkách obranných produktů, které se potvrzuje prostřednictvím osvědčení o osvobození od DPH stanovené v příloze tohoto nařízení, se v souladu s čl. 20 odst. 2 tohoto nařízení stanovuje příslušný orgán členského státu pro potvrzení tohoto osvědčení. Obdobně jako je tomu v případě osvobození ozbrojených sil podle § 68 odst.</w:t>
      </w:r>
      <w:r w:rsidR="0071507C">
        <w:rPr>
          <w:rFonts w:ascii="Times New Roman" w:eastAsia="Aptos" w:hAnsi="Times New Roman"/>
          <w:color w:val="auto"/>
          <w:sz w:val="24"/>
          <w:szCs w:val="24"/>
          <w:lang w:eastAsia="en-US"/>
        </w:rPr>
        <w:t> </w:t>
      </w:r>
      <w:r w:rsidRPr="00755E5C">
        <w:rPr>
          <w:rFonts w:ascii="Times New Roman" w:eastAsia="Aptos" w:hAnsi="Times New Roman"/>
          <w:color w:val="auto"/>
          <w:sz w:val="24"/>
          <w:szCs w:val="24"/>
          <w:lang w:eastAsia="en-US"/>
        </w:rPr>
        <w:t>11 písm. a) zákona o dani z přidané hodnoty se i v tomto případě příslušným orgánem stanovuje Ministerstvo obrany.</w:t>
      </w:r>
    </w:p>
    <w:p w14:paraId="51BB3DF0" w14:textId="77777777" w:rsidR="00755E5C" w:rsidRPr="00755E5C" w:rsidRDefault="00755E5C" w:rsidP="00755E5C">
      <w:pPr>
        <w:pStyle w:val="Dvodovzprvakbodu"/>
        <w:numPr>
          <w:ilvl w:val="0"/>
          <w:numId w:val="4"/>
        </w:numPr>
        <w:rPr>
          <w:rFonts w:ascii="Times New Roman" w:hAnsi="Times New Roman"/>
          <w:color w:val="auto"/>
          <w:sz w:val="24"/>
          <w:szCs w:val="24"/>
        </w:rPr>
      </w:pPr>
      <w:r w:rsidRPr="00755E5C">
        <w:rPr>
          <w:rFonts w:ascii="Times New Roman" w:hAnsi="Times New Roman"/>
          <w:color w:val="auto"/>
          <w:sz w:val="24"/>
          <w:szCs w:val="24"/>
        </w:rPr>
        <w:t>(§ 100a odst. 3)</w:t>
      </w:r>
    </w:p>
    <w:p w14:paraId="1743F3BC" w14:textId="77777777" w:rsidR="00755E5C" w:rsidRPr="00755E5C" w:rsidRDefault="00755E5C" w:rsidP="00755E5C">
      <w:pPr>
        <w:pStyle w:val="Dvodovzprva"/>
        <w:rPr>
          <w:rFonts w:ascii="Times New Roman" w:eastAsia="Aptos" w:hAnsi="Times New Roman"/>
          <w:color w:val="auto"/>
          <w:sz w:val="24"/>
          <w:szCs w:val="24"/>
          <w:lang w:eastAsia="en-US"/>
        </w:rPr>
      </w:pPr>
      <w:r w:rsidRPr="00755E5C">
        <w:rPr>
          <w:rFonts w:ascii="Times New Roman" w:eastAsia="Aptos" w:hAnsi="Times New Roman"/>
          <w:color w:val="auto"/>
          <w:sz w:val="24"/>
          <w:szCs w:val="24"/>
          <w:lang w:eastAsia="en-US"/>
        </w:rPr>
        <w:t>V souvislosti se zrušením režimu skladu (ustanovení § 18 zákona o dani z přidané hodnoty) dochází ke zrušení i souvisejících ustanovení.</w:t>
      </w:r>
    </w:p>
    <w:p w14:paraId="24EA3B15" w14:textId="77777777" w:rsidR="00755E5C" w:rsidRPr="00755E5C" w:rsidRDefault="00755E5C" w:rsidP="00755E5C">
      <w:pPr>
        <w:pStyle w:val="Dvodovzprvakbodu"/>
        <w:numPr>
          <w:ilvl w:val="0"/>
          <w:numId w:val="4"/>
        </w:numPr>
        <w:rPr>
          <w:rFonts w:ascii="Times New Roman" w:hAnsi="Times New Roman"/>
          <w:color w:val="auto"/>
          <w:sz w:val="24"/>
          <w:szCs w:val="24"/>
        </w:rPr>
      </w:pPr>
      <w:r w:rsidRPr="00755E5C">
        <w:rPr>
          <w:rFonts w:ascii="Times New Roman" w:hAnsi="Times New Roman"/>
          <w:color w:val="auto"/>
          <w:sz w:val="24"/>
          <w:szCs w:val="24"/>
        </w:rPr>
        <w:t>(§ 102 odst. 2)</w:t>
      </w:r>
    </w:p>
    <w:p w14:paraId="48E9488E" w14:textId="77777777" w:rsidR="00755E5C" w:rsidRPr="00755E5C" w:rsidRDefault="00755E5C" w:rsidP="00755E5C">
      <w:pPr>
        <w:pStyle w:val="Dvodovzprva"/>
        <w:rPr>
          <w:rFonts w:ascii="Times New Roman" w:eastAsia="Aptos" w:hAnsi="Times New Roman"/>
          <w:color w:val="auto"/>
          <w:sz w:val="24"/>
          <w:szCs w:val="24"/>
          <w:lang w:eastAsia="en-US"/>
        </w:rPr>
      </w:pPr>
      <w:r w:rsidRPr="00755E5C">
        <w:rPr>
          <w:rFonts w:ascii="Times New Roman" w:eastAsia="Aptos" w:hAnsi="Times New Roman"/>
          <w:color w:val="auto"/>
          <w:sz w:val="24"/>
          <w:szCs w:val="24"/>
          <w:lang w:eastAsia="en-US"/>
        </w:rPr>
        <w:t>V souvislosti se zrušením režimu skladu (ustanovení § 18 zákona o dani z přidané hodnoty) dochází ke zrušení i souvisejících ustanovení.</w:t>
      </w:r>
    </w:p>
    <w:p w14:paraId="389144B5" w14:textId="77777777" w:rsidR="00755E5C" w:rsidRPr="00755E5C" w:rsidRDefault="00755E5C" w:rsidP="00755E5C">
      <w:pPr>
        <w:pStyle w:val="Dvodovzprvakbodu"/>
        <w:numPr>
          <w:ilvl w:val="0"/>
          <w:numId w:val="4"/>
        </w:numPr>
        <w:rPr>
          <w:rFonts w:ascii="Times New Roman" w:hAnsi="Times New Roman"/>
          <w:color w:val="auto"/>
          <w:sz w:val="24"/>
          <w:szCs w:val="24"/>
        </w:rPr>
      </w:pPr>
      <w:r w:rsidRPr="00755E5C">
        <w:rPr>
          <w:rFonts w:ascii="Times New Roman" w:hAnsi="Times New Roman"/>
          <w:color w:val="auto"/>
          <w:sz w:val="24"/>
          <w:szCs w:val="24"/>
        </w:rPr>
        <w:t>(§ 102 odst. 6)</w:t>
      </w:r>
    </w:p>
    <w:p w14:paraId="3805946B" w14:textId="77777777" w:rsidR="00755E5C" w:rsidRPr="00755E5C" w:rsidRDefault="00755E5C" w:rsidP="00755E5C">
      <w:pPr>
        <w:pStyle w:val="Dvodovzprva"/>
        <w:rPr>
          <w:rFonts w:ascii="Times New Roman" w:eastAsia="Aptos" w:hAnsi="Times New Roman"/>
          <w:color w:val="auto"/>
          <w:sz w:val="24"/>
          <w:szCs w:val="24"/>
          <w:lang w:eastAsia="en-US"/>
        </w:rPr>
      </w:pPr>
      <w:r w:rsidRPr="00755E5C">
        <w:rPr>
          <w:rFonts w:ascii="Times New Roman" w:eastAsia="Aptos" w:hAnsi="Times New Roman"/>
          <w:color w:val="auto"/>
          <w:sz w:val="24"/>
          <w:szCs w:val="24"/>
          <w:lang w:eastAsia="en-US"/>
        </w:rPr>
        <w:t>V souvislosti se zrušením režimu skladu (ustanovení § 18 zákona o dani z přidané hodnoty) dochází ke zrušení i souvisejících ustanovení.</w:t>
      </w:r>
    </w:p>
    <w:p w14:paraId="491B9D58" w14:textId="77777777" w:rsidR="00755E5C" w:rsidRPr="00755E5C" w:rsidRDefault="00755E5C" w:rsidP="00755E5C">
      <w:pPr>
        <w:pStyle w:val="Dvodovzprvakbodu"/>
        <w:numPr>
          <w:ilvl w:val="0"/>
          <w:numId w:val="4"/>
        </w:numPr>
        <w:rPr>
          <w:rFonts w:ascii="Times New Roman" w:hAnsi="Times New Roman"/>
          <w:color w:val="auto"/>
          <w:sz w:val="24"/>
          <w:szCs w:val="24"/>
        </w:rPr>
      </w:pPr>
      <w:r w:rsidRPr="00755E5C">
        <w:rPr>
          <w:rFonts w:ascii="Times New Roman" w:hAnsi="Times New Roman"/>
          <w:color w:val="auto"/>
          <w:sz w:val="24"/>
          <w:szCs w:val="24"/>
        </w:rPr>
        <w:t>(§ 102 odst. 7)</w:t>
      </w:r>
    </w:p>
    <w:p w14:paraId="437015F4" w14:textId="77777777" w:rsidR="00755E5C" w:rsidRPr="00755E5C" w:rsidRDefault="00755E5C" w:rsidP="00755E5C">
      <w:pPr>
        <w:pStyle w:val="Dvodovzprva"/>
        <w:rPr>
          <w:rFonts w:ascii="Times New Roman" w:eastAsia="Aptos" w:hAnsi="Times New Roman"/>
          <w:color w:val="auto"/>
          <w:sz w:val="24"/>
          <w:szCs w:val="24"/>
          <w:lang w:eastAsia="en-US"/>
        </w:rPr>
      </w:pPr>
      <w:r w:rsidRPr="00755E5C">
        <w:rPr>
          <w:rFonts w:ascii="Times New Roman" w:eastAsia="Aptos" w:hAnsi="Times New Roman"/>
          <w:color w:val="auto"/>
          <w:sz w:val="24"/>
          <w:szCs w:val="24"/>
          <w:lang w:eastAsia="en-US"/>
        </w:rPr>
        <w:t>V souvislosti se zrušením režimu skladu (ustanovení § 18 zákona o dani z přidané hodnoty) dochází ke zrušení i souvisejících ustanovení.</w:t>
      </w:r>
    </w:p>
    <w:p w14:paraId="3E071B71" w14:textId="77777777" w:rsidR="00755E5C" w:rsidRPr="00755E5C" w:rsidRDefault="00755E5C" w:rsidP="00755E5C">
      <w:pPr>
        <w:pStyle w:val="Dvodovzprvakbodu"/>
        <w:numPr>
          <w:ilvl w:val="0"/>
          <w:numId w:val="4"/>
        </w:numPr>
        <w:rPr>
          <w:rFonts w:ascii="Times New Roman" w:eastAsia="Aptos" w:hAnsi="Times New Roman"/>
          <w:color w:val="auto"/>
          <w:sz w:val="24"/>
          <w:szCs w:val="24"/>
        </w:rPr>
      </w:pPr>
      <w:r w:rsidRPr="00755E5C">
        <w:rPr>
          <w:rFonts w:ascii="Times New Roman" w:hAnsi="Times New Roman"/>
          <w:color w:val="auto"/>
          <w:sz w:val="24"/>
          <w:szCs w:val="24"/>
        </w:rPr>
        <w:t>(§ 110b odst. 3)</w:t>
      </w:r>
    </w:p>
    <w:p w14:paraId="31B483CF" w14:textId="33124622" w:rsidR="00755E5C" w:rsidRPr="00755E5C" w:rsidRDefault="00755E5C" w:rsidP="00755E5C">
      <w:pPr>
        <w:pStyle w:val="Dvodovzprva"/>
        <w:rPr>
          <w:rFonts w:ascii="Times New Roman" w:hAnsi="Times New Roman"/>
          <w:color w:val="auto"/>
          <w:sz w:val="24"/>
          <w:szCs w:val="24"/>
        </w:rPr>
      </w:pPr>
      <w:r w:rsidRPr="00755E5C">
        <w:rPr>
          <w:rFonts w:ascii="Times New Roman" w:eastAsia="Aptos" w:hAnsi="Times New Roman"/>
          <w:color w:val="auto"/>
          <w:sz w:val="24"/>
          <w:szCs w:val="24"/>
          <w:lang w:eastAsia="en-US"/>
        </w:rPr>
        <w:t xml:space="preserve">Navrhovaná úprava vychází z nového ustanovení článku 369aa směrnice o dani z přidané hodnoty, ve znění </w:t>
      </w:r>
      <w:r w:rsidRPr="00755E5C">
        <w:rPr>
          <w:rFonts w:ascii="Times New Roman" w:hAnsi="Times New Roman"/>
          <w:color w:val="auto"/>
          <w:sz w:val="24"/>
          <w:szCs w:val="24"/>
        </w:rPr>
        <w:t>směrnice DPH v digitálním věku</w:t>
      </w:r>
      <w:r w:rsidRPr="00755E5C">
        <w:rPr>
          <w:rFonts w:ascii="Times New Roman" w:eastAsia="Aptos" w:hAnsi="Times New Roman"/>
          <w:color w:val="auto"/>
          <w:sz w:val="24"/>
          <w:szCs w:val="24"/>
          <w:lang w:eastAsia="en-US"/>
        </w:rPr>
        <w:t xml:space="preserve">. Nové pravidlo </w:t>
      </w:r>
      <w:r w:rsidRPr="00755E5C">
        <w:rPr>
          <w:rFonts w:ascii="Times New Roman" w:hAnsi="Times New Roman"/>
          <w:color w:val="auto"/>
          <w:sz w:val="24"/>
          <w:szCs w:val="24"/>
        </w:rPr>
        <w:t>reaguje na praktické problémy spojené s</w:t>
      </w:r>
      <w:r w:rsidR="00D57860">
        <w:rPr>
          <w:rFonts w:ascii="Times New Roman" w:hAnsi="Times New Roman"/>
          <w:color w:val="auto"/>
          <w:sz w:val="24"/>
          <w:szCs w:val="24"/>
        </w:rPr>
        <w:t> </w:t>
      </w:r>
      <w:r w:rsidRPr="00755E5C">
        <w:rPr>
          <w:rFonts w:ascii="Times New Roman" w:hAnsi="Times New Roman"/>
          <w:color w:val="auto"/>
          <w:sz w:val="24"/>
          <w:szCs w:val="24"/>
        </w:rPr>
        <w:t>odvodem daně z přidané hodnoty v rámci přeshraničního dodání médií (elektřiny, plynu, tepla či chladu) prostřednictvím soustav nebo sítí. Podle dosavadní právní úpravy vzniká osobě povinné k</w:t>
      </w:r>
      <w:r w:rsidR="00D57860">
        <w:rPr>
          <w:rFonts w:ascii="Times New Roman" w:hAnsi="Times New Roman"/>
          <w:color w:val="auto"/>
          <w:sz w:val="24"/>
          <w:szCs w:val="24"/>
        </w:rPr>
        <w:t> </w:t>
      </w:r>
      <w:r w:rsidRPr="00755E5C">
        <w:rPr>
          <w:rFonts w:ascii="Times New Roman" w:hAnsi="Times New Roman"/>
          <w:color w:val="auto"/>
          <w:sz w:val="24"/>
          <w:szCs w:val="24"/>
        </w:rPr>
        <w:t>dani, která dodává uvedená média soustavami či sítěmi sítě osobě odlišné od obchodníka (typicky konečnému spotřebiteli – fyzické osobě nepovinné k dani), povinnost registrace k dani z přidané hodnoty v každém členském státě, kde je takové plnění považováno za uskutečněné. Tento stav představuje významnou administrativní zátěž, zejména pro subjekty provozující přeshraniční dobíjecí infrastrukturu nebo jiné formy přeshraničních dodávek médií konečným spotřebitelům. Proto se zavádí právní fikce, ve které se přeshraniční dodání zboží soustavami nebo sítěmi za daných podmínek považuje za prodej zboží na dálku pro účely použití režimu Evropské unie ve zvláštním režimu jednoho správního místa. Aby bylo možné za dodání zboží soustavami nebo sítěmi odvádět daň prostřednictvím zvláštního režimu jednoho správního místa, musí se (i) místo plnění nacházet v členském státě, ve kterém se dodané zboží spotřebuje (§ 7a odst. 3 zákona o dani z přidané hodnoty), (</w:t>
      </w:r>
      <w:proofErr w:type="spellStart"/>
      <w:r w:rsidRPr="00755E5C">
        <w:rPr>
          <w:rFonts w:ascii="Times New Roman" w:hAnsi="Times New Roman"/>
          <w:color w:val="auto"/>
          <w:sz w:val="24"/>
          <w:szCs w:val="24"/>
        </w:rPr>
        <w:t>ii</w:t>
      </w:r>
      <w:proofErr w:type="spellEnd"/>
      <w:r w:rsidRPr="00755E5C">
        <w:rPr>
          <w:rFonts w:ascii="Times New Roman" w:hAnsi="Times New Roman"/>
          <w:color w:val="auto"/>
          <w:sz w:val="24"/>
          <w:szCs w:val="24"/>
        </w:rPr>
        <w:t>) dodání se musí uskutečnit pro osobu, pro kterou není pořízení zboží předmětem daně (obvykle osoba nepovinná k dani) a (</w:t>
      </w:r>
      <w:proofErr w:type="spellStart"/>
      <w:r w:rsidRPr="00755E5C">
        <w:rPr>
          <w:rFonts w:ascii="Times New Roman" w:hAnsi="Times New Roman"/>
          <w:color w:val="auto"/>
          <w:sz w:val="24"/>
          <w:szCs w:val="24"/>
        </w:rPr>
        <w:t>iii</w:t>
      </w:r>
      <w:proofErr w:type="spellEnd"/>
      <w:r w:rsidRPr="00755E5C">
        <w:rPr>
          <w:rFonts w:ascii="Times New Roman" w:hAnsi="Times New Roman"/>
          <w:color w:val="auto"/>
          <w:sz w:val="24"/>
          <w:szCs w:val="24"/>
        </w:rPr>
        <w:t>) dodavatel má sídlo nebo provozovnu na územní Evropské unie a nemá sídlo ani provozovnu v členském státě, ve kterém je toto dodání zboží předmětem daně. Poslední podmínka znamená, že se musí jednat o přeshraniční dodání zboží. Zvláštní režim jednoho správního místa není možné použít na odvedení daně z plnění, které je dodáno spotřebiteli ve stejném státě jako je sídlo nebo provozovna dodavatele.</w:t>
      </w:r>
    </w:p>
    <w:p w14:paraId="75317A28" w14:textId="69756186" w:rsidR="00755E5C" w:rsidRPr="00755E5C" w:rsidRDefault="00755E5C" w:rsidP="00755E5C">
      <w:pPr>
        <w:pStyle w:val="Dvodovzprva"/>
        <w:rPr>
          <w:rFonts w:ascii="Times New Roman" w:hAnsi="Times New Roman"/>
          <w:color w:val="auto"/>
          <w:sz w:val="24"/>
          <w:szCs w:val="24"/>
        </w:rPr>
      </w:pPr>
      <w:r w:rsidRPr="00755E5C">
        <w:rPr>
          <w:rFonts w:ascii="Times New Roman" w:hAnsi="Times New Roman"/>
          <w:color w:val="auto"/>
          <w:sz w:val="24"/>
          <w:szCs w:val="24"/>
        </w:rPr>
        <w:lastRenderedPageBreak/>
        <w:t>Zavedení této fikce znamená, že osoba povinná k dani, která se registruje do zvláštního režimu jednoho správního místa v režimu Evropské unie nebo jej již používá, je povinna zahrnout do tohoto režimu i dodání zboží soustavami nebo sítěmi splňující výše uvedené podmínky. Použití zvláštního režimu platí také pro ostatní vybraná plnění uvedená v § 110b odst. 2 písm. b) zákona o</w:t>
      </w:r>
      <w:r w:rsidR="00D57860">
        <w:rPr>
          <w:rFonts w:ascii="Times New Roman" w:hAnsi="Times New Roman"/>
          <w:color w:val="auto"/>
          <w:sz w:val="24"/>
          <w:szCs w:val="24"/>
        </w:rPr>
        <w:t> </w:t>
      </w:r>
      <w:r w:rsidRPr="00755E5C">
        <w:rPr>
          <w:rFonts w:ascii="Times New Roman" w:hAnsi="Times New Roman"/>
          <w:color w:val="auto"/>
          <w:sz w:val="24"/>
          <w:szCs w:val="24"/>
        </w:rPr>
        <w:t>dani z přidané hodnoty.</w:t>
      </w:r>
    </w:p>
    <w:p w14:paraId="06284832" w14:textId="33C31ED8" w:rsidR="00755E5C" w:rsidRPr="00755E5C" w:rsidRDefault="00755E5C" w:rsidP="00755E5C">
      <w:pPr>
        <w:pStyle w:val="Dvodovzprva"/>
        <w:rPr>
          <w:rFonts w:ascii="Times New Roman" w:hAnsi="Times New Roman"/>
          <w:color w:val="auto"/>
          <w:sz w:val="24"/>
          <w:szCs w:val="24"/>
        </w:rPr>
      </w:pPr>
      <w:r w:rsidRPr="00755E5C">
        <w:rPr>
          <w:rFonts w:ascii="Times New Roman" w:hAnsi="Times New Roman"/>
          <w:color w:val="auto"/>
          <w:sz w:val="24"/>
          <w:szCs w:val="24"/>
        </w:rPr>
        <w:t>Jedná se o dočasné řešení před komplexním uchopením této problematiky prostřednictvím rozšíření režimu jednoho správního místa s účinností od 1. července 2029 (součást balíčku DPH v</w:t>
      </w:r>
      <w:r w:rsidR="00D57860">
        <w:rPr>
          <w:rFonts w:ascii="Times New Roman" w:hAnsi="Times New Roman"/>
          <w:color w:val="auto"/>
          <w:sz w:val="24"/>
          <w:szCs w:val="24"/>
        </w:rPr>
        <w:t> </w:t>
      </w:r>
      <w:r w:rsidRPr="00755E5C">
        <w:rPr>
          <w:rFonts w:ascii="Times New Roman" w:hAnsi="Times New Roman"/>
          <w:color w:val="auto"/>
          <w:sz w:val="24"/>
          <w:szCs w:val="24"/>
        </w:rPr>
        <w:t>digitálním věku). Tato úprava bude předmětem další novely zákona o dani z přidané hodnoty.</w:t>
      </w:r>
    </w:p>
    <w:p w14:paraId="52665CC9" w14:textId="77777777" w:rsidR="00755E5C" w:rsidRPr="00755E5C" w:rsidRDefault="00755E5C" w:rsidP="00755E5C">
      <w:pPr>
        <w:pStyle w:val="Dvodovzprva"/>
        <w:rPr>
          <w:rFonts w:ascii="Times New Roman" w:hAnsi="Times New Roman"/>
          <w:color w:val="auto"/>
          <w:sz w:val="24"/>
          <w:szCs w:val="24"/>
        </w:rPr>
      </w:pPr>
      <w:r w:rsidRPr="00755E5C">
        <w:rPr>
          <w:rFonts w:ascii="Times New Roman" w:hAnsi="Times New Roman"/>
          <w:color w:val="auto"/>
          <w:sz w:val="24"/>
          <w:szCs w:val="24"/>
        </w:rPr>
        <w:t>Osoba povinná k dani, která se nerozhodne používat zvláštní režim jednoho správního místa, postupuje i nadále podle stávající právní úpravy, tedy zejména s povinností registrovat se ve všech členských státech, kam tyto komodity dodává (kde dochází ke spotřebě).</w:t>
      </w:r>
    </w:p>
    <w:p w14:paraId="3C0274D2" w14:textId="16F95861" w:rsidR="00755E5C" w:rsidRPr="00755E5C" w:rsidRDefault="00755E5C" w:rsidP="00755E5C">
      <w:pPr>
        <w:pStyle w:val="Dvodovzprvaknovlnku"/>
        <w:rPr>
          <w:rFonts w:ascii="Times New Roman" w:hAnsi="Times New Roman"/>
          <w:color w:val="auto"/>
          <w:szCs w:val="24"/>
        </w:rPr>
      </w:pPr>
      <w:r w:rsidRPr="00755E5C">
        <w:rPr>
          <w:rFonts w:ascii="Times New Roman" w:hAnsi="Times New Roman"/>
          <w:color w:val="auto"/>
          <w:szCs w:val="24"/>
        </w:rPr>
        <w:t>K čl. II</w:t>
      </w:r>
    </w:p>
    <w:p w14:paraId="4548620C" w14:textId="5F831311" w:rsidR="00755E5C" w:rsidRPr="00755E5C" w:rsidRDefault="00755E5C" w:rsidP="00755E5C">
      <w:pPr>
        <w:pStyle w:val="Dvodovzprvakbodu"/>
        <w:numPr>
          <w:ilvl w:val="0"/>
          <w:numId w:val="5"/>
        </w:numPr>
        <w:rPr>
          <w:rFonts w:ascii="Times New Roman" w:hAnsi="Times New Roman"/>
          <w:color w:val="auto"/>
          <w:sz w:val="24"/>
          <w:szCs w:val="24"/>
        </w:rPr>
      </w:pPr>
    </w:p>
    <w:p w14:paraId="04E64453" w14:textId="77777777" w:rsidR="00755E5C" w:rsidRPr="00755E5C" w:rsidRDefault="00755E5C" w:rsidP="00755E5C">
      <w:pPr>
        <w:pStyle w:val="Dvodovzprva"/>
        <w:rPr>
          <w:rFonts w:ascii="Times New Roman" w:eastAsia="Aptos" w:hAnsi="Times New Roman"/>
          <w:color w:val="auto"/>
          <w:sz w:val="24"/>
          <w:szCs w:val="24"/>
        </w:rPr>
      </w:pPr>
      <w:r w:rsidRPr="00755E5C">
        <w:rPr>
          <w:rFonts w:ascii="Times New Roman" w:eastAsia="Aptos" w:hAnsi="Times New Roman"/>
          <w:color w:val="auto"/>
          <w:sz w:val="24"/>
          <w:szCs w:val="24"/>
        </w:rPr>
        <w:t>Toto přechodné ustanovení zajišťuje, že na zboží, které splňuje podmínky režimu skladu a u kterého bude odeslání nebo přeprava ukončena do 30. června 2028, bude možné režim skladu využít do 30. června 2029 v celém rozsahu. Po tomto termínu bude dodání v režimu skladu považováno z pohledu pořizovatele jako pořízení zboží z jiného členského státu, které je zdanitelným plněním, a z pohledu dodavatele jako dodání zboží do jiného členského státu, které může být osvobozeno od daně.</w:t>
      </w:r>
    </w:p>
    <w:p w14:paraId="10D7CF17" w14:textId="77777777" w:rsidR="00755E5C" w:rsidRPr="00755E5C" w:rsidRDefault="00755E5C" w:rsidP="00755E5C">
      <w:pPr>
        <w:pStyle w:val="Dvodovzprvakbodu"/>
        <w:numPr>
          <w:ilvl w:val="0"/>
          <w:numId w:val="5"/>
        </w:numPr>
        <w:rPr>
          <w:rFonts w:ascii="Times New Roman" w:hAnsi="Times New Roman"/>
          <w:color w:val="auto"/>
          <w:sz w:val="24"/>
          <w:szCs w:val="24"/>
        </w:rPr>
      </w:pPr>
    </w:p>
    <w:p w14:paraId="42305BE7" w14:textId="72E4D319" w:rsidR="00755E5C" w:rsidRPr="00755E5C" w:rsidRDefault="00755E5C" w:rsidP="00755E5C">
      <w:pPr>
        <w:pStyle w:val="Dvodovzprva"/>
        <w:rPr>
          <w:rFonts w:ascii="Times New Roman" w:hAnsi="Times New Roman"/>
          <w:color w:val="auto"/>
          <w:sz w:val="24"/>
          <w:szCs w:val="24"/>
        </w:rPr>
      </w:pPr>
      <w:r w:rsidRPr="00755E5C">
        <w:rPr>
          <w:rFonts w:ascii="Times New Roman" w:hAnsi="Times New Roman"/>
          <w:color w:val="auto"/>
          <w:sz w:val="24"/>
          <w:szCs w:val="24"/>
        </w:rPr>
        <w:t>Toto přechodné ustanovení vychází z úpravy ustanovení § 68 odst. 17 zákona o dani z přidané hodnoty, která se týká plnění darovaných České republice v rámci pandemie COVID-19 ze strany Evropské komise, unijní agentury či unijního subjektu. Tato plnění měla být v souladu se směrnicí Rady (EU) 2021/1159, kterou Česká republika řádně transponovala, se zpětnou aplikovatelností od 1. ledna 2021 osvobozena. Vzhledem k mimořádnosti tehdejší situace a s tím souvisejících událostí je však nyní tímto přechodným ustanovením dodatečně umožněno vrátit DPH z plnění, která nebyla osvobozena (DPH bylo z daných plnění odvedeno), byť osvobozena být měla. Tato možnost je dána pouze Evropské komisi, unijní agentuře či unijnímu subjektu (stejně jako vymezení v</w:t>
      </w:r>
      <w:r w:rsidR="00A34DB6">
        <w:rPr>
          <w:rFonts w:ascii="Times New Roman" w:hAnsi="Times New Roman"/>
          <w:color w:val="auto"/>
          <w:sz w:val="24"/>
          <w:szCs w:val="24"/>
        </w:rPr>
        <w:t> </w:t>
      </w:r>
      <w:r w:rsidRPr="00755E5C">
        <w:rPr>
          <w:rFonts w:ascii="Times New Roman" w:hAnsi="Times New Roman"/>
          <w:color w:val="auto"/>
          <w:sz w:val="24"/>
          <w:szCs w:val="24"/>
        </w:rPr>
        <w:t>§</w:t>
      </w:r>
      <w:r w:rsidR="00A34DB6">
        <w:rPr>
          <w:rFonts w:ascii="Times New Roman" w:hAnsi="Times New Roman"/>
          <w:color w:val="auto"/>
          <w:sz w:val="24"/>
          <w:szCs w:val="24"/>
        </w:rPr>
        <w:t> </w:t>
      </w:r>
      <w:r w:rsidRPr="00755E5C">
        <w:rPr>
          <w:rFonts w:ascii="Times New Roman" w:hAnsi="Times New Roman"/>
          <w:color w:val="auto"/>
          <w:sz w:val="24"/>
          <w:szCs w:val="24"/>
        </w:rPr>
        <w:t>68 odst. 17 zákona o dani z přidané hodnoty) za předpokladu, že o vracení DPH požádají do 31.</w:t>
      </w:r>
      <w:r w:rsidR="00A34DB6">
        <w:rPr>
          <w:rFonts w:ascii="Times New Roman" w:hAnsi="Times New Roman"/>
          <w:color w:val="auto"/>
          <w:sz w:val="24"/>
          <w:szCs w:val="24"/>
        </w:rPr>
        <w:t> </w:t>
      </w:r>
      <w:r w:rsidRPr="00755E5C">
        <w:rPr>
          <w:rFonts w:ascii="Times New Roman" w:hAnsi="Times New Roman"/>
          <w:color w:val="auto"/>
          <w:sz w:val="24"/>
          <w:szCs w:val="24"/>
        </w:rPr>
        <w:t>ledna 2027. Vzhledem ke specifičnosti situace se umožňuje žádat o vrácení DPH v EUR, které Evropská komise, agentura či subjekt za dané plnění zaplatili, a rovněž částka, která jim bude v případě relevantnosti vrácena bude odpovídat částce žádané v EUR. Místně příslušným správcem daně je Finanční úřad pro hlavní město Prahu, který o podané žádosti rozhodne do 15 dnů od jejího podání a příslušnou částku vrátí do dalších 10 dnů (25 dnů ode dne podání žádosti).</w:t>
      </w:r>
    </w:p>
    <w:p w14:paraId="54428FBF" w14:textId="52B3A4D8" w:rsidR="00755E5C" w:rsidRPr="00755E5C" w:rsidRDefault="00755E5C" w:rsidP="00755E5C">
      <w:pPr>
        <w:pStyle w:val="Dvodovzprvaknovlnku"/>
        <w:numPr>
          <w:ilvl w:val="0"/>
          <w:numId w:val="13"/>
        </w:numPr>
        <w:rPr>
          <w:rFonts w:ascii="Times New Roman" w:hAnsi="Times New Roman"/>
          <w:color w:val="auto"/>
          <w:szCs w:val="24"/>
        </w:rPr>
      </w:pPr>
      <w:r w:rsidRPr="00755E5C">
        <w:rPr>
          <w:rFonts w:ascii="Times New Roman" w:hAnsi="Times New Roman"/>
          <w:color w:val="auto"/>
          <w:szCs w:val="24"/>
        </w:rPr>
        <w:t>K čl. III</w:t>
      </w:r>
    </w:p>
    <w:p w14:paraId="189182A2" w14:textId="77777777" w:rsidR="00755E5C" w:rsidRPr="00755E5C" w:rsidRDefault="00755E5C" w:rsidP="00755E5C">
      <w:pPr>
        <w:pStyle w:val="Dvodovzprva"/>
        <w:rPr>
          <w:rFonts w:ascii="Times New Roman" w:eastAsia="Aptos" w:hAnsi="Times New Roman"/>
          <w:color w:val="auto"/>
          <w:sz w:val="24"/>
          <w:szCs w:val="24"/>
        </w:rPr>
      </w:pPr>
      <w:r w:rsidRPr="00755E5C">
        <w:rPr>
          <w:rFonts w:ascii="Times New Roman" w:eastAsia="Aptos" w:hAnsi="Times New Roman"/>
          <w:color w:val="auto"/>
          <w:sz w:val="24"/>
          <w:szCs w:val="24"/>
          <w:lang w:eastAsia="en-US"/>
        </w:rPr>
        <w:t xml:space="preserve">Navrhovaná účinnost se odvíjí od aplikovatelnosti článku 2 </w:t>
      </w:r>
      <w:r w:rsidRPr="00755E5C">
        <w:rPr>
          <w:rFonts w:ascii="Times New Roman" w:hAnsi="Times New Roman"/>
          <w:color w:val="auto"/>
          <w:sz w:val="24"/>
          <w:szCs w:val="24"/>
        </w:rPr>
        <w:t>směrnice DPH v digitálním věku</w:t>
      </w:r>
      <w:r w:rsidRPr="00755E5C">
        <w:rPr>
          <w:rFonts w:ascii="Times New Roman" w:eastAsia="Aptos" w:hAnsi="Times New Roman"/>
          <w:color w:val="auto"/>
          <w:sz w:val="24"/>
          <w:szCs w:val="24"/>
          <w:lang w:eastAsia="en-US"/>
        </w:rPr>
        <w:t>. Základní účinnost je nastavena na 1. ledna 2027. Odložená účinnost od 1. července 2028 se týká rušení režimu skladu.</w:t>
      </w:r>
    </w:p>
    <w:sectPr w:rsidR="00755E5C" w:rsidRPr="00755E5C" w:rsidSect="0071211F">
      <w:headerReference w:type="default" r:id="rId10"/>
      <w:headerReference w:type="first" r:id="rId11"/>
      <w:pgSz w:w="12240" w:h="15840"/>
      <w:pgMar w:top="1417" w:right="1417" w:bottom="1417" w:left="1417" w:header="400" w:footer="708" w:gutter="0"/>
      <w:pgNumType w:fmt="numberInDash"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836C" w14:textId="77777777" w:rsidR="0071211F" w:rsidRDefault="0071211F" w:rsidP="0071211F">
      <w:pPr>
        <w:spacing w:after="0" w:line="240" w:lineRule="auto"/>
      </w:pPr>
      <w:r>
        <w:separator/>
      </w:r>
    </w:p>
  </w:endnote>
  <w:endnote w:type="continuationSeparator" w:id="0">
    <w:p w14:paraId="3732999D" w14:textId="77777777" w:rsidR="0071211F" w:rsidRDefault="0071211F" w:rsidP="00712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AF2A9" w14:textId="77777777" w:rsidR="0071211F" w:rsidRDefault="0071211F" w:rsidP="0071211F">
      <w:pPr>
        <w:spacing w:after="0" w:line="240" w:lineRule="auto"/>
      </w:pPr>
      <w:r>
        <w:separator/>
      </w:r>
    </w:p>
  </w:footnote>
  <w:footnote w:type="continuationSeparator" w:id="0">
    <w:p w14:paraId="11DA48E9" w14:textId="77777777" w:rsidR="0071211F" w:rsidRDefault="0071211F" w:rsidP="00712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258805"/>
      <w:docPartObj>
        <w:docPartGallery w:val="Page Numbers (Top of Page)"/>
        <w:docPartUnique/>
      </w:docPartObj>
    </w:sdtPr>
    <w:sdtEndPr>
      <w:rPr>
        <w:rFonts w:ascii="Times New Roman" w:hAnsi="Times New Roman" w:cs="Times New Roman"/>
      </w:rPr>
    </w:sdtEndPr>
    <w:sdtContent>
      <w:p w14:paraId="5D6A7871" w14:textId="77777777" w:rsidR="0071211F" w:rsidRDefault="0071211F" w:rsidP="0071211F">
        <w:pPr>
          <w:pStyle w:val="Zhlav"/>
          <w:jc w:val="center"/>
        </w:pPr>
      </w:p>
      <w:p w14:paraId="6B798D02" w14:textId="38242349" w:rsidR="0071211F" w:rsidRPr="0071211F" w:rsidRDefault="0071211F" w:rsidP="0071211F">
        <w:pPr>
          <w:pStyle w:val="Zhlav"/>
          <w:jc w:val="center"/>
          <w:rPr>
            <w:rFonts w:ascii="Times New Roman" w:hAnsi="Times New Roman" w:cs="Times New Roman"/>
          </w:rPr>
        </w:pPr>
        <w:r w:rsidRPr="0071211F">
          <w:rPr>
            <w:rFonts w:ascii="Times New Roman" w:hAnsi="Times New Roman" w:cs="Times New Roman"/>
          </w:rPr>
          <w:fldChar w:fldCharType="begin"/>
        </w:r>
        <w:r w:rsidRPr="0071211F">
          <w:rPr>
            <w:rFonts w:ascii="Times New Roman" w:hAnsi="Times New Roman" w:cs="Times New Roman"/>
          </w:rPr>
          <w:instrText>PAGE   \* MERGEFORMAT</w:instrText>
        </w:r>
        <w:r w:rsidRPr="0071211F">
          <w:rPr>
            <w:rFonts w:ascii="Times New Roman" w:hAnsi="Times New Roman" w:cs="Times New Roman"/>
          </w:rPr>
          <w:fldChar w:fldCharType="separate"/>
        </w:r>
        <w:r w:rsidRPr="0071211F">
          <w:rPr>
            <w:rFonts w:ascii="Times New Roman" w:hAnsi="Times New Roman" w:cs="Times New Roman"/>
          </w:rPr>
          <w:t>2</w:t>
        </w:r>
        <w:r w:rsidRPr="0071211F">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D919" w14:textId="77777777" w:rsidR="0071211F" w:rsidRPr="0071211F" w:rsidRDefault="0071211F" w:rsidP="0071211F">
    <w:pPr>
      <w:tabs>
        <w:tab w:val="center" w:pos="4536"/>
        <w:tab w:val="right" w:pos="9072"/>
      </w:tabs>
      <w:spacing w:after="0" w:line="240" w:lineRule="auto"/>
      <w:jc w:val="right"/>
      <w:rPr>
        <w:rFonts w:ascii="Times New Roman" w:eastAsia="Times New Roman" w:hAnsi="Times New Roman" w:cs="Times New Roman"/>
        <w:b/>
        <w:szCs w:val="20"/>
        <w:lang w:eastAsia="cs-CZ"/>
      </w:rPr>
    </w:pPr>
    <w:r w:rsidRPr="0071211F">
      <w:rPr>
        <w:rFonts w:ascii="Times New Roman" w:eastAsia="Times New Roman" w:hAnsi="Times New Roman" w:cs="Times New Roman"/>
        <w:b/>
        <w:szCs w:val="20"/>
        <w:lang w:eastAsia="cs-CZ"/>
      </w:rPr>
      <w:t>IV.</w:t>
    </w:r>
  </w:p>
  <w:p w14:paraId="02925499" w14:textId="3D2C5FD2" w:rsidR="0071211F" w:rsidRDefault="007121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D41BB"/>
    <w:multiLevelType w:val="hybridMultilevel"/>
    <w:tmpl w:val="B88A0644"/>
    <w:lvl w:ilvl="0" w:tplc="E800069A">
      <w:start w:val="1"/>
      <w:numFmt w:val="decimal"/>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0645DCA"/>
    <w:multiLevelType w:val="hybridMultilevel"/>
    <w:tmpl w:val="86CCD18A"/>
    <w:lvl w:ilvl="0" w:tplc="76786BD6">
      <w:numFmt w:val="bullet"/>
      <w:lvlText w:val="•"/>
      <w:lvlJc w:val="left"/>
      <w:pPr>
        <w:ind w:left="1070" w:hanging="71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A095E86"/>
    <w:multiLevelType w:val="hybridMultilevel"/>
    <w:tmpl w:val="9580D020"/>
    <w:lvl w:ilvl="0" w:tplc="FFFFFFFF">
      <w:start w:val="1"/>
      <w:numFmt w:val="decimal"/>
      <w:lvlText w:val="2.%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AB3574D"/>
    <w:multiLevelType w:val="hybridMultilevel"/>
    <w:tmpl w:val="E3ACB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3523C6"/>
    <w:multiLevelType w:val="hybridMultilevel"/>
    <w:tmpl w:val="D608AA2E"/>
    <w:lvl w:ilvl="0" w:tplc="2666600E">
      <w:start w:val="1"/>
      <w:numFmt w:val="lowerRoman"/>
      <w:lvlText w:val="%1)"/>
      <w:lvlJc w:val="right"/>
      <w:pPr>
        <w:ind w:left="720" w:hanging="360"/>
      </w:pPr>
    </w:lvl>
    <w:lvl w:ilvl="1" w:tplc="91FAACFC">
      <w:start w:val="1"/>
      <w:numFmt w:val="lowerLetter"/>
      <w:lvlText w:val="%2."/>
      <w:lvlJc w:val="left"/>
      <w:pPr>
        <w:ind w:left="1440" w:hanging="360"/>
      </w:pPr>
    </w:lvl>
    <w:lvl w:ilvl="2" w:tplc="EB48EA10">
      <w:start w:val="1"/>
      <w:numFmt w:val="lowerRoman"/>
      <w:lvlText w:val="%3."/>
      <w:lvlJc w:val="right"/>
      <w:pPr>
        <w:ind w:left="2160" w:hanging="180"/>
      </w:pPr>
    </w:lvl>
    <w:lvl w:ilvl="3" w:tplc="E52A2F1E">
      <w:start w:val="1"/>
      <w:numFmt w:val="decimal"/>
      <w:lvlText w:val="%4."/>
      <w:lvlJc w:val="left"/>
      <w:pPr>
        <w:ind w:left="2880" w:hanging="360"/>
      </w:pPr>
    </w:lvl>
    <w:lvl w:ilvl="4" w:tplc="D9960F8C">
      <w:start w:val="1"/>
      <w:numFmt w:val="lowerLetter"/>
      <w:lvlText w:val="%5."/>
      <w:lvlJc w:val="left"/>
      <w:pPr>
        <w:ind w:left="3600" w:hanging="360"/>
      </w:pPr>
    </w:lvl>
    <w:lvl w:ilvl="5" w:tplc="E0DE6076">
      <w:start w:val="1"/>
      <w:numFmt w:val="lowerRoman"/>
      <w:lvlText w:val="%6."/>
      <w:lvlJc w:val="right"/>
      <w:pPr>
        <w:ind w:left="4320" w:hanging="180"/>
      </w:pPr>
    </w:lvl>
    <w:lvl w:ilvl="6" w:tplc="FE26A438">
      <w:start w:val="1"/>
      <w:numFmt w:val="decimal"/>
      <w:lvlText w:val="%7."/>
      <w:lvlJc w:val="left"/>
      <w:pPr>
        <w:ind w:left="5040" w:hanging="360"/>
      </w:pPr>
    </w:lvl>
    <w:lvl w:ilvl="7" w:tplc="72D83652">
      <w:start w:val="1"/>
      <w:numFmt w:val="lowerLetter"/>
      <w:lvlText w:val="%8."/>
      <w:lvlJc w:val="left"/>
      <w:pPr>
        <w:ind w:left="5760" w:hanging="360"/>
      </w:pPr>
    </w:lvl>
    <w:lvl w:ilvl="8" w:tplc="3294DFF0">
      <w:start w:val="1"/>
      <w:numFmt w:val="lowerRoman"/>
      <w:lvlText w:val="%9."/>
      <w:lvlJc w:val="right"/>
      <w:pPr>
        <w:ind w:left="6480" w:hanging="180"/>
      </w:pPr>
    </w:lvl>
  </w:abstractNum>
  <w:abstractNum w:abstractNumId="6" w15:restartNumberingAfterBreak="0">
    <w:nsid w:val="3CBA5AEB"/>
    <w:multiLevelType w:val="hybridMultilevel"/>
    <w:tmpl w:val="4180536E"/>
    <w:lvl w:ilvl="0" w:tplc="04050001">
      <w:start w:val="1"/>
      <w:numFmt w:val="bullet"/>
      <w:lvlText w:val=""/>
      <w:lvlJc w:val="left"/>
      <w:pPr>
        <w:ind w:left="230" w:hanging="360"/>
      </w:pPr>
      <w:rPr>
        <w:rFonts w:ascii="Symbol" w:hAnsi="Symbol" w:hint="default"/>
      </w:rPr>
    </w:lvl>
    <w:lvl w:ilvl="1" w:tplc="9746FBE6">
      <w:numFmt w:val="bullet"/>
      <w:lvlText w:val="•"/>
      <w:lvlJc w:val="left"/>
      <w:pPr>
        <w:ind w:left="950" w:hanging="360"/>
      </w:pPr>
      <w:rPr>
        <w:rFonts w:ascii="Times New Roman" w:eastAsia="Times New Roman" w:hAnsi="Times New Roman" w:cs="Times New Roman" w:hint="default"/>
      </w:rPr>
    </w:lvl>
    <w:lvl w:ilvl="2" w:tplc="0405001B">
      <w:start w:val="1"/>
      <w:numFmt w:val="lowerRoman"/>
      <w:lvlText w:val="%3."/>
      <w:lvlJc w:val="right"/>
      <w:pPr>
        <w:ind w:left="1670" w:hanging="180"/>
      </w:pPr>
    </w:lvl>
    <w:lvl w:ilvl="3" w:tplc="0405000F" w:tentative="1">
      <w:start w:val="1"/>
      <w:numFmt w:val="decimal"/>
      <w:lvlText w:val="%4."/>
      <w:lvlJc w:val="left"/>
      <w:pPr>
        <w:ind w:left="2390" w:hanging="360"/>
      </w:pPr>
    </w:lvl>
    <w:lvl w:ilvl="4" w:tplc="04050019" w:tentative="1">
      <w:start w:val="1"/>
      <w:numFmt w:val="lowerLetter"/>
      <w:lvlText w:val="%5."/>
      <w:lvlJc w:val="left"/>
      <w:pPr>
        <w:ind w:left="3110" w:hanging="360"/>
      </w:pPr>
    </w:lvl>
    <w:lvl w:ilvl="5" w:tplc="0405001B" w:tentative="1">
      <w:start w:val="1"/>
      <w:numFmt w:val="lowerRoman"/>
      <w:lvlText w:val="%6."/>
      <w:lvlJc w:val="right"/>
      <w:pPr>
        <w:ind w:left="3830" w:hanging="180"/>
      </w:pPr>
    </w:lvl>
    <w:lvl w:ilvl="6" w:tplc="0405000F" w:tentative="1">
      <w:start w:val="1"/>
      <w:numFmt w:val="decimal"/>
      <w:lvlText w:val="%7."/>
      <w:lvlJc w:val="left"/>
      <w:pPr>
        <w:ind w:left="4550" w:hanging="360"/>
      </w:pPr>
    </w:lvl>
    <w:lvl w:ilvl="7" w:tplc="04050019" w:tentative="1">
      <w:start w:val="1"/>
      <w:numFmt w:val="lowerLetter"/>
      <w:lvlText w:val="%8."/>
      <w:lvlJc w:val="left"/>
      <w:pPr>
        <w:ind w:left="5270" w:hanging="360"/>
      </w:pPr>
    </w:lvl>
    <w:lvl w:ilvl="8" w:tplc="0405001B" w:tentative="1">
      <w:start w:val="1"/>
      <w:numFmt w:val="lowerRoman"/>
      <w:lvlText w:val="%9."/>
      <w:lvlJc w:val="right"/>
      <w:pPr>
        <w:ind w:left="5990" w:hanging="180"/>
      </w:pPr>
    </w:lvl>
  </w:abstractNum>
  <w:abstractNum w:abstractNumId="7" w15:restartNumberingAfterBreak="0">
    <w:nsid w:val="3EB156DF"/>
    <w:multiLevelType w:val="hybridMultilevel"/>
    <w:tmpl w:val="E512A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31F7A8E"/>
    <w:multiLevelType w:val="hybridMultilevel"/>
    <w:tmpl w:val="F6F472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A115DBF"/>
    <w:multiLevelType w:val="hybridMultilevel"/>
    <w:tmpl w:val="72BADA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A981D13"/>
    <w:multiLevelType w:val="hybridMultilevel"/>
    <w:tmpl w:val="CBCA93DA"/>
    <w:lvl w:ilvl="0" w:tplc="0405000F">
      <w:start w:val="1"/>
      <w:numFmt w:val="decimal"/>
      <w:lvlText w:val="%1."/>
      <w:lvlJc w:val="left"/>
      <w:pPr>
        <w:ind w:left="-1895" w:hanging="360"/>
      </w:pPr>
    </w:lvl>
    <w:lvl w:ilvl="1" w:tplc="9746FBE6">
      <w:numFmt w:val="bullet"/>
      <w:lvlText w:val="•"/>
      <w:lvlJc w:val="left"/>
      <w:pPr>
        <w:ind w:left="-1175" w:hanging="360"/>
      </w:pPr>
      <w:rPr>
        <w:rFonts w:ascii="Times New Roman" w:eastAsia="Times New Roman" w:hAnsi="Times New Roman" w:cs="Times New Roman" w:hint="default"/>
      </w:rPr>
    </w:lvl>
    <w:lvl w:ilvl="2" w:tplc="0405001B">
      <w:start w:val="1"/>
      <w:numFmt w:val="lowerRoman"/>
      <w:lvlText w:val="%3."/>
      <w:lvlJc w:val="right"/>
      <w:pPr>
        <w:ind w:left="-455" w:hanging="180"/>
      </w:pPr>
    </w:lvl>
    <w:lvl w:ilvl="3" w:tplc="0405000F" w:tentative="1">
      <w:start w:val="1"/>
      <w:numFmt w:val="decimal"/>
      <w:lvlText w:val="%4."/>
      <w:lvlJc w:val="left"/>
      <w:pPr>
        <w:ind w:left="265" w:hanging="360"/>
      </w:pPr>
    </w:lvl>
    <w:lvl w:ilvl="4" w:tplc="04050019" w:tentative="1">
      <w:start w:val="1"/>
      <w:numFmt w:val="lowerLetter"/>
      <w:lvlText w:val="%5."/>
      <w:lvlJc w:val="left"/>
      <w:pPr>
        <w:ind w:left="985" w:hanging="360"/>
      </w:pPr>
    </w:lvl>
    <w:lvl w:ilvl="5" w:tplc="0405001B" w:tentative="1">
      <w:start w:val="1"/>
      <w:numFmt w:val="lowerRoman"/>
      <w:lvlText w:val="%6."/>
      <w:lvlJc w:val="right"/>
      <w:pPr>
        <w:ind w:left="1705" w:hanging="180"/>
      </w:pPr>
    </w:lvl>
    <w:lvl w:ilvl="6" w:tplc="0405000F" w:tentative="1">
      <w:start w:val="1"/>
      <w:numFmt w:val="decimal"/>
      <w:lvlText w:val="%7."/>
      <w:lvlJc w:val="left"/>
      <w:pPr>
        <w:ind w:left="2425" w:hanging="360"/>
      </w:pPr>
    </w:lvl>
    <w:lvl w:ilvl="7" w:tplc="04050019" w:tentative="1">
      <w:start w:val="1"/>
      <w:numFmt w:val="lowerLetter"/>
      <w:lvlText w:val="%8."/>
      <w:lvlJc w:val="left"/>
      <w:pPr>
        <w:ind w:left="3145" w:hanging="360"/>
      </w:pPr>
    </w:lvl>
    <w:lvl w:ilvl="8" w:tplc="0405001B" w:tentative="1">
      <w:start w:val="1"/>
      <w:numFmt w:val="lowerRoman"/>
      <w:lvlText w:val="%9."/>
      <w:lvlJc w:val="right"/>
      <w:pPr>
        <w:ind w:left="3865" w:hanging="180"/>
      </w:pPr>
    </w:lvl>
  </w:abstractNum>
  <w:abstractNum w:abstractNumId="11" w15:restartNumberingAfterBreak="0">
    <w:nsid w:val="71FB70A6"/>
    <w:multiLevelType w:val="hybridMultilevel"/>
    <w:tmpl w:val="65AA878A"/>
    <w:lvl w:ilvl="0" w:tplc="4AAE7094">
      <w:start w:val="1"/>
      <w:numFmt w:val="decimal"/>
      <w:suff w:val="space"/>
      <w:lvlText w:val="K bodu %1"/>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503F289"/>
    <w:multiLevelType w:val="hybridMultilevel"/>
    <w:tmpl w:val="E44A7EB2"/>
    <w:lvl w:ilvl="0" w:tplc="DBAE1DA8">
      <w:start w:val="1"/>
      <w:numFmt w:val="lowerRoman"/>
      <w:lvlText w:val="%1."/>
      <w:lvlJc w:val="right"/>
      <w:pPr>
        <w:ind w:left="720" w:hanging="360"/>
      </w:pPr>
    </w:lvl>
    <w:lvl w:ilvl="1" w:tplc="3830002C">
      <w:start w:val="1"/>
      <w:numFmt w:val="lowerLetter"/>
      <w:lvlText w:val="%2."/>
      <w:lvlJc w:val="left"/>
      <w:pPr>
        <w:ind w:left="1440" w:hanging="360"/>
      </w:pPr>
    </w:lvl>
    <w:lvl w:ilvl="2" w:tplc="FBB015CC">
      <w:start w:val="1"/>
      <w:numFmt w:val="lowerRoman"/>
      <w:lvlText w:val="%3."/>
      <w:lvlJc w:val="right"/>
      <w:pPr>
        <w:ind w:left="2160" w:hanging="180"/>
      </w:pPr>
    </w:lvl>
    <w:lvl w:ilvl="3" w:tplc="AF22230E">
      <w:start w:val="1"/>
      <w:numFmt w:val="decimal"/>
      <w:lvlText w:val="%4."/>
      <w:lvlJc w:val="left"/>
      <w:pPr>
        <w:ind w:left="2880" w:hanging="360"/>
      </w:pPr>
    </w:lvl>
    <w:lvl w:ilvl="4" w:tplc="514AFC64">
      <w:start w:val="1"/>
      <w:numFmt w:val="lowerLetter"/>
      <w:lvlText w:val="%5."/>
      <w:lvlJc w:val="left"/>
      <w:pPr>
        <w:ind w:left="3600" w:hanging="360"/>
      </w:pPr>
    </w:lvl>
    <w:lvl w:ilvl="5" w:tplc="27FC7D1C">
      <w:start w:val="1"/>
      <w:numFmt w:val="lowerRoman"/>
      <w:lvlText w:val="%6."/>
      <w:lvlJc w:val="right"/>
      <w:pPr>
        <w:ind w:left="4320" w:hanging="180"/>
      </w:pPr>
    </w:lvl>
    <w:lvl w:ilvl="6" w:tplc="0702310C">
      <w:start w:val="1"/>
      <w:numFmt w:val="decimal"/>
      <w:lvlText w:val="%7."/>
      <w:lvlJc w:val="left"/>
      <w:pPr>
        <w:ind w:left="5040" w:hanging="360"/>
      </w:pPr>
    </w:lvl>
    <w:lvl w:ilvl="7" w:tplc="F9A2486E">
      <w:start w:val="1"/>
      <w:numFmt w:val="lowerLetter"/>
      <w:lvlText w:val="%8."/>
      <w:lvlJc w:val="left"/>
      <w:pPr>
        <w:ind w:left="5760" w:hanging="360"/>
      </w:pPr>
    </w:lvl>
    <w:lvl w:ilvl="8" w:tplc="099C023C">
      <w:start w:val="1"/>
      <w:numFmt w:val="lowerRoman"/>
      <w:lvlText w:val="%9."/>
      <w:lvlJc w:val="right"/>
      <w:pPr>
        <w:ind w:left="6480" w:hanging="180"/>
      </w:pPr>
    </w:lvl>
  </w:abstractNum>
  <w:num w:numId="1" w16cid:durableId="314915547">
    <w:abstractNumId w:val="5"/>
  </w:num>
  <w:num w:numId="2" w16cid:durableId="1538620999">
    <w:abstractNumId w:val="12"/>
  </w:num>
  <w:num w:numId="3" w16cid:durableId="1957104807">
    <w:abstractNumId w:val="4"/>
  </w:num>
  <w:num w:numId="4" w16cid:durableId="1807119990">
    <w:abstractNumId w:val="11"/>
  </w:num>
  <w:num w:numId="5" w16cid:durableId="674108901">
    <w:abstractNumId w:val="11"/>
    <w:lvlOverride w:ilvl="0">
      <w:startOverride w:val="1"/>
    </w:lvlOverride>
  </w:num>
  <w:num w:numId="6" w16cid:durableId="115772335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15237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022895">
    <w:abstractNumId w:val="6"/>
  </w:num>
  <w:num w:numId="9" w16cid:durableId="665206276">
    <w:abstractNumId w:val="9"/>
  </w:num>
  <w:num w:numId="10" w16cid:durableId="1428501822">
    <w:abstractNumId w:val="1"/>
  </w:num>
  <w:num w:numId="11" w16cid:durableId="1136724899">
    <w:abstractNumId w:val="8"/>
  </w:num>
  <w:num w:numId="12" w16cid:durableId="1430735832">
    <w:abstractNumId w:val="7"/>
  </w:num>
  <w:num w:numId="13" w16cid:durableId="1759054840">
    <w:abstractNumId w:val="2"/>
  </w:num>
  <w:num w:numId="14" w16cid:durableId="1414158758">
    <w:abstractNumId w:val="0"/>
  </w:num>
  <w:num w:numId="15" w16cid:durableId="257180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357770"/>
    <w:rsid w:val="00000F3B"/>
    <w:rsid w:val="000075A1"/>
    <w:rsid w:val="0001780C"/>
    <w:rsid w:val="00026296"/>
    <w:rsid w:val="00026F67"/>
    <w:rsid w:val="00027F0F"/>
    <w:rsid w:val="00034EDE"/>
    <w:rsid w:val="00041793"/>
    <w:rsid w:val="00042CF6"/>
    <w:rsid w:val="00057A81"/>
    <w:rsid w:val="000612FC"/>
    <w:rsid w:val="0006612C"/>
    <w:rsid w:val="000769E8"/>
    <w:rsid w:val="00080A35"/>
    <w:rsid w:val="0008265C"/>
    <w:rsid w:val="0008549A"/>
    <w:rsid w:val="000B0699"/>
    <w:rsid w:val="000B3AA2"/>
    <w:rsid w:val="000B522B"/>
    <w:rsid w:val="000C16DF"/>
    <w:rsid w:val="000C332B"/>
    <w:rsid w:val="000D2E36"/>
    <w:rsid w:val="000F1830"/>
    <w:rsid w:val="000F4F3E"/>
    <w:rsid w:val="00105464"/>
    <w:rsid w:val="001079EE"/>
    <w:rsid w:val="001136A3"/>
    <w:rsid w:val="00113E8A"/>
    <w:rsid w:val="00114D4D"/>
    <w:rsid w:val="00124750"/>
    <w:rsid w:val="00125CB9"/>
    <w:rsid w:val="001416CB"/>
    <w:rsid w:val="00151032"/>
    <w:rsid w:val="001622CD"/>
    <w:rsid w:val="00164614"/>
    <w:rsid w:val="00165AAA"/>
    <w:rsid w:val="001713B9"/>
    <w:rsid w:val="0018097C"/>
    <w:rsid w:val="0018527D"/>
    <w:rsid w:val="0019150E"/>
    <w:rsid w:val="00196F09"/>
    <w:rsid w:val="001A6ED0"/>
    <w:rsid w:val="001A7E4A"/>
    <w:rsid w:val="001B2AF1"/>
    <w:rsid w:val="001B71D9"/>
    <w:rsid w:val="001D544C"/>
    <w:rsid w:val="001E467D"/>
    <w:rsid w:val="001E79A2"/>
    <w:rsid w:val="001F1BD0"/>
    <w:rsid w:val="001F232C"/>
    <w:rsid w:val="001F2591"/>
    <w:rsid w:val="001F67E2"/>
    <w:rsid w:val="00204AE6"/>
    <w:rsid w:val="00226A71"/>
    <w:rsid w:val="00230900"/>
    <w:rsid w:val="00232F54"/>
    <w:rsid w:val="00235380"/>
    <w:rsid w:val="0023560B"/>
    <w:rsid w:val="00244155"/>
    <w:rsid w:val="00245B0C"/>
    <w:rsid w:val="002548D9"/>
    <w:rsid w:val="00254A3A"/>
    <w:rsid w:val="00257D46"/>
    <w:rsid w:val="002610A2"/>
    <w:rsid w:val="002654E1"/>
    <w:rsid w:val="00266A2D"/>
    <w:rsid w:val="0027556D"/>
    <w:rsid w:val="0028121C"/>
    <w:rsid w:val="0028297E"/>
    <w:rsid w:val="00289419"/>
    <w:rsid w:val="0029209E"/>
    <w:rsid w:val="002952D6"/>
    <w:rsid w:val="00296D18"/>
    <w:rsid w:val="00297BA5"/>
    <w:rsid w:val="002A6C5C"/>
    <w:rsid w:val="002A6EFC"/>
    <w:rsid w:val="002C1851"/>
    <w:rsid w:val="002C47C3"/>
    <w:rsid w:val="002D1F4C"/>
    <w:rsid w:val="002D72B0"/>
    <w:rsid w:val="002D775C"/>
    <w:rsid w:val="002F14C7"/>
    <w:rsid w:val="00301C82"/>
    <w:rsid w:val="003040C4"/>
    <w:rsid w:val="00304DD7"/>
    <w:rsid w:val="0030586C"/>
    <w:rsid w:val="00306514"/>
    <w:rsid w:val="0032060E"/>
    <w:rsid w:val="00327F11"/>
    <w:rsid w:val="00336511"/>
    <w:rsid w:val="00337F55"/>
    <w:rsid w:val="0034120F"/>
    <w:rsid w:val="0034244D"/>
    <w:rsid w:val="003530E5"/>
    <w:rsid w:val="0038032C"/>
    <w:rsid w:val="0038348F"/>
    <w:rsid w:val="0039033D"/>
    <w:rsid w:val="003A4E25"/>
    <w:rsid w:val="003A64F0"/>
    <w:rsid w:val="003B7758"/>
    <w:rsid w:val="003B79FF"/>
    <w:rsid w:val="003C24C0"/>
    <w:rsid w:val="003C2DD0"/>
    <w:rsid w:val="003D3CBF"/>
    <w:rsid w:val="003D5428"/>
    <w:rsid w:val="003E0CCF"/>
    <w:rsid w:val="003F0FC6"/>
    <w:rsid w:val="003F2A7F"/>
    <w:rsid w:val="0040694C"/>
    <w:rsid w:val="004140AC"/>
    <w:rsid w:val="00417C7E"/>
    <w:rsid w:val="00417EED"/>
    <w:rsid w:val="00431D02"/>
    <w:rsid w:val="0043433E"/>
    <w:rsid w:val="004358EA"/>
    <w:rsid w:val="0044200F"/>
    <w:rsid w:val="00451A6F"/>
    <w:rsid w:val="00461480"/>
    <w:rsid w:val="0048042E"/>
    <w:rsid w:val="0048067C"/>
    <w:rsid w:val="00495651"/>
    <w:rsid w:val="004A002A"/>
    <w:rsid w:val="004A7D33"/>
    <w:rsid w:val="004B09BA"/>
    <w:rsid w:val="004C74F6"/>
    <w:rsid w:val="004D0098"/>
    <w:rsid w:val="004E1116"/>
    <w:rsid w:val="004E574A"/>
    <w:rsid w:val="004F060B"/>
    <w:rsid w:val="004F4A5E"/>
    <w:rsid w:val="00500BA3"/>
    <w:rsid w:val="00511FD3"/>
    <w:rsid w:val="00517420"/>
    <w:rsid w:val="0054706E"/>
    <w:rsid w:val="00562A09"/>
    <w:rsid w:val="005657A3"/>
    <w:rsid w:val="005733D1"/>
    <w:rsid w:val="005847F1"/>
    <w:rsid w:val="0058560B"/>
    <w:rsid w:val="005A691B"/>
    <w:rsid w:val="005AF322"/>
    <w:rsid w:val="005B2778"/>
    <w:rsid w:val="005B4325"/>
    <w:rsid w:val="005C1706"/>
    <w:rsid w:val="005C3A1F"/>
    <w:rsid w:val="005C6B1E"/>
    <w:rsid w:val="005C6C4C"/>
    <w:rsid w:val="005C7414"/>
    <w:rsid w:val="005D0765"/>
    <w:rsid w:val="005D61BF"/>
    <w:rsid w:val="005F5DE9"/>
    <w:rsid w:val="005F6D62"/>
    <w:rsid w:val="006033CD"/>
    <w:rsid w:val="00603936"/>
    <w:rsid w:val="00605C08"/>
    <w:rsid w:val="00614733"/>
    <w:rsid w:val="0062569F"/>
    <w:rsid w:val="00625D16"/>
    <w:rsid w:val="00632947"/>
    <w:rsid w:val="006358C8"/>
    <w:rsid w:val="00656EC8"/>
    <w:rsid w:val="00665263"/>
    <w:rsid w:val="006826F2"/>
    <w:rsid w:val="006A2F5A"/>
    <w:rsid w:val="006A6F31"/>
    <w:rsid w:val="006C1C03"/>
    <w:rsid w:val="006D21CB"/>
    <w:rsid w:val="006D55F7"/>
    <w:rsid w:val="006D7A64"/>
    <w:rsid w:val="006E1292"/>
    <w:rsid w:val="006F2609"/>
    <w:rsid w:val="006F6B44"/>
    <w:rsid w:val="00705E85"/>
    <w:rsid w:val="007113E3"/>
    <w:rsid w:val="00711D10"/>
    <w:rsid w:val="0071211F"/>
    <w:rsid w:val="0071507C"/>
    <w:rsid w:val="007160C5"/>
    <w:rsid w:val="00727475"/>
    <w:rsid w:val="00735995"/>
    <w:rsid w:val="00740909"/>
    <w:rsid w:val="00754CC9"/>
    <w:rsid w:val="00755E5C"/>
    <w:rsid w:val="00785193"/>
    <w:rsid w:val="00786409"/>
    <w:rsid w:val="007A0E9A"/>
    <w:rsid w:val="007B15AA"/>
    <w:rsid w:val="007B59FB"/>
    <w:rsid w:val="007B6AF6"/>
    <w:rsid w:val="007D2333"/>
    <w:rsid w:val="007D5864"/>
    <w:rsid w:val="007D5D18"/>
    <w:rsid w:val="007E460F"/>
    <w:rsid w:val="0080108D"/>
    <w:rsid w:val="00802CF9"/>
    <w:rsid w:val="00817F08"/>
    <w:rsid w:val="00821215"/>
    <w:rsid w:val="00824290"/>
    <w:rsid w:val="00833681"/>
    <w:rsid w:val="008424BC"/>
    <w:rsid w:val="00846541"/>
    <w:rsid w:val="00847C4C"/>
    <w:rsid w:val="00855623"/>
    <w:rsid w:val="00863F90"/>
    <w:rsid w:val="00874059"/>
    <w:rsid w:val="0088622E"/>
    <w:rsid w:val="008A111B"/>
    <w:rsid w:val="008B02E6"/>
    <w:rsid w:val="008C6415"/>
    <w:rsid w:val="008C7833"/>
    <w:rsid w:val="008D374E"/>
    <w:rsid w:val="008D5A79"/>
    <w:rsid w:val="008F5169"/>
    <w:rsid w:val="00907AB4"/>
    <w:rsid w:val="009145B6"/>
    <w:rsid w:val="00935457"/>
    <w:rsid w:val="00936E52"/>
    <w:rsid w:val="00941C80"/>
    <w:rsid w:val="009424E9"/>
    <w:rsid w:val="00964487"/>
    <w:rsid w:val="0097426A"/>
    <w:rsid w:val="009759E1"/>
    <w:rsid w:val="009776BA"/>
    <w:rsid w:val="0099483B"/>
    <w:rsid w:val="00996ACC"/>
    <w:rsid w:val="009B0CE3"/>
    <w:rsid w:val="009B5C4C"/>
    <w:rsid w:val="009D1373"/>
    <w:rsid w:val="009E4C2D"/>
    <w:rsid w:val="009F3569"/>
    <w:rsid w:val="00A07108"/>
    <w:rsid w:val="00A0C01C"/>
    <w:rsid w:val="00A200EF"/>
    <w:rsid w:val="00A24A62"/>
    <w:rsid w:val="00A33921"/>
    <w:rsid w:val="00A34DB6"/>
    <w:rsid w:val="00A42EFC"/>
    <w:rsid w:val="00A4315D"/>
    <w:rsid w:val="00A44A7E"/>
    <w:rsid w:val="00A47924"/>
    <w:rsid w:val="00A529DA"/>
    <w:rsid w:val="00A57EDF"/>
    <w:rsid w:val="00A61DA7"/>
    <w:rsid w:val="00A65D71"/>
    <w:rsid w:val="00A67551"/>
    <w:rsid w:val="00A70970"/>
    <w:rsid w:val="00A8267F"/>
    <w:rsid w:val="00AA0211"/>
    <w:rsid w:val="00AA2072"/>
    <w:rsid w:val="00AA3782"/>
    <w:rsid w:val="00AA5B54"/>
    <w:rsid w:val="00AB41F5"/>
    <w:rsid w:val="00AB6ADD"/>
    <w:rsid w:val="00AD026B"/>
    <w:rsid w:val="00AD343F"/>
    <w:rsid w:val="00AD7BD0"/>
    <w:rsid w:val="00AF06AF"/>
    <w:rsid w:val="00AF0EFF"/>
    <w:rsid w:val="00AF4FA7"/>
    <w:rsid w:val="00AF4FCE"/>
    <w:rsid w:val="00AF66AF"/>
    <w:rsid w:val="00B00101"/>
    <w:rsid w:val="00B00953"/>
    <w:rsid w:val="00B02AD3"/>
    <w:rsid w:val="00B13D9C"/>
    <w:rsid w:val="00B1787A"/>
    <w:rsid w:val="00B376C3"/>
    <w:rsid w:val="00B61CC9"/>
    <w:rsid w:val="00B64DAB"/>
    <w:rsid w:val="00B662EA"/>
    <w:rsid w:val="00B70A40"/>
    <w:rsid w:val="00B76F05"/>
    <w:rsid w:val="00B84FCD"/>
    <w:rsid w:val="00B8591C"/>
    <w:rsid w:val="00BA0D37"/>
    <w:rsid w:val="00BC7B5A"/>
    <w:rsid w:val="00BF0240"/>
    <w:rsid w:val="00BF4474"/>
    <w:rsid w:val="00C129B1"/>
    <w:rsid w:val="00C17430"/>
    <w:rsid w:val="00C244DB"/>
    <w:rsid w:val="00C2493A"/>
    <w:rsid w:val="00C33F08"/>
    <w:rsid w:val="00C362B9"/>
    <w:rsid w:val="00C5005A"/>
    <w:rsid w:val="00C5750B"/>
    <w:rsid w:val="00C853A3"/>
    <w:rsid w:val="00C92A8C"/>
    <w:rsid w:val="00CC50F2"/>
    <w:rsid w:val="00CD6429"/>
    <w:rsid w:val="00CE5DA0"/>
    <w:rsid w:val="00D1264C"/>
    <w:rsid w:val="00D20C06"/>
    <w:rsid w:val="00D22273"/>
    <w:rsid w:val="00D25270"/>
    <w:rsid w:val="00D27501"/>
    <w:rsid w:val="00D304C9"/>
    <w:rsid w:val="00D336A7"/>
    <w:rsid w:val="00D34730"/>
    <w:rsid w:val="00D43712"/>
    <w:rsid w:val="00D50D3F"/>
    <w:rsid w:val="00D52368"/>
    <w:rsid w:val="00D54386"/>
    <w:rsid w:val="00D57860"/>
    <w:rsid w:val="00D60FAB"/>
    <w:rsid w:val="00D632E1"/>
    <w:rsid w:val="00D6382A"/>
    <w:rsid w:val="00D646E8"/>
    <w:rsid w:val="00D76298"/>
    <w:rsid w:val="00D777B8"/>
    <w:rsid w:val="00D81724"/>
    <w:rsid w:val="00D92BF2"/>
    <w:rsid w:val="00DA213C"/>
    <w:rsid w:val="00DA7C33"/>
    <w:rsid w:val="00DB15F0"/>
    <w:rsid w:val="00E30E3F"/>
    <w:rsid w:val="00E465D4"/>
    <w:rsid w:val="00E627F7"/>
    <w:rsid w:val="00E81630"/>
    <w:rsid w:val="00E916E2"/>
    <w:rsid w:val="00E928A8"/>
    <w:rsid w:val="00E9719E"/>
    <w:rsid w:val="00EA3329"/>
    <w:rsid w:val="00ED3B58"/>
    <w:rsid w:val="00ED4BA3"/>
    <w:rsid w:val="00EE2985"/>
    <w:rsid w:val="00EE2EAB"/>
    <w:rsid w:val="00F03AD9"/>
    <w:rsid w:val="00F04354"/>
    <w:rsid w:val="00F06043"/>
    <w:rsid w:val="00F10210"/>
    <w:rsid w:val="00F11E51"/>
    <w:rsid w:val="00F15962"/>
    <w:rsid w:val="00F22029"/>
    <w:rsid w:val="00F47392"/>
    <w:rsid w:val="00F53D37"/>
    <w:rsid w:val="00F62A58"/>
    <w:rsid w:val="00F63648"/>
    <w:rsid w:val="00F67CD2"/>
    <w:rsid w:val="00F7130A"/>
    <w:rsid w:val="00F757CB"/>
    <w:rsid w:val="00F77972"/>
    <w:rsid w:val="00F8062F"/>
    <w:rsid w:val="00F83F4A"/>
    <w:rsid w:val="00F84F83"/>
    <w:rsid w:val="00F95E91"/>
    <w:rsid w:val="00FB00DA"/>
    <w:rsid w:val="00FB46BF"/>
    <w:rsid w:val="00FC48FE"/>
    <w:rsid w:val="00FD10C3"/>
    <w:rsid w:val="00FD4BCD"/>
    <w:rsid w:val="00FF0273"/>
    <w:rsid w:val="00FF0681"/>
    <w:rsid w:val="0117B955"/>
    <w:rsid w:val="012B0403"/>
    <w:rsid w:val="019CDEE1"/>
    <w:rsid w:val="020820CA"/>
    <w:rsid w:val="020E5B89"/>
    <w:rsid w:val="024E20E7"/>
    <w:rsid w:val="026748F5"/>
    <w:rsid w:val="0287B5DC"/>
    <w:rsid w:val="02E6C754"/>
    <w:rsid w:val="03011C20"/>
    <w:rsid w:val="030DFF27"/>
    <w:rsid w:val="0373185A"/>
    <w:rsid w:val="03D018E5"/>
    <w:rsid w:val="0403CF84"/>
    <w:rsid w:val="0459DD5F"/>
    <w:rsid w:val="048BD75A"/>
    <w:rsid w:val="0496E189"/>
    <w:rsid w:val="04E03370"/>
    <w:rsid w:val="058976F7"/>
    <w:rsid w:val="05B8EAB4"/>
    <w:rsid w:val="062502DA"/>
    <w:rsid w:val="064EE193"/>
    <w:rsid w:val="065B4E16"/>
    <w:rsid w:val="065E9645"/>
    <w:rsid w:val="06A2B373"/>
    <w:rsid w:val="06D1506A"/>
    <w:rsid w:val="06D29C01"/>
    <w:rsid w:val="06E85397"/>
    <w:rsid w:val="07A9A37D"/>
    <w:rsid w:val="0838BEC7"/>
    <w:rsid w:val="08958296"/>
    <w:rsid w:val="089E6532"/>
    <w:rsid w:val="0905DDEB"/>
    <w:rsid w:val="091EB173"/>
    <w:rsid w:val="0925C8EC"/>
    <w:rsid w:val="0959ADFA"/>
    <w:rsid w:val="09A047B5"/>
    <w:rsid w:val="0A2F1C6B"/>
    <w:rsid w:val="0A75B8BF"/>
    <w:rsid w:val="0A8DC598"/>
    <w:rsid w:val="0AF0E677"/>
    <w:rsid w:val="0B7B59E0"/>
    <w:rsid w:val="0B9EDFBD"/>
    <w:rsid w:val="0BA2FC6D"/>
    <w:rsid w:val="0BCD55B9"/>
    <w:rsid w:val="0BCF42E4"/>
    <w:rsid w:val="0C321680"/>
    <w:rsid w:val="0C584D98"/>
    <w:rsid w:val="0C67EDB7"/>
    <w:rsid w:val="0CE512D9"/>
    <w:rsid w:val="0CE5E332"/>
    <w:rsid w:val="0D0B0286"/>
    <w:rsid w:val="0D270885"/>
    <w:rsid w:val="0D506972"/>
    <w:rsid w:val="0D891443"/>
    <w:rsid w:val="0DE8BA7E"/>
    <w:rsid w:val="0E076E02"/>
    <w:rsid w:val="0E357770"/>
    <w:rsid w:val="0E3B008B"/>
    <w:rsid w:val="0E4C8C7F"/>
    <w:rsid w:val="0EC7DD36"/>
    <w:rsid w:val="0F0E6A9A"/>
    <w:rsid w:val="0FA5B6FF"/>
    <w:rsid w:val="0FACF349"/>
    <w:rsid w:val="0FCDD9E3"/>
    <w:rsid w:val="0FDDB5A0"/>
    <w:rsid w:val="1057F278"/>
    <w:rsid w:val="10BC9F3B"/>
    <w:rsid w:val="1100EA2E"/>
    <w:rsid w:val="112E888A"/>
    <w:rsid w:val="11EC7B6C"/>
    <w:rsid w:val="11EEDC63"/>
    <w:rsid w:val="121CDD1F"/>
    <w:rsid w:val="12335AAC"/>
    <w:rsid w:val="12796C97"/>
    <w:rsid w:val="12AB2534"/>
    <w:rsid w:val="12B9054E"/>
    <w:rsid w:val="12D4EA37"/>
    <w:rsid w:val="12E7D878"/>
    <w:rsid w:val="12FAAA56"/>
    <w:rsid w:val="12FDB8B0"/>
    <w:rsid w:val="13A25E33"/>
    <w:rsid w:val="13A6B527"/>
    <w:rsid w:val="1400F969"/>
    <w:rsid w:val="1430D961"/>
    <w:rsid w:val="143F03F4"/>
    <w:rsid w:val="143FBE92"/>
    <w:rsid w:val="14650570"/>
    <w:rsid w:val="14F175DF"/>
    <w:rsid w:val="151E535F"/>
    <w:rsid w:val="1571B335"/>
    <w:rsid w:val="15792240"/>
    <w:rsid w:val="158EBB4C"/>
    <w:rsid w:val="159777ED"/>
    <w:rsid w:val="15A51654"/>
    <w:rsid w:val="15C32299"/>
    <w:rsid w:val="15F6D26C"/>
    <w:rsid w:val="1709F291"/>
    <w:rsid w:val="17339022"/>
    <w:rsid w:val="17A2D6F4"/>
    <w:rsid w:val="1862E34F"/>
    <w:rsid w:val="1876933D"/>
    <w:rsid w:val="18C15EE6"/>
    <w:rsid w:val="18E070CB"/>
    <w:rsid w:val="193730EB"/>
    <w:rsid w:val="1A11E86A"/>
    <w:rsid w:val="1B2BEB6B"/>
    <w:rsid w:val="1B90E530"/>
    <w:rsid w:val="1BAD3A3A"/>
    <w:rsid w:val="1BB968F1"/>
    <w:rsid w:val="1BFC512A"/>
    <w:rsid w:val="1C143BEB"/>
    <w:rsid w:val="1C52050F"/>
    <w:rsid w:val="1C57BD38"/>
    <w:rsid w:val="1C615ECB"/>
    <w:rsid w:val="1CE94F8B"/>
    <w:rsid w:val="1CEFF543"/>
    <w:rsid w:val="1D0D4669"/>
    <w:rsid w:val="1D4624C1"/>
    <w:rsid w:val="1D656FF9"/>
    <w:rsid w:val="1D78A9DE"/>
    <w:rsid w:val="1DAB238F"/>
    <w:rsid w:val="1DAD274B"/>
    <w:rsid w:val="1E109273"/>
    <w:rsid w:val="1E23C5BB"/>
    <w:rsid w:val="1E4E1E3F"/>
    <w:rsid w:val="1E703C38"/>
    <w:rsid w:val="1E857C79"/>
    <w:rsid w:val="1F6BDD80"/>
    <w:rsid w:val="1FAB296E"/>
    <w:rsid w:val="1FE3E2D1"/>
    <w:rsid w:val="200A0107"/>
    <w:rsid w:val="201A6730"/>
    <w:rsid w:val="201B4026"/>
    <w:rsid w:val="204BDA9A"/>
    <w:rsid w:val="205CF0EE"/>
    <w:rsid w:val="207CC09C"/>
    <w:rsid w:val="20C67F16"/>
    <w:rsid w:val="2189F69F"/>
    <w:rsid w:val="21B85A2D"/>
    <w:rsid w:val="22F3ECF9"/>
    <w:rsid w:val="22F79A47"/>
    <w:rsid w:val="230C0715"/>
    <w:rsid w:val="231671C8"/>
    <w:rsid w:val="2397ADFB"/>
    <w:rsid w:val="23D69E2B"/>
    <w:rsid w:val="23F8DE15"/>
    <w:rsid w:val="23FCDA29"/>
    <w:rsid w:val="241DD2FB"/>
    <w:rsid w:val="243E31A1"/>
    <w:rsid w:val="249CA68E"/>
    <w:rsid w:val="24BAF02A"/>
    <w:rsid w:val="2504E816"/>
    <w:rsid w:val="2568C50C"/>
    <w:rsid w:val="256D43A1"/>
    <w:rsid w:val="260F7536"/>
    <w:rsid w:val="26AF15DD"/>
    <w:rsid w:val="26BD2263"/>
    <w:rsid w:val="26F6BF73"/>
    <w:rsid w:val="270D3230"/>
    <w:rsid w:val="277E0D94"/>
    <w:rsid w:val="27A3B844"/>
    <w:rsid w:val="27D31A2B"/>
    <w:rsid w:val="27D99397"/>
    <w:rsid w:val="2820C9AC"/>
    <w:rsid w:val="284AB064"/>
    <w:rsid w:val="2862F423"/>
    <w:rsid w:val="286CCD11"/>
    <w:rsid w:val="28A9860D"/>
    <w:rsid w:val="28D08C63"/>
    <w:rsid w:val="28EC4BCB"/>
    <w:rsid w:val="294D7D46"/>
    <w:rsid w:val="295C5BE0"/>
    <w:rsid w:val="29759242"/>
    <w:rsid w:val="2A38B120"/>
    <w:rsid w:val="2A7D48A0"/>
    <w:rsid w:val="2AF04827"/>
    <w:rsid w:val="2AF9600B"/>
    <w:rsid w:val="2B4E544F"/>
    <w:rsid w:val="2B676A86"/>
    <w:rsid w:val="2BBDA635"/>
    <w:rsid w:val="2C043FF5"/>
    <w:rsid w:val="2C7A3E5B"/>
    <w:rsid w:val="2CB9B889"/>
    <w:rsid w:val="2CF7E64E"/>
    <w:rsid w:val="2D313F28"/>
    <w:rsid w:val="2D815A1C"/>
    <w:rsid w:val="2D94728F"/>
    <w:rsid w:val="2DB69158"/>
    <w:rsid w:val="2DC99000"/>
    <w:rsid w:val="2DDB5DA1"/>
    <w:rsid w:val="2E146815"/>
    <w:rsid w:val="2E9B87F0"/>
    <w:rsid w:val="2EA82D62"/>
    <w:rsid w:val="2F242651"/>
    <w:rsid w:val="2F2E0094"/>
    <w:rsid w:val="2F3B6D79"/>
    <w:rsid w:val="2FD4705F"/>
    <w:rsid w:val="305F9A06"/>
    <w:rsid w:val="306AC61D"/>
    <w:rsid w:val="3162D3EE"/>
    <w:rsid w:val="31B554DD"/>
    <w:rsid w:val="31B6991C"/>
    <w:rsid w:val="327E39AF"/>
    <w:rsid w:val="3316A335"/>
    <w:rsid w:val="3382E28F"/>
    <w:rsid w:val="3392C4F6"/>
    <w:rsid w:val="3409D9DD"/>
    <w:rsid w:val="34D09DA7"/>
    <w:rsid w:val="350A8A68"/>
    <w:rsid w:val="35130A7B"/>
    <w:rsid w:val="360AC894"/>
    <w:rsid w:val="363BAAB4"/>
    <w:rsid w:val="365DC166"/>
    <w:rsid w:val="36C15A56"/>
    <w:rsid w:val="372B300E"/>
    <w:rsid w:val="37383AFD"/>
    <w:rsid w:val="37947E5F"/>
    <w:rsid w:val="37E01711"/>
    <w:rsid w:val="37ED0C18"/>
    <w:rsid w:val="37F8E384"/>
    <w:rsid w:val="382BE7C6"/>
    <w:rsid w:val="3840A95B"/>
    <w:rsid w:val="386AC6FA"/>
    <w:rsid w:val="38B669C2"/>
    <w:rsid w:val="38B734FE"/>
    <w:rsid w:val="38CCA559"/>
    <w:rsid w:val="3906B4C3"/>
    <w:rsid w:val="396F3915"/>
    <w:rsid w:val="39916076"/>
    <w:rsid w:val="39E5824D"/>
    <w:rsid w:val="3A185692"/>
    <w:rsid w:val="3AA5F928"/>
    <w:rsid w:val="3ACA1CF7"/>
    <w:rsid w:val="3B444F13"/>
    <w:rsid w:val="3B467CDA"/>
    <w:rsid w:val="3B47FEAB"/>
    <w:rsid w:val="3BF64B4F"/>
    <w:rsid w:val="3C52E207"/>
    <w:rsid w:val="3CA1AF53"/>
    <w:rsid w:val="3CA9EEDC"/>
    <w:rsid w:val="3D4E7290"/>
    <w:rsid w:val="3D501665"/>
    <w:rsid w:val="3D7FF196"/>
    <w:rsid w:val="3D9DA867"/>
    <w:rsid w:val="3D9F3CE2"/>
    <w:rsid w:val="3DA7C6C1"/>
    <w:rsid w:val="3DFE51FA"/>
    <w:rsid w:val="3E010005"/>
    <w:rsid w:val="3E0FE959"/>
    <w:rsid w:val="3E5CC2FD"/>
    <w:rsid w:val="3F198597"/>
    <w:rsid w:val="3F58CCEE"/>
    <w:rsid w:val="3F8325E5"/>
    <w:rsid w:val="3F9703FF"/>
    <w:rsid w:val="401B992E"/>
    <w:rsid w:val="4057F2F2"/>
    <w:rsid w:val="40C1A73A"/>
    <w:rsid w:val="40E7DE59"/>
    <w:rsid w:val="417AEAAC"/>
    <w:rsid w:val="41DC7BE4"/>
    <w:rsid w:val="4216172F"/>
    <w:rsid w:val="422768FB"/>
    <w:rsid w:val="426BDAFB"/>
    <w:rsid w:val="42877FC5"/>
    <w:rsid w:val="429AB6AB"/>
    <w:rsid w:val="439DA562"/>
    <w:rsid w:val="44AD9A79"/>
    <w:rsid w:val="44CC6AB3"/>
    <w:rsid w:val="454CE6D7"/>
    <w:rsid w:val="45A2E248"/>
    <w:rsid w:val="45D2F5A2"/>
    <w:rsid w:val="46A19499"/>
    <w:rsid w:val="46AA4F35"/>
    <w:rsid w:val="46DD6877"/>
    <w:rsid w:val="46F892CC"/>
    <w:rsid w:val="473142DF"/>
    <w:rsid w:val="47D321F7"/>
    <w:rsid w:val="47D44621"/>
    <w:rsid w:val="4839C779"/>
    <w:rsid w:val="491540FB"/>
    <w:rsid w:val="494B533E"/>
    <w:rsid w:val="496E2024"/>
    <w:rsid w:val="49767DB4"/>
    <w:rsid w:val="498E0DAB"/>
    <w:rsid w:val="49A710BD"/>
    <w:rsid w:val="49F558F2"/>
    <w:rsid w:val="4A2E68B2"/>
    <w:rsid w:val="4A3E0B4F"/>
    <w:rsid w:val="4A43F141"/>
    <w:rsid w:val="4A87F2AC"/>
    <w:rsid w:val="4B1167A2"/>
    <w:rsid w:val="4B25158B"/>
    <w:rsid w:val="4B47D6F1"/>
    <w:rsid w:val="4B58B46B"/>
    <w:rsid w:val="4B73458C"/>
    <w:rsid w:val="4BF1F1AA"/>
    <w:rsid w:val="4C0E4508"/>
    <w:rsid w:val="4C15C557"/>
    <w:rsid w:val="4C4AD41B"/>
    <w:rsid w:val="4C576189"/>
    <w:rsid w:val="4C714AD4"/>
    <w:rsid w:val="4C8A1CB0"/>
    <w:rsid w:val="4C9AC81E"/>
    <w:rsid w:val="4CA25EC2"/>
    <w:rsid w:val="4D34A2C1"/>
    <w:rsid w:val="4DB9A0A2"/>
    <w:rsid w:val="4E141D99"/>
    <w:rsid w:val="4E6F79D6"/>
    <w:rsid w:val="4EC51676"/>
    <w:rsid w:val="4F18DB64"/>
    <w:rsid w:val="4F2CD024"/>
    <w:rsid w:val="4F62A95C"/>
    <w:rsid w:val="4F6E3ACA"/>
    <w:rsid w:val="4F75735E"/>
    <w:rsid w:val="4F96061E"/>
    <w:rsid w:val="4FBCD57E"/>
    <w:rsid w:val="50553850"/>
    <w:rsid w:val="50BA81E2"/>
    <w:rsid w:val="50C8B9E6"/>
    <w:rsid w:val="51128D28"/>
    <w:rsid w:val="512840DD"/>
    <w:rsid w:val="51CD05E1"/>
    <w:rsid w:val="51E6C959"/>
    <w:rsid w:val="51FF1760"/>
    <w:rsid w:val="5221E943"/>
    <w:rsid w:val="52406229"/>
    <w:rsid w:val="5240F013"/>
    <w:rsid w:val="5335FC42"/>
    <w:rsid w:val="5349BE0B"/>
    <w:rsid w:val="541487FB"/>
    <w:rsid w:val="5438C405"/>
    <w:rsid w:val="54473C88"/>
    <w:rsid w:val="5460EDA9"/>
    <w:rsid w:val="55070812"/>
    <w:rsid w:val="550719AA"/>
    <w:rsid w:val="551989B8"/>
    <w:rsid w:val="55366A7F"/>
    <w:rsid w:val="553F8393"/>
    <w:rsid w:val="55CB6C0C"/>
    <w:rsid w:val="55E20EF8"/>
    <w:rsid w:val="55F1879D"/>
    <w:rsid w:val="56282036"/>
    <w:rsid w:val="56411DF7"/>
    <w:rsid w:val="565C4EBA"/>
    <w:rsid w:val="569C79CC"/>
    <w:rsid w:val="56A15D8A"/>
    <w:rsid w:val="56B3248B"/>
    <w:rsid w:val="56C852E3"/>
    <w:rsid w:val="574514B3"/>
    <w:rsid w:val="57783546"/>
    <w:rsid w:val="57C08449"/>
    <w:rsid w:val="57E7CBD3"/>
    <w:rsid w:val="58248A95"/>
    <w:rsid w:val="582771E2"/>
    <w:rsid w:val="582E6F77"/>
    <w:rsid w:val="583D5DDF"/>
    <w:rsid w:val="585BFF21"/>
    <w:rsid w:val="58DA90C1"/>
    <w:rsid w:val="58FC3343"/>
    <w:rsid w:val="5974BC26"/>
    <w:rsid w:val="59CA39B1"/>
    <w:rsid w:val="5A21FFAA"/>
    <w:rsid w:val="5A986CAD"/>
    <w:rsid w:val="5B43E65A"/>
    <w:rsid w:val="5B6471F6"/>
    <w:rsid w:val="5B731C4C"/>
    <w:rsid w:val="5C04A82F"/>
    <w:rsid w:val="5C40CB75"/>
    <w:rsid w:val="5C45D43A"/>
    <w:rsid w:val="5C707401"/>
    <w:rsid w:val="5CC0AE8A"/>
    <w:rsid w:val="5CEE65A5"/>
    <w:rsid w:val="5D16C8C9"/>
    <w:rsid w:val="5D4018BB"/>
    <w:rsid w:val="5D83484C"/>
    <w:rsid w:val="5D91EFBD"/>
    <w:rsid w:val="5D9B500C"/>
    <w:rsid w:val="5DE35805"/>
    <w:rsid w:val="5E505784"/>
    <w:rsid w:val="5E652FA0"/>
    <w:rsid w:val="5E8CDC53"/>
    <w:rsid w:val="5F28BB06"/>
    <w:rsid w:val="5F445CA8"/>
    <w:rsid w:val="5F9F5623"/>
    <w:rsid w:val="5FC240B9"/>
    <w:rsid w:val="5FF2DF49"/>
    <w:rsid w:val="6004B375"/>
    <w:rsid w:val="602E4115"/>
    <w:rsid w:val="60443AF4"/>
    <w:rsid w:val="60A67122"/>
    <w:rsid w:val="60CA5D05"/>
    <w:rsid w:val="60E0C410"/>
    <w:rsid w:val="60FC28AE"/>
    <w:rsid w:val="60FEB233"/>
    <w:rsid w:val="6185219D"/>
    <w:rsid w:val="619D55A1"/>
    <w:rsid w:val="61A3E8F1"/>
    <w:rsid w:val="61ABC88D"/>
    <w:rsid w:val="61AF26A6"/>
    <w:rsid w:val="61D7372B"/>
    <w:rsid w:val="61D8D6BF"/>
    <w:rsid w:val="61F0382A"/>
    <w:rsid w:val="621E38FE"/>
    <w:rsid w:val="627437ED"/>
    <w:rsid w:val="628D3F60"/>
    <w:rsid w:val="62AE8DB6"/>
    <w:rsid w:val="62DA884C"/>
    <w:rsid w:val="62E63D71"/>
    <w:rsid w:val="62F6BBC3"/>
    <w:rsid w:val="63A86B6C"/>
    <w:rsid w:val="63D5B836"/>
    <w:rsid w:val="647DBD6B"/>
    <w:rsid w:val="64A1FEEF"/>
    <w:rsid w:val="64C48B84"/>
    <w:rsid w:val="64F59EA4"/>
    <w:rsid w:val="651C7DB8"/>
    <w:rsid w:val="653244CE"/>
    <w:rsid w:val="6549C48D"/>
    <w:rsid w:val="65A09E7A"/>
    <w:rsid w:val="65C590C6"/>
    <w:rsid w:val="6636BD4E"/>
    <w:rsid w:val="66544441"/>
    <w:rsid w:val="66AAD021"/>
    <w:rsid w:val="67237223"/>
    <w:rsid w:val="675A0EB8"/>
    <w:rsid w:val="67CB224E"/>
    <w:rsid w:val="683A8F57"/>
    <w:rsid w:val="68AF3DDA"/>
    <w:rsid w:val="69097357"/>
    <w:rsid w:val="690DBE22"/>
    <w:rsid w:val="690F84CC"/>
    <w:rsid w:val="695B167C"/>
    <w:rsid w:val="6A773C19"/>
    <w:rsid w:val="6AB57C49"/>
    <w:rsid w:val="6AF5D4D9"/>
    <w:rsid w:val="6AF93108"/>
    <w:rsid w:val="6BC59DC4"/>
    <w:rsid w:val="6BE113C6"/>
    <w:rsid w:val="6C3E98F3"/>
    <w:rsid w:val="6CC3801F"/>
    <w:rsid w:val="6CDA7F43"/>
    <w:rsid w:val="6D70FD12"/>
    <w:rsid w:val="6D8F9F92"/>
    <w:rsid w:val="6DBAAECB"/>
    <w:rsid w:val="6DC95073"/>
    <w:rsid w:val="6E167457"/>
    <w:rsid w:val="6E296C7D"/>
    <w:rsid w:val="6E464B03"/>
    <w:rsid w:val="6E97B006"/>
    <w:rsid w:val="6F3668C8"/>
    <w:rsid w:val="7007A6F2"/>
    <w:rsid w:val="70A7E8EF"/>
    <w:rsid w:val="70C66676"/>
    <w:rsid w:val="711F6B5E"/>
    <w:rsid w:val="71831240"/>
    <w:rsid w:val="71C94979"/>
    <w:rsid w:val="71D10AD6"/>
    <w:rsid w:val="71D1BD5A"/>
    <w:rsid w:val="71DDA6C5"/>
    <w:rsid w:val="728F2918"/>
    <w:rsid w:val="72FBE52B"/>
    <w:rsid w:val="73235BF1"/>
    <w:rsid w:val="733F3335"/>
    <w:rsid w:val="73A203EC"/>
    <w:rsid w:val="7422B74E"/>
    <w:rsid w:val="744EB332"/>
    <w:rsid w:val="7476D77F"/>
    <w:rsid w:val="749FFC7F"/>
    <w:rsid w:val="74E2881B"/>
    <w:rsid w:val="74ED43B0"/>
    <w:rsid w:val="757A9BA7"/>
    <w:rsid w:val="75D7F2C7"/>
    <w:rsid w:val="75FC8A68"/>
    <w:rsid w:val="7684CC55"/>
    <w:rsid w:val="76917AE8"/>
    <w:rsid w:val="76BE8FD1"/>
    <w:rsid w:val="774A3906"/>
    <w:rsid w:val="776EA0FC"/>
    <w:rsid w:val="77B51F56"/>
    <w:rsid w:val="7848CF48"/>
    <w:rsid w:val="784C86ED"/>
    <w:rsid w:val="786531D4"/>
    <w:rsid w:val="78B00EE0"/>
    <w:rsid w:val="78FB509E"/>
    <w:rsid w:val="79CD59AB"/>
    <w:rsid w:val="79E6930A"/>
    <w:rsid w:val="7A24CA1A"/>
    <w:rsid w:val="7A36D86D"/>
    <w:rsid w:val="7B123676"/>
    <w:rsid w:val="7B531335"/>
    <w:rsid w:val="7B9CEB06"/>
    <w:rsid w:val="7BA62326"/>
    <w:rsid w:val="7BBE7AAC"/>
    <w:rsid w:val="7BD20599"/>
    <w:rsid w:val="7C2B5105"/>
    <w:rsid w:val="7C6C5EA4"/>
    <w:rsid w:val="7CC1F89D"/>
    <w:rsid w:val="7D1E08DC"/>
    <w:rsid w:val="7D63B0E5"/>
    <w:rsid w:val="7D6633D5"/>
    <w:rsid w:val="7D70886F"/>
    <w:rsid w:val="7D7D8A68"/>
    <w:rsid w:val="7DB0AAB1"/>
    <w:rsid w:val="7EBCA8B8"/>
    <w:rsid w:val="7EDED46A"/>
    <w:rsid w:val="7EE8DED7"/>
    <w:rsid w:val="7EF046AA"/>
    <w:rsid w:val="7F000567"/>
    <w:rsid w:val="7F353372"/>
    <w:rsid w:val="7F533905"/>
    <w:rsid w:val="7F637A44"/>
    <w:rsid w:val="7FA26961"/>
    <w:rsid w:val="7FEEB3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357770"/>
  <w15:chartTrackingRefBased/>
  <w15:docId w15:val="{BDB9309A-3055-4A6A-9778-D0FEEE9D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link w:val="Nadpis1Char"/>
    <w:uiPriority w:val="1"/>
    <w:qFormat/>
    <w:rsid w:val="0117B955"/>
    <w:pPr>
      <w:keepNext/>
      <w:spacing w:before="240" w:after="120" w:line="240" w:lineRule="auto"/>
      <w:jc w:val="center"/>
      <w:outlineLvl w:val="0"/>
    </w:pPr>
    <w:rPr>
      <w:rFonts w:ascii="Times New Roman" w:eastAsiaTheme="majorEastAsia" w:hAnsi="Times New Roman" w:cs="Arial"/>
      <w:b/>
      <w:bCs/>
      <w:sz w:val="36"/>
      <w:szCs w:val="36"/>
      <w:lang w:eastAsia="cs-CZ"/>
    </w:rPr>
  </w:style>
  <w:style w:type="paragraph" w:styleId="Nadpis2">
    <w:name w:val="heading 2"/>
    <w:link w:val="Nadpis2Char"/>
    <w:uiPriority w:val="1"/>
    <w:unhideWhenUsed/>
    <w:qFormat/>
    <w:rsid w:val="0117B955"/>
    <w:pPr>
      <w:keepNext/>
      <w:spacing w:before="240" w:after="120" w:line="240" w:lineRule="auto"/>
      <w:jc w:val="center"/>
      <w:outlineLvl w:val="1"/>
    </w:pPr>
    <w:rPr>
      <w:rFonts w:ascii="Times New Roman" w:eastAsia="Times New Roman" w:hAnsi="Times New Roman" w:cs="Arial"/>
      <w:b/>
      <w:bCs/>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
    <w:name w:val="1"/>
    <w:rsid w:val="00EA3329"/>
    <w:pPr>
      <w:spacing w:before="11" w:after="0" w:line="240" w:lineRule="auto"/>
    </w:pPr>
    <w:rPr>
      <w:rFonts w:ascii="Times New Roman" w:eastAsia="Times New Roman" w:hAnsi="Times New Roman" w:cs="Times New Roman"/>
      <w:sz w:val="0"/>
      <w:szCs w:val="20"/>
    </w:rPr>
  </w:style>
  <w:style w:type="paragraph" w:customStyle="1" w:styleId="3">
    <w:name w:val="3"/>
    <w:rsid w:val="00EA3329"/>
    <w:pPr>
      <w:spacing w:after="340" w:line="240" w:lineRule="auto"/>
      <w:ind w:left="680" w:right="680"/>
      <w:jc w:val="center"/>
    </w:pPr>
    <w:rPr>
      <w:rFonts w:ascii="Times New Roman" w:eastAsia="Times New Roman" w:hAnsi="Times New Roman" w:cs="Times New Roman"/>
      <w:b/>
      <w:sz w:val="44"/>
      <w:szCs w:val="20"/>
    </w:rPr>
  </w:style>
  <w:style w:type="paragraph" w:customStyle="1" w:styleId="5">
    <w:name w:val="5"/>
    <w:rsid w:val="00EA3329"/>
    <w:pPr>
      <w:spacing w:before="510" w:after="0" w:line="240" w:lineRule="auto"/>
      <w:ind w:left="850" w:right="850"/>
      <w:jc w:val="center"/>
    </w:pPr>
    <w:rPr>
      <w:rFonts w:ascii="Times New Roman" w:eastAsia="Times New Roman" w:hAnsi="Times New Roman" w:cs="Times New Roman"/>
      <w:b/>
      <w:sz w:val="32"/>
      <w:szCs w:val="20"/>
    </w:rPr>
  </w:style>
  <w:style w:type="paragraph" w:customStyle="1" w:styleId="6">
    <w:name w:val="6"/>
    <w:rsid w:val="00EA3329"/>
    <w:pPr>
      <w:spacing w:before="283" w:after="113" w:line="240" w:lineRule="auto"/>
      <w:ind w:left="340" w:hanging="340"/>
    </w:pPr>
    <w:rPr>
      <w:rFonts w:ascii="Times New Roman" w:eastAsia="Times New Roman" w:hAnsi="Times New Roman" w:cs="Times New Roman"/>
      <w:b/>
      <w:sz w:val="26"/>
      <w:szCs w:val="20"/>
    </w:rPr>
  </w:style>
  <w:style w:type="paragraph" w:customStyle="1" w:styleId="8">
    <w:name w:val="8"/>
    <w:rsid w:val="00EA3329"/>
    <w:pPr>
      <w:spacing w:after="57" w:line="240" w:lineRule="auto"/>
      <w:jc w:val="both"/>
    </w:pPr>
    <w:rPr>
      <w:rFonts w:ascii="Times New Roman" w:eastAsia="Times New Roman" w:hAnsi="Times New Roman" w:cs="Times New Roman"/>
      <w:szCs w:val="20"/>
    </w:rPr>
  </w:style>
  <w:style w:type="paragraph" w:customStyle="1" w:styleId="9">
    <w:name w:val="9"/>
    <w:rsid w:val="00EA3329"/>
    <w:pPr>
      <w:spacing w:before="170" w:after="57" w:line="240" w:lineRule="auto"/>
      <w:ind w:left="510" w:hanging="510"/>
    </w:pPr>
    <w:rPr>
      <w:rFonts w:ascii="Times New Roman" w:eastAsia="Times New Roman" w:hAnsi="Times New Roman" w:cs="Times New Roman"/>
      <w:b/>
      <w:sz w:val="26"/>
      <w:szCs w:val="20"/>
    </w:rPr>
  </w:style>
  <w:style w:type="paragraph" w:styleId="Odstavecseseznamem">
    <w:name w:val="List Paragraph"/>
    <w:link w:val="OdstavecseseznamemChar"/>
    <w:uiPriority w:val="34"/>
    <w:qFormat/>
    <w:rsid w:val="0117B955"/>
    <w:pPr>
      <w:spacing w:line="259" w:lineRule="auto"/>
      <w:ind w:left="720"/>
      <w:contextualSpacing/>
    </w:pPr>
    <w:rPr>
      <w:sz w:val="22"/>
      <w:szCs w:val="22"/>
    </w:rPr>
  </w:style>
  <w:style w:type="character" w:styleId="Odkaznakoment">
    <w:name w:val="annotation reference"/>
    <w:basedOn w:val="Standardnpsmoodstavce"/>
    <w:semiHidden/>
    <w:unhideWhenUsed/>
    <w:rsid w:val="00EA3329"/>
    <w:rPr>
      <w:sz w:val="16"/>
      <w:szCs w:val="16"/>
    </w:rPr>
  </w:style>
  <w:style w:type="paragraph" w:styleId="Textkomente">
    <w:name w:val="annotation text"/>
    <w:link w:val="TextkomenteChar"/>
    <w:uiPriority w:val="1"/>
    <w:semiHidden/>
    <w:unhideWhenUsed/>
    <w:rsid w:val="0117B955"/>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semiHidden/>
    <w:rsid w:val="00EA3329"/>
    <w:rPr>
      <w:rFonts w:ascii="Times New Roman" w:eastAsia="Times New Roman" w:hAnsi="Times New Roman" w:cs="Times New Roman"/>
      <w:sz w:val="20"/>
      <w:szCs w:val="20"/>
    </w:rPr>
  </w:style>
  <w:style w:type="paragraph" w:customStyle="1" w:styleId="Dvodovzprva">
    <w:name w:val="Důvodová zpráva"/>
    <w:link w:val="DvodovzprvaChar"/>
    <w:uiPriority w:val="99"/>
    <w:qFormat/>
    <w:rsid w:val="0117B955"/>
    <w:pPr>
      <w:spacing w:before="120" w:after="0" w:line="240" w:lineRule="auto"/>
      <w:jc w:val="both"/>
    </w:pPr>
    <w:rPr>
      <w:rFonts w:ascii="Arial" w:eastAsia="Times New Roman" w:hAnsi="Arial" w:cs="Times New Roman"/>
      <w:color w:val="0000FF"/>
      <w:sz w:val="22"/>
      <w:szCs w:val="22"/>
      <w:lang w:eastAsia="cs-CZ"/>
    </w:rPr>
  </w:style>
  <w:style w:type="character" w:customStyle="1" w:styleId="DvodovzprvaChar">
    <w:name w:val="Důvodová zpráva Char"/>
    <w:link w:val="Dvodovzprva"/>
    <w:uiPriority w:val="99"/>
    <w:locked/>
    <w:rsid w:val="00EA3329"/>
    <w:rPr>
      <w:rFonts w:ascii="Arial" w:eastAsia="Times New Roman" w:hAnsi="Arial" w:cs="Times New Roman"/>
      <w:color w:val="0000FF"/>
      <w:sz w:val="22"/>
      <w:szCs w:val="20"/>
      <w:lang w:eastAsia="cs-CZ"/>
    </w:rPr>
  </w:style>
  <w:style w:type="paragraph" w:customStyle="1" w:styleId="Dvodovzprvakbodu">
    <w:name w:val="Důvodová zpráva (k bodu)"/>
    <w:basedOn w:val="Dvodovzprva"/>
    <w:next w:val="Dvodovzprva"/>
    <w:qFormat/>
    <w:rsid w:val="00EA3329"/>
    <w:pPr>
      <w:keepNext/>
      <w:outlineLvl w:val="2"/>
    </w:pPr>
    <w:rPr>
      <w:b/>
    </w:rPr>
  </w:style>
  <w:style w:type="paragraph" w:customStyle="1" w:styleId="CELEX">
    <w:name w:val="CELEX"/>
    <w:uiPriority w:val="99"/>
    <w:rsid w:val="0117B955"/>
    <w:pPr>
      <w:spacing w:before="60" w:after="0" w:line="240" w:lineRule="auto"/>
      <w:jc w:val="both"/>
    </w:pPr>
    <w:rPr>
      <w:rFonts w:ascii="Times New Roman" w:eastAsia="Times New Roman" w:hAnsi="Times New Roman" w:cs="Times New Roman"/>
      <w:i/>
      <w:iCs/>
      <w:sz w:val="20"/>
      <w:szCs w:val="20"/>
      <w:lang w:eastAsia="cs-CZ"/>
    </w:rPr>
  </w:style>
  <w:style w:type="character" w:customStyle="1" w:styleId="Nadpis1Char">
    <w:name w:val="Nadpis 1 Char"/>
    <w:basedOn w:val="Standardnpsmoodstavce"/>
    <w:link w:val="Nadpis1"/>
    <w:rsid w:val="007E460F"/>
    <w:rPr>
      <w:rFonts w:ascii="Times New Roman" w:eastAsiaTheme="majorEastAsia" w:hAnsi="Times New Roman" w:cs="Arial"/>
      <w:b/>
      <w:bCs/>
      <w:kern w:val="32"/>
      <w:sz w:val="36"/>
      <w:szCs w:val="32"/>
      <w:lang w:eastAsia="cs-CZ"/>
    </w:rPr>
  </w:style>
  <w:style w:type="character" w:customStyle="1" w:styleId="Nadpis2Char">
    <w:name w:val="Nadpis 2 Char"/>
    <w:basedOn w:val="Standardnpsmoodstavce"/>
    <w:link w:val="Nadpis2"/>
    <w:rsid w:val="00D81724"/>
    <w:rPr>
      <w:rFonts w:ascii="Times New Roman" w:eastAsia="Times New Roman" w:hAnsi="Times New Roman" w:cs="Arial"/>
      <w:b/>
      <w:bCs/>
      <w:iCs/>
      <w:sz w:val="32"/>
      <w:szCs w:val="28"/>
      <w:lang w:eastAsia="cs-CZ"/>
    </w:rPr>
  </w:style>
  <w:style w:type="paragraph" w:customStyle="1" w:styleId="Ucinnoststart">
    <w:name w:val="Ucinnost_start"/>
    <w:rsid w:val="00235380"/>
    <w:pPr>
      <w:pBdr>
        <w:top w:val="single" w:sz="8" w:space="0" w:color="8B0000"/>
      </w:pBdr>
      <w:spacing w:after="100" w:line="240" w:lineRule="auto"/>
    </w:pPr>
    <w:rPr>
      <w:rFonts w:ascii="Times New Roman" w:eastAsia="Times New Roman" w:hAnsi="Times New Roman" w:cs="Times New Roman"/>
      <w:b/>
      <w:i/>
      <w:color w:val="8B0000"/>
      <w:sz w:val="20"/>
      <w:szCs w:val="20"/>
    </w:rPr>
  </w:style>
  <w:style w:type="paragraph" w:customStyle="1" w:styleId="Default">
    <w:name w:val="Default"/>
    <w:qFormat/>
    <w:rsid w:val="00417C7E"/>
    <w:pPr>
      <w:autoSpaceDE w:val="0"/>
      <w:autoSpaceDN w:val="0"/>
      <w:adjustRightInd w:val="0"/>
      <w:spacing w:after="0" w:line="240" w:lineRule="auto"/>
    </w:pPr>
    <w:rPr>
      <w:rFonts w:ascii="Times New Roman" w:eastAsiaTheme="minorEastAsia" w:hAnsi="Times New Roman" w:cs="Times New Roman"/>
      <w:color w:val="000000"/>
      <w:lang w:eastAsia="cs-CZ"/>
    </w:rPr>
  </w:style>
  <w:style w:type="character" w:customStyle="1" w:styleId="OdstavecseseznamemChar">
    <w:name w:val="Odstavec se seznamem Char"/>
    <w:link w:val="Odstavecseseznamem"/>
    <w:uiPriority w:val="34"/>
    <w:qFormat/>
    <w:locked/>
    <w:rsid w:val="00417C7E"/>
    <w:rPr>
      <w:sz w:val="22"/>
      <w:szCs w:val="22"/>
    </w:rPr>
  </w:style>
  <w:style w:type="paragraph" w:styleId="Pedmtkomente">
    <w:name w:val="annotation subject"/>
    <w:basedOn w:val="Textkomente"/>
    <w:next w:val="Textkomente"/>
    <w:link w:val="PedmtkomenteChar"/>
    <w:uiPriority w:val="99"/>
    <w:semiHidden/>
    <w:unhideWhenUsed/>
    <w:rsid w:val="00F757CB"/>
    <w:pPr>
      <w:spacing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F757CB"/>
    <w:rPr>
      <w:rFonts w:ascii="Times New Roman" w:eastAsia="Times New Roman" w:hAnsi="Times New Roman" w:cs="Times New Roman"/>
      <w:b/>
      <w:bCs/>
      <w:sz w:val="20"/>
      <w:szCs w:val="20"/>
    </w:rPr>
  </w:style>
  <w:style w:type="paragraph" w:customStyle="1" w:styleId="Textpechodka">
    <w:name w:val="Text přechodka"/>
    <w:uiPriority w:val="1"/>
    <w:qFormat/>
    <w:rsid w:val="0117B955"/>
    <w:pPr>
      <w:spacing w:after="0" w:line="240" w:lineRule="auto"/>
      <w:jc w:val="both"/>
    </w:pPr>
    <w:rPr>
      <w:rFonts w:eastAsiaTheme="minorEastAsia"/>
      <w:lang w:eastAsia="cs-CZ"/>
    </w:rPr>
  </w:style>
  <w:style w:type="paragraph" w:styleId="Revize">
    <w:name w:val="Revision"/>
    <w:hidden/>
    <w:uiPriority w:val="99"/>
    <w:semiHidden/>
    <w:rsid w:val="006F6B44"/>
    <w:pPr>
      <w:spacing w:after="0" w:line="240" w:lineRule="auto"/>
    </w:pPr>
  </w:style>
  <w:style w:type="paragraph" w:customStyle="1" w:styleId="Dvodovzprvaknovlnku">
    <w:name w:val="Důvodová zpráva (k nov. článku)"/>
    <w:basedOn w:val="Dvodovzprvakbodu"/>
    <w:next w:val="Dvodovzprva"/>
    <w:qFormat/>
    <w:rsid w:val="00755E5C"/>
    <w:pPr>
      <w:outlineLvl w:val="0"/>
    </w:pPr>
    <w:rPr>
      <w:sz w:val="24"/>
      <w:szCs w:val="20"/>
    </w:rPr>
  </w:style>
  <w:style w:type="paragraph" w:styleId="Zhlav">
    <w:name w:val="header"/>
    <w:basedOn w:val="Normln"/>
    <w:link w:val="ZhlavChar"/>
    <w:uiPriority w:val="99"/>
    <w:unhideWhenUsed/>
    <w:rsid w:val="007121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1211F"/>
  </w:style>
  <w:style w:type="paragraph" w:styleId="Zpat">
    <w:name w:val="footer"/>
    <w:basedOn w:val="Normln"/>
    <w:link w:val="ZpatChar"/>
    <w:uiPriority w:val="99"/>
    <w:unhideWhenUsed/>
    <w:rsid w:val="0071211F"/>
    <w:pPr>
      <w:tabs>
        <w:tab w:val="center" w:pos="4536"/>
        <w:tab w:val="right" w:pos="9072"/>
      </w:tabs>
      <w:spacing w:after="0" w:line="240" w:lineRule="auto"/>
    </w:pPr>
  </w:style>
  <w:style w:type="character" w:customStyle="1" w:styleId="ZpatChar">
    <w:name w:val="Zápatí Char"/>
    <w:basedOn w:val="Standardnpsmoodstavce"/>
    <w:link w:val="Zpat"/>
    <w:uiPriority w:val="99"/>
    <w:rsid w:val="00712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050336">
      <w:bodyDiv w:val="1"/>
      <w:marLeft w:val="0"/>
      <w:marRight w:val="0"/>
      <w:marTop w:val="0"/>
      <w:marBottom w:val="0"/>
      <w:divBdr>
        <w:top w:val="none" w:sz="0" w:space="0" w:color="auto"/>
        <w:left w:val="none" w:sz="0" w:space="0" w:color="auto"/>
        <w:bottom w:val="none" w:sz="0" w:space="0" w:color="auto"/>
        <w:right w:val="none" w:sz="0" w:space="0" w:color="auto"/>
      </w:divBdr>
    </w:div>
    <w:div w:id="1273123047">
      <w:bodyDiv w:val="1"/>
      <w:marLeft w:val="0"/>
      <w:marRight w:val="0"/>
      <w:marTop w:val="0"/>
      <w:marBottom w:val="0"/>
      <w:divBdr>
        <w:top w:val="none" w:sz="0" w:space="0" w:color="auto"/>
        <w:left w:val="none" w:sz="0" w:space="0" w:color="auto"/>
        <w:bottom w:val="none" w:sz="0" w:space="0" w:color="auto"/>
        <w:right w:val="none" w:sz="0" w:space="0" w:color="auto"/>
      </w:divBdr>
    </w:div>
    <w:div w:id="185939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E80BD2CC09D9458CD1707A4C1E9E71" ma:contentTypeVersion="10" ma:contentTypeDescription="Vytvoří nový dokument" ma:contentTypeScope="" ma:versionID="ce4067102982c9cb9161102b9d7b60d7">
  <xsd:schema xmlns:xsd="http://www.w3.org/2001/XMLSchema" xmlns:xs="http://www.w3.org/2001/XMLSchema" xmlns:p="http://schemas.microsoft.com/office/2006/metadata/properties" xmlns:ns2="d83aee56-ffaf-459a-b196-6a8dfb455ef7" xmlns:ns3="1d457c51-b797-4182-928a-400bf6487635" targetNamespace="http://schemas.microsoft.com/office/2006/metadata/properties" ma:root="true" ma:fieldsID="e61c7cda0499b7a73381001c85998d15" ns2:_="" ns3:_="">
    <xsd:import namespace="d83aee56-ffaf-459a-b196-6a8dfb455ef7"/>
    <xsd:import namespace="1d457c51-b797-4182-928a-400bf64876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aee56-ffaf-459a-b196-6a8dfb455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457c51-b797-4182-928a-400bf648763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28407-5B1C-4269-8B3A-F9D68A928BC3}">
  <ds:schemaRefs>
    <ds:schemaRef ds:uri="http://schemas.microsoft.com/sharepoint/v3/contenttype/forms"/>
  </ds:schemaRefs>
</ds:datastoreItem>
</file>

<file path=customXml/itemProps2.xml><?xml version="1.0" encoding="utf-8"?>
<ds:datastoreItem xmlns:ds="http://schemas.openxmlformats.org/officeDocument/2006/customXml" ds:itemID="{28E8B8B8-F552-414C-8E2C-5053774343A3}">
  <ds:schemaRefs>
    <ds:schemaRef ds:uri="1d457c51-b797-4182-928a-400bf6487635"/>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www.w3.org/XML/1998/namespace"/>
    <ds:schemaRef ds:uri="http://schemas.openxmlformats.org/package/2006/metadata/core-properties"/>
    <ds:schemaRef ds:uri="d83aee56-ffaf-459a-b196-6a8dfb455ef7"/>
    <ds:schemaRef ds:uri="http://purl.org/dc/dcmitype/"/>
  </ds:schemaRefs>
</ds:datastoreItem>
</file>

<file path=customXml/itemProps3.xml><?xml version="1.0" encoding="utf-8"?>
<ds:datastoreItem xmlns:ds="http://schemas.openxmlformats.org/officeDocument/2006/customXml" ds:itemID="{214DB15C-8BB7-4859-B012-AA1CDA1FB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aee56-ffaf-459a-b196-6a8dfb455ef7"/>
    <ds:schemaRef ds:uri="1d457c51-b797-4182-928a-400bf648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22</Pages>
  <Words>10056</Words>
  <Characters>59337</Characters>
  <Application>Microsoft Office Word</Application>
  <DocSecurity>0</DocSecurity>
  <Lines>494</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Hlista Jakub Mgr.</cp:lastModifiedBy>
  <cp:revision>138</cp:revision>
  <dcterms:created xsi:type="dcterms:W3CDTF">2026-03-06T07:24:00Z</dcterms:created>
  <dcterms:modified xsi:type="dcterms:W3CDTF">2026-03-09T11:15:00Z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0x01010081E80BD2CC09D9458CD1707A4C1E9E71</vt:lpwstr>
  </property>
</Properties>
</file>