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3FDE6" w14:textId="77777777" w:rsidR="00BF3B44" w:rsidRDefault="008D69B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bookmarkStart w:id="0" w:name="_heading=h.cqhm895kev5k" w:colFirst="0" w:colLast="0"/>
      <w:bookmarkEnd w:id="0"/>
      <w:r>
        <w:rPr>
          <w:noProof/>
          <w:color w:val="000000"/>
          <w:sz w:val="24"/>
          <w:szCs w:val="24"/>
        </w:rPr>
        <w:drawing>
          <wp:inline distT="0" distB="0" distL="114300" distR="114300" wp14:anchorId="57D3FE1A" wp14:editId="57D3FE1B">
            <wp:extent cx="4537710" cy="1282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128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D3FDE7" w14:textId="4C65FB57" w:rsidR="00BF3B44" w:rsidRDefault="008D69B5">
      <w:pPr>
        <w:pBdr>
          <w:top w:val="nil"/>
          <w:left w:val="nil"/>
          <w:bottom w:val="nil"/>
          <w:right w:val="nil"/>
          <w:between w:val="nil"/>
        </w:pBdr>
        <w:ind w:left="5664"/>
        <w:jc w:val="both"/>
        <w:rPr>
          <w:color w:val="000000"/>
        </w:rPr>
      </w:pPr>
      <w:r>
        <w:rPr>
          <w:color w:val="000000"/>
        </w:rPr>
        <w:t xml:space="preserve">V Praze dne </w:t>
      </w:r>
      <w:r w:rsidR="000A7742">
        <w:rPr>
          <w:color w:val="000000"/>
        </w:rPr>
        <w:t>27</w:t>
      </w:r>
      <w:r>
        <w:rPr>
          <w:color w:val="000000"/>
        </w:rPr>
        <w:t>. dubna 2026</w:t>
      </w:r>
    </w:p>
    <w:p w14:paraId="57D3FDE8" w14:textId="77777777" w:rsidR="00BF3B44" w:rsidRDefault="00BF3B4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</w:p>
    <w:tbl>
      <w:tblPr>
        <w:tblStyle w:val="a"/>
        <w:tblW w:w="906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35"/>
        <w:gridCol w:w="7031"/>
      </w:tblGrid>
      <w:tr w:rsidR="00BF3B44" w14:paraId="57D3FDEB" w14:textId="77777777">
        <w:trPr>
          <w:trHeight w:val="1292"/>
        </w:trPr>
        <w:tc>
          <w:tcPr>
            <w:tcW w:w="2035" w:type="dxa"/>
            <w:vAlign w:val="center"/>
          </w:tcPr>
          <w:p w14:paraId="57D3FDE9" w14:textId="77777777" w:rsidR="00BF3B44" w:rsidRDefault="008D6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Název materiálu:</w:t>
            </w:r>
          </w:p>
        </w:tc>
        <w:tc>
          <w:tcPr>
            <w:tcW w:w="7031" w:type="dxa"/>
            <w:vAlign w:val="center"/>
          </w:tcPr>
          <w:p w14:paraId="57D3FDEA" w14:textId="77777777" w:rsidR="00BF3B44" w:rsidRDefault="008D6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„Návrh zákona o </w:t>
            </w:r>
            <w:proofErr w:type="spellStart"/>
            <w:r>
              <w:rPr>
                <w:b/>
                <w:bCs/>
                <w:color w:val="000000"/>
              </w:rPr>
              <w:t>platformové</w:t>
            </w:r>
            <w:proofErr w:type="spellEnd"/>
            <w:r>
              <w:rPr>
                <w:b/>
                <w:bCs/>
                <w:color w:val="000000"/>
              </w:rPr>
              <w:t xml:space="preserve"> práci a o změně souvisejících zákonů (zákon o </w:t>
            </w:r>
            <w:proofErr w:type="spellStart"/>
            <w:r>
              <w:rPr>
                <w:b/>
                <w:bCs/>
                <w:color w:val="000000"/>
              </w:rPr>
              <w:t>platformové</w:t>
            </w:r>
            <w:proofErr w:type="spellEnd"/>
            <w:r>
              <w:rPr>
                <w:b/>
                <w:bCs/>
                <w:color w:val="000000"/>
              </w:rPr>
              <w:t xml:space="preserve"> práci)“</w:t>
            </w:r>
          </w:p>
        </w:tc>
      </w:tr>
      <w:tr w:rsidR="00BF3B44" w14:paraId="57D3FDEE" w14:textId="77777777">
        <w:trPr>
          <w:trHeight w:val="867"/>
        </w:trPr>
        <w:tc>
          <w:tcPr>
            <w:tcW w:w="2035" w:type="dxa"/>
            <w:vAlign w:val="center"/>
          </w:tcPr>
          <w:p w14:paraId="57D3FDEC" w14:textId="77777777" w:rsidR="00BF3B44" w:rsidRDefault="008D6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Připomínkové místo:</w:t>
            </w:r>
          </w:p>
        </w:tc>
        <w:tc>
          <w:tcPr>
            <w:tcW w:w="7031" w:type="dxa"/>
            <w:vAlign w:val="center"/>
          </w:tcPr>
          <w:p w14:paraId="57D3FDED" w14:textId="77777777" w:rsidR="00BF3B44" w:rsidRDefault="008D6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Asociace malých a středních podniků a živnostníků ČR (AMSP ČR)</w:t>
            </w:r>
          </w:p>
        </w:tc>
      </w:tr>
      <w:tr w:rsidR="00BF3B44" w14:paraId="57D3FDF1" w14:textId="77777777">
        <w:trPr>
          <w:trHeight w:val="441"/>
        </w:trPr>
        <w:tc>
          <w:tcPr>
            <w:tcW w:w="2035" w:type="dxa"/>
            <w:vAlign w:val="center"/>
          </w:tcPr>
          <w:p w14:paraId="57D3FDEF" w14:textId="77777777" w:rsidR="00BF3B44" w:rsidRDefault="008D6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Telefon:</w:t>
            </w:r>
            <w:r>
              <w:rPr>
                <w:b/>
                <w:bCs/>
                <w:color w:val="000000"/>
              </w:rPr>
              <w:tab/>
            </w:r>
          </w:p>
        </w:tc>
        <w:tc>
          <w:tcPr>
            <w:tcW w:w="7031" w:type="dxa"/>
            <w:vAlign w:val="center"/>
          </w:tcPr>
          <w:p w14:paraId="57D3FDF0" w14:textId="377CA151" w:rsidR="00BF3B44" w:rsidRDefault="00283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+420 777 468 297</w:t>
            </w:r>
          </w:p>
        </w:tc>
      </w:tr>
      <w:tr w:rsidR="00BF3B44" w14:paraId="57D3FDF4" w14:textId="77777777">
        <w:trPr>
          <w:trHeight w:val="425"/>
        </w:trPr>
        <w:tc>
          <w:tcPr>
            <w:tcW w:w="2035" w:type="dxa"/>
            <w:vAlign w:val="center"/>
          </w:tcPr>
          <w:p w14:paraId="57D3FDF2" w14:textId="77777777" w:rsidR="00BF3B44" w:rsidRDefault="008D6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e-mail:</w:t>
            </w:r>
          </w:p>
        </w:tc>
        <w:tc>
          <w:tcPr>
            <w:tcW w:w="7031" w:type="dxa"/>
            <w:vAlign w:val="center"/>
          </w:tcPr>
          <w:p w14:paraId="57D3FDF3" w14:textId="0C03B862" w:rsidR="00BF3B44" w:rsidRDefault="00283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pravni@amsp.cz</w:t>
            </w:r>
          </w:p>
        </w:tc>
      </w:tr>
      <w:tr w:rsidR="00BF3B44" w14:paraId="57D3FDF7" w14:textId="77777777">
        <w:trPr>
          <w:trHeight w:val="425"/>
        </w:trPr>
        <w:tc>
          <w:tcPr>
            <w:tcW w:w="2035" w:type="dxa"/>
            <w:vAlign w:val="center"/>
          </w:tcPr>
          <w:p w14:paraId="57D3FDF5" w14:textId="77777777" w:rsidR="00BF3B44" w:rsidRDefault="008D6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Kontaktní osoba:</w:t>
            </w:r>
          </w:p>
        </w:tc>
        <w:tc>
          <w:tcPr>
            <w:tcW w:w="7031" w:type="dxa"/>
            <w:vAlign w:val="center"/>
          </w:tcPr>
          <w:p w14:paraId="57D3FDF6" w14:textId="4D07B574" w:rsidR="00BF3B44" w:rsidRDefault="00283E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Mgr. Jana Bednářová</w:t>
            </w:r>
          </w:p>
        </w:tc>
      </w:tr>
    </w:tbl>
    <w:p w14:paraId="57D3FDF8" w14:textId="77777777" w:rsidR="00BF3B44" w:rsidRDefault="00BF3B44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57D3FDF9" w14:textId="77777777" w:rsidR="00BF3B44" w:rsidRDefault="008D69B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Konkrétní připomínky</w:t>
      </w:r>
    </w:p>
    <w:p w14:paraId="57D3FDFA" w14:textId="77777777" w:rsidR="00BF3B44" w:rsidRDefault="00BF3B44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57D3FDFB" w14:textId="77777777" w:rsidR="00BF3B44" w:rsidRDefault="008D69B5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1) K návrhu zákona § 2 odst. 2: </w:t>
      </w:r>
    </w:p>
    <w:p w14:paraId="57D3FDFC" w14:textId="77777777" w:rsidR="00BF3B44" w:rsidRDefault="00BF3B44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57D3FDFD" w14:textId="77777777" w:rsidR="00BF3B44" w:rsidRDefault="008D69B5">
      <w:pPr>
        <w:widowControl w:val="0"/>
        <w:spacing w:after="120"/>
        <w:jc w:val="both"/>
        <w:rPr>
          <w:i/>
          <w:iCs/>
          <w:sz w:val="22"/>
          <w:szCs w:val="22"/>
        </w:rPr>
      </w:pPr>
      <w:r>
        <w:rPr>
          <w:sz w:val="22"/>
          <w:szCs w:val="22"/>
        </w:rPr>
        <w:t>Navrhujeme v § 2 odst. 2 na konci písmene a) slovo „nebo“ nahradit čárkou, na konci písmene b) tečku nahradit slovem „nebo“ a doplnit písmeno c), které zní:</w:t>
      </w:r>
    </w:p>
    <w:p w14:paraId="57D3FDFE" w14:textId="77777777" w:rsidR="00BF3B44" w:rsidRDefault="008D69B5">
      <w:pPr>
        <w:widowControl w:val="0"/>
        <w:spacing w:after="120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„c) pro jejíž předmět plnění, posuzovaný z hlediska příjemce služby, není organizace práce vykonávané fyzickými osobami za odměnu jeho podstatnou a neoddělitelnou složkou, zejména pokud je tato organizace práce pro předmět plnění pouze podružná nebo vedlejší.“</w:t>
      </w:r>
    </w:p>
    <w:p w14:paraId="57D3FDFF" w14:textId="77777777" w:rsidR="00BF3B44" w:rsidRDefault="008D69B5">
      <w:pPr>
        <w:widowControl w:val="0"/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Alternativně:</w:t>
      </w:r>
    </w:p>
    <w:p w14:paraId="57D3FE00" w14:textId="77777777" w:rsidR="00BF3B44" w:rsidRDefault="008D69B5">
      <w:pPr>
        <w:widowControl w:val="0"/>
        <w:spacing w:after="120"/>
        <w:jc w:val="both"/>
        <w:rPr>
          <w:b/>
          <w:bCs/>
          <w:sz w:val="22"/>
          <w:szCs w:val="22"/>
        </w:rPr>
      </w:pPr>
      <w:r>
        <w:rPr>
          <w:i/>
          <w:iCs/>
          <w:sz w:val="22"/>
          <w:szCs w:val="22"/>
        </w:rPr>
        <w:t>„c) u níž organizace práce vykonávané fyzickými osobami za odměnu není svým rozsahem a významem pro poskytování služby podstatná, zejména pokud je pro poskytování služby podružná nebo vedlejší.“</w:t>
      </w:r>
    </w:p>
    <w:p w14:paraId="57D3FE01" w14:textId="77777777" w:rsidR="00BF3B44" w:rsidRDefault="00BF3B44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57D3FE02" w14:textId="77777777" w:rsidR="00BF3B44" w:rsidRDefault="008D69B5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sz w:val="22"/>
          <w:szCs w:val="22"/>
          <w:u w:val="single"/>
        </w:rPr>
        <w:t>Odůvodnění</w:t>
      </w:r>
      <w:r>
        <w:rPr>
          <w:sz w:val="22"/>
          <w:szCs w:val="22"/>
        </w:rPr>
        <w:t>:</w:t>
      </w:r>
    </w:p>
    <w:p w14:paraId="57D3FE03" w14:textId="77777777" w:rsidR="00BF3B44" w:rsidRDefault="008D69B5">
      <w:pPr>
        <w:widowControl w:val="0"/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Navrhovaná úprava provádí čl. 2 odst. 2 směrnice (EU) 2024/2831, který stanoví výjimky z definice digitální pracovní platformy. Za účelem posílení právní jistoty a předvídatelnosti navrhujeme doplnění této výjimky tak, aby národní implementační předpis lépe reflektoval záměr evropského zákonodárce. Jak je patrné z čl. 2 odst. 1 písm. a) ve spojení s recitálem 20 směrnice, definičním znakem digitální platformy je to, že organizace práce je „nezbytnou a zásadní složkou“ poskytované služby. Oproti tomu v přípa</w:t>
      </w:r>
      <w:r>
        <w:rPr>
          <w:sz w:val="22"/>
          <w:szCs w:val="22"/>
        </w:rPr>
        <w:t xml:space="preserve">dech, kdy organizace práce tvoří pouze menší či čistě pomocnou složku takovéto služby, by tito poskytovatelé neměli spadat do působnosti směrnice, resp. národního předpisu. </w:t>
      </w:r>
    </w:p>
    <w:p w14:paraId="57D3FE04" w14:textId="77777777" w:rsidR="00BF3B44" w:rsidRDefault="008D69B5">
      <w:pPr>
        <w:widowControl w:val="0"/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Ačkoliv definice platformy v § 2 odst. 1 přesně provádí čl. 2 odst. 1 písm. a) směrnice, obáváme se, že bez doplnění výslovné výjimky v navrhované podobě hrozí, že nová úprava dopadne i na řadu technologických společností, startupů a malých a středních podniků obecně, pro které by nová regulace představovala zcela nezamýšlenou a nadbytečnou zátěž. </w:t>
      </w:r>
    </w:p>
    <w:p w14:paraId="57D3FE05" w14:textId="77777777" w:rsidR="00BF3B44" w:rsidRDefault="008D69B5">
      <w:pPr>
        <w:widowControl w:val="0"/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Doporučujeme proto provést výše navrhované změny ve znění návrhu zákona.</w:t>
      </w:r>
    </w:p>
    <w:p w14:paraId="57D3FE06" w14:textId="77777777" w:rsidR="00BF3B44" w:rsidRDefault="008D69B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Tato připomínka je zásadní.</w:t>
      </w:r>
    </w:p>
    <w:p w14:paraId="57D3FE07" w14:textId="77777777" w:rsidR="00BF3B44" w:rsidRDefault="00BF3B44">
      <w:pPr>
        <w:rPr>
          <w:sz w:val="22"/>
          <w:szCs w:val="22"/>
        </w:rPr>
      </w:pPr>
    </w:p>
    <w:p w14:paraId="57D3FE08" w14:textId="77777777" w:rsidR="00BF3B44" w:rsidRDefault="008D69B5">
      <w:pPr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2) K důvodové zprávě, k § 2, str. 48: </w:t>
      </w:r>
    </w:p>
    <w:p w14:paraId="57D3FE09" w14:textId="77777777" w:rsidR="00BF3B44" w:rsidRDefault="00BF3B44">
      <w:pPr>
        <w:widowControl w:val="0"/>
        <w:spacing w:after="120"/>
        <w:jc w:val="both"/>
        <w:rPr>
          <w:sz w:val="22"/>
          <w:szCs w:val="22"/>
        </w:rPr>
      </w:pPr>
    </w:p>
    <w:p w14:paraId="57D3FE0A" w14:textId="77777777" w:rsidR="00BF3B44" w:rsidRDefault="008D69B5">
      <w:pPr>
        <w:widowControl w:val="0"/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Ve zvláštní části důvodové zprávy navrhujeme ke třetímu odstavci k § 2 doplnit za poslední větu následující text:</w:t>
      </w:r>
    </w:p>
    <w:p w14:paraId="57D3FE0C" w14:textId="492EE73C" w:rsidR="00BF3B44" w:rsidRDefault="008D69B5">
      <w:pPr>
        <w:widowControl w:val="0"/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„Organizací práce se přitom rozumí faktický vliv na podmínky výkonu práce, zejména rozhodování o tom, kdo bude práci vykonávat, kdy, kde a jakým způsobem bude provedena. Pouhé zprostředkování kontaktu mezi fyzickou osobou fakticky poskytující službu a příjemcem služby, spočívající v jejich propojení prostřednictvím elektronických prostředků bez takového vlivu na podmínky výkonu práce, organizaci práce nepředstavuje. Subjekt, jehož činnost je omezena na takové zprostředkování a který neovlivňuje, kdy, kde a </w:t>
      </w:r>
      <w:r>
        <w:rPr>
          <w:sz w:val="22"/>
          <w:szCs w:val="22"/>
        </w:rPr>
        <w:t>jak bude práce vykonána, proto nesplňuje definiční znak organizace práce a nepovažuje se za digitální pracovní platformu.“</w:t>
      </w:r>
    </w:p>
    <w:p w14:paraId="1D688F64" w14:textId="77777777" w:rsidR="00151B28" w:rsidRDefault="00151B28">
      <w:pPr>
        <w:widowControl w:val="0"/>
        <w:spacing w:after="120"/>
        <w:jc w:val="both"/>
        <w:rPr>
          <w:sz w:val="22"/>
          <w:szCs w:val="22"/>
        </w:rPr>
      </w:pPr>
    </w:p>
    <w:p w14:paraId="57D3FE0D" w14:textId="77777777" w:rsidR="00BF3B44" w:rsidRDefault="008D69B5">
      <w:pPr>
        <w:widowControl w:val="0"/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Za poslední odstavec k § 2 dále doporučujeme doplnit důvodovou zprávu o následující text:</w:t>
      </w:r>
    </w:p>
    <w:p w14:paraId="57D3FE0E" w14:textId="77777777" w:rsidR="00BF3B44" w:rsidRDefault="008D69B5">
      <w:pPr>
        <w:widowControl w:val="0"/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„Dále se do negativního vymezení platformy podle § 2 odst. 2 doplňuje text odpovídající recitálu 20 směrnice (EU) 2024/2831. Toto doplnění reaguje na skutečnost, že samotné znění čl. 2 odst. 2 směrnice, z něhož vychází negativní vymezení platformy, neposkytuje s ohledem na šíři obecné definice digitální pracovní platformy dostatečnou míru právní jistoty.</w:t>
      </w:r>
    </w:p>
    <w:p w14:paraId="57D3FE0F" w14:textId="77777777" w:rsidR="00BF3B44" w:rsidRDefault="008D69B5">
      <w:pPr>
        <w:widowControl w:val="0"/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Podle recitálu 20 směrnice musí organizace práce představovat nezbytnou a podstatnou složku poskytované služby, aby mohl být daný poskytovatel považován za digitální pracovní platformu. Naopak v případech, kdy organizace práce vykonávané fyzickými osobami za odměnu představuje pouze vedlejší nebo podružnou složku služby, nemá být takový poskytovatel zahrnut do působnosti směrnice.</w:t>
      </w:r>
    </w:p>
    <w:p w14:paraId="57D3FE10" w14:textId="77777777" w:rsidR="00BF3B44" w:rsidRDefault="008D69B5">
      <w:pPr>
        <w:widowControl w:val="0"/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Obecná definice digitální pracovní platformy v čl. 2 odst. 1 písm. a) je přitom formulována široce a v některých ohledech vágně, když zahrnuje poskytování služby prostřednictvím elektronických prostředků na žádost příjemce, jehož součástí je organizace práce jednotlivců za odměnu. Takto vymezený koncept může dopadat i na činnosti a subjekty, které evropský zákonodárce pravděpodobně neměl v úmyslu regulovat, zejména v případech, kdy organizace práce nepředstavuje podstatu poskytované služby, ale pouze její d</w:t>
      </w:r>
      <w:r>
        <w:rPr>
          <w:sz w:val="22"/>
          <w:szCs w:val="22"/>
        </w:rPr>
        <w:t>oprovodný nebo podpůrný prvek.</w:t>
      </w:r>
    </w:p>
    <w:p w14:paraId="57D3FE11" w14:textId="77777777" w:rsidR="00BF3B44" w:rsidRDefault="008D69B5">
      <w:pPr>
        <w:widowControl w:val="0"/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Typicky se může jednat o situace, kdy určitá činnost vykazuje znaky organizace práce pouze okrajově, například v případě podpůrných služeb, jako je interní nebo externě zajišťovaná IT podpora, nebo v případech, kdy poskytovatel služby pouze umožňuje kontakt mezi uživateli a poskytovateli služeb, aniž by organizace práce tvořila jádro poskytované služby.</w:t>
      </w:r>
    </w:p>
    <w:p w14:paraId="57D3FE12" w14:textId="77777777" w:rsidR="00BF3B44" w:rsidRDefault="008D69B5">
      <w:pPr>
        <w:widowControl w:val="0"/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Navržené upřesnění sleduje zajištění souladu s účelem směrnice a současně reaguje na potřebu posílení právní jistoty a předvídatelnosti pro adresáty právní normy, resp. subjekty, které jejími adresáty nemají být. Jeho cílem je předejít extenzivnímu výkladu, který by vedl k nepřiměřenému rozšíření působnosti právní úpravy i na subjekty, jejichž činnost se od typických digitálních pracovních platforem podstatně liší a na které směrnice primárně podle svého účelu dopadat nemá.“</w:t>
      </w:r>
    </w:p>
    <w:p w14:paraId="57D3FE13" w14:textId="77777777" w:rsidR="00BF3B44" w:rsidRDefault="00BF3B44">
      <w:pPr>
        <w:rPr>
          <w:sz w:val="22"/>
          <w:szCs w:val="22"/>
        </w:rPr>
      </w:pPr>
    </w:p>
    <w:p w14:paraId="57D3FE14" w14:textId="77777777" w:rsidR="00BF3B44" w:rsidRDefault="008D69B5">
      <w:pPr>
        <w:rPr>
          <w:sz w:val="22"/>
          <w:szCs w:val="22"/>
        </w:rPr>
      </w:pPr>
      <w:r>
        <w:rPr>
          <w:sz w:val="22"/>
          <w:szCs w:val="22"/>
          <w:u w:val="single"/>
        </w:rPr>
        <w:t>Odůvodnění</w:t>
      </w:r>
      <w:r>
        <w:rPr>
          <w:sz w:val="22"/>
          <w:szCs w:val="22"/>
        </w:rPr>
        <w:t>:</w:t>
      </w:r>
    </w:p>
    <w:p w14:paraId="57D3FE15" w14:textId="77777777" w:rsidR="00BF3B44" w:rsidRDefault="008D69B5">
      <w:pPr>
        <w:widowControl w:val="0"/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Navrhovaná úprava zpřesňuje definici digitální pracovní platformy v souladu s recitálem 20 směrnice (EU) 2024/2831, aby byla zajištěna právní jistota a zamezilo se neodůvodněně širokému výkladu zákona. Cílem je jasně odlišit skutečné platformy od subjektů, které pouze zprostředkovávají kontakt nebo poskytují technické zázemí, aniž by fakticky rozhodovaly o podmínkách výkonu práce (kdo, kdy, kde a jak). Tím, že se organizace práce definuje jako nezbytná a podstatná složka služby, se předchází tomu, aby pod p</w:t>
      </w:r>
      <w:r>
        <w:rPr>
          <w:sz w:val="22"/>
          <w:szCs w:val="22"/>
        </w:rPr>
        <w:t>řísnou regulaci spadaly i doprovodné či čistě technologické služby, u nichž je organizace práce pouze podružným prvkem a na které směrnice primárně cílit nemá.</w:t>
      </w:r>
    </w:p>
    <w:p w14:paraId="57D3FE16" w14:textId="77777777" w:rsidR="00BF3B44" w:rsidRDefault="008D69B5">
      <w:pPr>
        <w:widowControl w:val="0"/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V navrhované podobě hrozí, že nová úprava dopadne i na řadu technologických společností, startupů a malých a středních podniků obecně, pro které by nová regulace představovala zcela nezamýšlenou a nadbytečnou zátěž.</w:t>
      </w:r>
    </w:p>
    <w:p w14:paraId="57D3FE17" w14:textId="77777777" w:rsidR="00BF3B44" w:rsidRDefault="008D69B5">
      <w:pPr>
        <w:widowControl w:val="0"/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Doporučujeme proto provést výše navrhované změny ve znění důvodové zprávy.</w:t>
      </w:r>
    </w:p>
    <w:p w14:paraId="57D3FE18" w14:textId="77777777" w:rsidR="00BF3B44" w:rsidRDefault="008D69B5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Tato připomínka je zásadní.</w:t>
      </w:r>
    </w:p>
    <w:p w14:paraId="57D3FE19" w14:textId="77777777" w:rsidR="00BF3B44" w:rsidRDefault="00BF3B44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rPr>
          <w:color w:val="000000"/>
          <w:sz w:val="22"/>
          <w:szCs w:val="22"/>
        </w:rPr>
      </w:pPr>
    </w:p>
    <w:sectPr w:rsidR="00BF3B44">
      <w:footerReference w:type="even" r:id="rId8"/>
      <w:footerReference w:type="default" r:id="rId9"/>
      <w:pgSz w:w="11906" w:h="16838"/>
      <w:pgMar w:top="1134" w:right="1418" w:bottom="1418" w:left="1259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B4C62" w14:textId="77777777" w:rsidR="008D69B5" w:rsidRDefault="008D69B5">
      <w:r>
        <w:separator/>
      </w:r>
    </w:p>
  </w:endnote>
  <w:endnote w:type="continuationSeparator" w:id="0">
    <w:p w14:paraId="3DF2AAD4" w14:textId="77777777" w:rsidR="008D69B5" w:rsidRDefault="008D6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5C8066AA-B8D7-44CB-9D3C-AB949F43803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F35B361-C5EE-4963-865D-F930E075004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FCCAC4A7-3C96-4813-8FF6-FEE909B24C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3FE1C" w14:textId="77777777" w:rsidR="00BF3B44" w:rsidRDefault="008D69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fldChar w:fldCharType="begin"/>
    </w:r>
    <w:r>
      <w:rPr>
        <w:rFonts w:ascii="Arial" w:eastAsia="Arial" w:hAnsi="Arial" w:cs="Arial"/>
        <w:color w:val="000000"/>
        <w:sz w:val="24"/>
        <w:szCs w:val="24"/>
      </w:rPr>
      <w:instrText>PAGE</w:instrText>
    </w:r>
    <w:r>
      <w:rPr>
        <w:rFonts w:ascii="Arial" w:eastAsia="Arial" w:hAnsi="Arial" w:cs="Arial"/>
        <w:color w:val="000000"/>
        <w:sz w:val="24"/>
        <w:szCs w:val="24"/>
      </w:rPr>
      <w:fldChar w:fldCharType="separate"/>
    </w:r>
    <w:r>
      <w:rPr>
        <w:rFonts w:ascii="Arial" w:eastAsia="Arial" w:hAnsi="Arial" w:cs="Arial"/>
        <w:color w:val="000000"/>
        <w:sz w:val="24"/>
        <w:szCs w:val="24"/>
      </w:rPr>
      <w:fldChar w:fldCharType="end"/>
    </w:r>
  </w:p>
  <w:p w14:paraId="57D3FE1D" w14:textId="77777777" w:rsidR="00BF3B44" w:rsidRDefault="00BF3B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rFonts w:ascii="Arial" w:eastAsia="Arial" w:hAnsi="Arial" w:cs="Arial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3FE1E" w14:textId="7CAA7369" w:rsidR="00BF3B44" w:rsidRDefault="008D69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fldChar w:fldCharType="begin"/>
    </w:r>
    <w:r>
      <w:rPr>
        <w:rFonts w:ascii="Arial" w:eastAsia="Arial" w:hAnsi="Arial" w:cs="Arial"/>
        <w:color w:val="000000"/>
        <w:sz w:val="24"/>
        <w:szCs w:val="24"/>
      </w:rPr>
      <w:instrText>PAGE</w:instrText>
    </w:r>
    <w:r>
      <w:rPr>
        <w:rFonts w:ascii="Arial" w:eastAsia="Arial" w:hAnsi="Arial" w:cs="Arial"/>
        <w:color w:val="000000"/>
        <w:sz w:val="24"/>
        <w:szCs w:val="24"/>
      </w:rPr>
      <w:fldChar w:fldCharType="separate"/>
    </w:r>
    <w:r w:rsidR="00151B28">
      <w:rPr>
        <w:rFonts w:ascii="Arial" w:eastAsia="Arial" w:hAnsi="Arial" w:cs="Arial"/>
        <w:noProof/>
        <w:color w:val="000000"/>
        <w:sz w:val="24"/>
        <w:szCs w:val="24"/>
      </w:rPr>
      <w:t>1</w:t>
    </w:r>
    <w:r>
      <w:rPr>
        <w:rFonts w:ascii="Arial" w:eastAsia="Arial" w:hAnsi="Arial" w:cs="Arial"/>
        <w:color w:val="000000"/>
        <w:sz w:val="24"/>
        <w:szCs w:val="24"/>
      </w:rPr>
      <w:fldChar w:fldCharType="end"/>
    </w:r>
  </w:p>
  <w:p w14:paraId="57D3FE1F" w14:textId="77777777" w:rsidR="00BF3B44" w:rsidRDefault="00BF3B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center"/>
      <w:rPr>
        <w:rFonts w:ascii="Arial" w:eastAsia="Arial" w:hAnsi="Arial" w:cs="Arial"/>
        <w:color w:val="000000"/>
        <w:sz w:val="24"/>
        <w:szCs w:val="24"/>
      </w:rPr>
    </w:pPr>
  </w:p>
  <w:p w14:paraId="57D3FE20" w14:textId="77777777" w:rsidR="00BF3B44" w:rsidRDefault="00BF3B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8A993" w14:textId="77777777" w:rsidR="008D69B5" w:rsidRDefault="008D69B5">
      <w:r>
        <w:separator/>
      </w:r>
    </w:p>
  </w:footnote>
  <w:footnote w:type="continuationSeparator" w:id="0">
    <w:p w14:paraId="513747CF" w14:textId="77777777" w:rsidR="008D69B5" w:rsidRDefault="008D69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B44"/>
    <w:rsid w:val="000A7742"/>
    <w:rsid w:val="00151B28"/>
    <w:rsid w:val="00283E50"/>
    <w:rsid w:val="008D69B5"/>
    <w:rsid w:val="00BF3B44"/>
    <w:rsid w:val="00FA2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3FDE6"/>
  <w15:docId w15:val="{615E1821-027C-4F47-AD2C-42AB1D9D5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bPhIQqhBqfO/4GNGrliWwXj4hw==">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892</Words>
  <Characters>5265</Characters>
  <Application>Microsoft Office Word</Application>
  <DocSecurity>0</DocSecurity>
  <Lines>43</Lines>
  <Paragraphs>12</Paragraphs>
  <ScaleCrop>false</ScaleCrop>
  <Company/>
  <LinksUpToDate>false</LinksUpToDate>
  <CharactersWithSpaces>6145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Bednářová Jana, PKF APOGEO</cp:lastModifiedBy>
  <cp:revision>4</cp:revision>
  <dcterms:created xsi:type="dcterms:W3CDTF">2026-04-27T07:15:00Z</dcterms:created>
  <dcterms:modified xsi:type="dcterms:W3CDTF">2026-04-27T07:16:00Z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K27758461</vt:lpwstr>
  </property>
  <property fmtid="{D5CDD505-2E9C-101B-9397-08002B2CF9AE}" pid="3" name="_dlc_DocIdItemGuid">
    <vt:lpwstr>4aa53c7f-b455-4847-a939-5b1455ae3d4a</vt:lpwstr>
  </property>
  <property fmtid="{D5CDD505-2E9C-101B-9397-08002B2CF9AE}" pid="4" name="_dlc_DocIdUrl">
    <vt:lpwstr>https://newdoclibrary/clients/NN/20010026/_layouts/15/DocIdRedir.aspx?ID=K27758461, K27758461</vt:lpwstr>
  </property>
  <property fmtid="{D5CDD505-2E9C-101B-9397-08002B2CF9AE}" pid="5" name="mvSentOn">
    <vt:lpwstr>mvSentOn</vt:lpwstr>
  </property>
  <property fmtid="{D5CDD505-2E9C-101B-9397-08002B2CF9AE}" pid="6" name="mvTrackingTag">
    <vt:lpwstr>mvTrackingTag</vt:lpwstr>
  </property>
  <property fmtid="{D5CDD505-2E9C-101B-9397-08002B2CF9AE}" pid="7" name="mvReceivedTime">
    <vt:lpwstr>mvReceivedTime</vt:lpwstr>
  </property>
  <property fmtid="{D5CDD505-2E9C-101B-9397-08002B2CF9AE}" pid="8" name="mvSensitivity">
    <vt:lpwstr>mvSensitivity</vt:lpwstr>
  </property>
  <property fmtid="{D5CDD505-2E9C-101B-9397-08002B2CF9AE}" pid="9" name="kinAuthors">
    <vt:lpwstr>kinAuthors</vt:lpwstr>
  </property>
  <property fmtid="{D5CDD505-2E9C-101B-9397-08002B2CF9AE}" pid="10" name="mvTo">
    <vt:lpwstr>mvTo</vt:lpwstr>
  </property>
  <property fmtid="{D5CDD505-2E9C-101B-9397-08002B2CF9AE}" pid="11" name="mvAttach Count">
    <vt:lpwstr>mvAttach Count</vt:lpwstr>
  </property>
  <property fmtid="{D5CDD505-2E9C-101B-9397-08002B2CF9AE}" pid="12" name="mvBCC">
    <vt:lpwstr>mvBCC</vt:lpwstr>
  </property>
  <property fmtid="{D5CDD505-2E9C-101B-9397-08002B2CF9AE}" pid="13" name="mvOriginal Created">
    <vt:lpwstr>mvOriginal Created</vt:lpwstr>
  </property>
  <property fmtid="{D5CDD505-2E9C-101B-9397-08002B2CF9AE}" pid="14" name="kinAuthor">
    <vt:lpwstr>kinAuthor</vt:lpwstr>
  </property>
  <property fmtid="{D5CDD505-2E9C-101B-9397-08002B2CF9AE}" pid="15" name="mvCC">
    <vt:lpwstr>mvCC</vt:lpwstr>
  </property>
  <property fmtid="{D5CDD505-2E9C-101B-9397-08002B2CF9AE}" pid="16" name="mvOriginal Author">
    <vt:lpwstr>mvOriginal Author</vt:lpwstr>
  </property>
  <property fmtid="{D5CDD505-2E9C-101B-9397-08002B2CF9AE}" pid="17" name="mvFrom">
    <vt:lpwstr>mvFrom</vt:lpwstr>
  </property>
  <property fmtid="{D5CDD505-2E9C-101B-9397-08002B2CF9AE}" pid="18" name="mvOriginal Producer">
    <vt:lpwstr>mvOriginal Producer</vt:lpwstr>
  </property>
  <property fmtid="{D5CDD505-2E9C-101B-9397-08002B2CF9AE}" pid="19" name="mvOriginal FileName">
    <vt:lpwstr>mvOriginal FileName</vt:lpwstr>
  </property>
  <property fmtid="{D5CDD505-2E9C-101B-9397-08002B2CF9AE}" pid="20" name="mvImportance">
    <vt:lpwstr>mvImportance</vt:lpwstr>
  </property>
  <property fmtid="{D5CDD505-2E9C-101B-9397-08002B2CF9AE}" pid="21" name="mvMessageID">
    <vt:lpwstr>mvMessageID</vt:lpwstr>
  </property>
  <property fmtid="{D5CDD505-2E9C-101B-9397-08002B2CF9AE}" pid="22" name="kinPrimaryAuthor">
    <vt:lpwstr>kinPrimaryAuthor</vt:lpwstr>
  </property>
  <property fmtid="{D5CDD505-2E9C-101B-9397-08002B2CF9AE}" pid="23" name="mvConversationTopic">
    <vt:lpwstr>mvConversationTopic</vt:lpwstr>
  </property>
  <property fmtid="{D5CDD505-2E9C-101B-9397-08002B2CF9AE}" pid="24" name="mvOriginal Modified">
    <vt:lpwstr>mvOriginal Modified</vt:lpwstr>
  </property>
  <property fmtid="{D5CDD505-2E9C-101B-9397-08002B2CF9AE}" pid="25" name="mvRef">
    <vt:lpwstr>K27758461/0.4a/24 Mar 2026</vt:lpwstr>
  </property>
</Properties>
</file>