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rsidR="00A77B3E"/>
    <w:p w:rsidR="00A77B3E">
      <w:pPr>
        <w:pStyle w:val="1"/>
      </w:pPr>
    </w:p>
    <w:p w:rsidR="00A77B3E">
      <w:pPr>
        <w:pStyle w:val="2"/>
      </w:pPr>
      <w:r>
        <w:t>III.</w:t>
      </w:r>
    </w:p>
    <w:p w:rsidR="00A77B3E">
      <w:pPr>
        <w:pStyle w:val="1"/>
      </w:pPr>
    </w:p>
    <w:p w:rsidR="00A77B3E">
      <w:pPr>
        <w:pStyle w:val="3"/>
      </w:pPr>
      <w:r>
        <w:t>Důvodová zpráva</w:t>
      </w:r>
    </w:p>
    <w:p w:rsidR="00A77B3E">
      <w:pPr>
        <w:pStyle w:val="4"/>
      </w:pPr>
      <w:r>
        <w:t>Návrh vyhlášky, kterou se mění vyhláška č. 573/2025 Sb., o změně sazby základní náhrady za používání silničních motorových vozidel a stravného a o stanovení průměrné ceny pohonných hmot pro účely poskytování cestovních náhrad pro rok 2026</w:t>
      </w:r>
    </w:p>
    <w:p w:rsidR="00A77B3E">
      <w:pPr>
        <w:pStyle w:val="1"/>
      </w:pPr>
    </w:p>
    <w:p w:rsidR="00A77B3E">
      <w:pPr>
        <w:pStyle w:val="5"/>
      </w:pPr>
      <w:r>
        <w:t>I. Obecná část</w:t>
      </w:r>
    </w:p>
    <w:p w:rsidR="00A77B3E">
      <w:pPr>
        <w:pStyle w:val="6"/>
      </w:pPr>
      <w:r>
        <w:t>1.</w:t>
      </w:r>
      <w:r>
        <w:t>   Popis obsahu návrhu právního předpisu s uvedením důvodů, které k jeho předložení vedou, a shrnutí základních zásad a nejdůležitějších změn, které oproti stávající právní úpravě zavádí.</w:t>
      </w:r>
    </w:p>
    <w:p w:rsidR="00A77B3E">
      <w:pPr>
        <w:pStyle w:val="7"/>
      </w:pPr>
      <w:r>
        <w:t>Podle § 189 odst. 2 zákona č. 262/2006 Sb., zákoník práce, ve znění pozdějších předpisů (dále jen „zákoník práce“), je Ministerstvo práce a sociálních věcí zmocněno v mimořádném termínu upravit vyhláškou sazbu základní náhrady za používání silničních motorových vozidel, stravné nebo průměrnou cenu pohonných hmot, jakmile se podle údajů Českého statistického úřadu některá z těchto cen ode dne účinnosti zákoníku práce, nebo ode dne účinnosti poslední úpravy obsažené ve vyhlášce, zvýší nebo sníží alespoň o 20 %.</w:t>
      </w:r>
    </w:p>
    <w:p w:rsidR="00A77B3E">
      <w:pPr>
        <w:pStyle w:val="8"/>
      </w:pPr>
      <w:r>
        <w:t>Podle údajů Českého statistického úřadu za měsíc březen 2026 došlo ke zvýšení průměrné ceny za 1 litr motorové nafty na 42,02 Kč; nárůst ceny oproti částce obsažené ve vyhlášce č. 573/2025 Sb. tak činí 23,46 %. Z tohoto důvodu připravilo Ministerstvo práce a sociálních věcí návrh vyhlášky, kterou se mění vyhláška č. 573/2025 Sb., o změně sazby základní náhrady za používání silničních motorových vozidel a stravného a o stanovení průměrné ceny pohonných hmot pro účely poskytování cestovních náhrad pro rok 2026.</w:t>
      </w:r>
    </w:p>
    <w:p w:rsidR="00A77B3E">
      <w:pPr>
        <w:pStyle w:val="9"/>
      </w:pPr>
      <w:r>
        <w:t>Průměrná cena motorové nafty obsažená v návrhu odpovídá statisticky zjištěné hodnotě Českého statistického úřadu uvedené ve statistické informaci Ceny – Indexy spotřebitelských cen – Základní členění a je zaokrouhlena způsobem, který udává ustanovení § 189 odst. 3 zákoníku práce (tj. na desetihaléře směrem nahoru). Pro navrhované znění vyhlášky byly použity údaje Českého statistického úřadu zveřejněné za měsíc březen 2026.</w:t>
      </w:r>
    </w:p>
    <w:p w:rsidR="00A77B3E">
      <w:pPr>
        <w:pStyle w:val="6"/>
      </w:pPr>
      <w:r>
        <w:t>2.</w:t>
      </w:r>
      <w:r>
        <w:t>   Zhodnocení platného právního stavu</w:t>
      </w:r>
    </w:p>
    <w:p w:rsidR="00A77B3E">
      <w:pPr>
        <w:pStyle w:val="10"/>
      </w:pPr>
      <w:r>
        <w:t>Účelem navrhované právní úpravy je s účinností od 1. června 2026 naplnit zákonné zmocnění obsažené v § 189 odst. 2 zákoníku práce. Změna údaje o ceně motorové nafty údajů má za cíl zajistit aktualizaci údajů tak, aby poskytované cestovní náhrady odpovídaly lépe skutečným nákladům, které zaměstnanci při pracovní cestě vznikají.</w:t>
      </w:r>
    </w:p>
    <w:p w:rsidR="00A77B3E">
      <w:pPr>
        <w:pStyle w:val="6"/>
      </w:pPr>
      <w:r>
        <w:t>3.</w:t>
      </w:r>
      <w:r>
        <w:t>   Zhodnocení souladu návrhu právního předpisu s ústavním pořádkem a ostatními součástmi právního řádu České republiky.</w:t>
      </w:r>
    </w:p>
    <w:p w:rsidR="00A77B3E">
      <w:pPr>
        <w:pStyle w:val="10"/>
      </w:pPr>
      <w:r>
        <w:t>Navrhované změny jsou v souladu s Ústavou České republiky a dalšími součástmi ústavního pořádku. Navrhovaná právní úprava je plně v souladu se zmocněním obsaženým v § 189 odst. 2 zákoníku práce i ostatními součástmi právního řádu.</w:t>
      </w:r>
    </w:p>
    <w:p w:rsidR="00A77B3E">
      <w:pPr>
        <w:pStyle w:val="6"/>
      </w:pPr>
      <w:r>
        <w:t>4.</w:t>
      </w:r>
      <w:r>
        <w:t>   Zhodnocení souladu návrhu právního předpisu se závazky vyplývajícími pro Českou republiku z jejího členství v Evropské unii.</w:t>
      </w:r>
    </w:p>
    <w:p w:rsidR="00A77B3E">
      <w:pPr>
        <w:pStyle w:val="10"/>
      </w:pPr>
      <w:r>
        <w:t>Návrh vyhlášky nezapracovává do právního řádu České republiky předpisy Evropské unie a není s nimi v rozporu. Daná oblast není dotčena judikaturou soudních orgánů Evropské unie a je v souladu s obecnými právními zásadami práva Evropské unie.</w:t>
      </w:r>
    </w:p>
    <w:p w:rsidR="00A77B3E">
      <w:pPr>
        <w:pStyle w:val="6"/>
      </w:pPr>
      <w:r>
        <w:t>5.</w:t>
      </w:r>
      <w:r>
        <w:t>   Zhodnocení souladu návrhu právního předpisu s mezinárodními smlouvami, jimiž je Česká republika vázána.</w:t>
      </w:r>
    </w:p>
    <w:p w:rsidR="00A77B3E">
      <w:pPr>
        <w:pStyle w:val="10"/>
      </w:pPr>
      <w:r>
        <w:t>Návrh vyhlášky nezapracovává do právního řádu České republiky ustanovení mezinárodních smluv. Návrh není v rozporu s mezinárodními závazky, jimiž je česká republika vázána, ani neprovádí ustanovení konkrétních norem mezinárodního práva veřejného.</w:t>
      </w:r>
    </w:p>
    <w:p w:rsidR="00A77B3E">
      <w:pPr>
        <w:pStyle w:val="6"/>
      </w:pPr>
      <w:r>
        <w:t>6.</w:t>
      </w:r>
      <w:r>
        <w:t>   Předpokládaný hospodářský a finanční dopad návrhu právního předpisu na státní rozpočet a ostatní veřejné rozpočty.</w:t>
      </w:r>
    </w:p>
    <w:p w:rsidR="00A77B3E">
      <w:pPr>
        <w:pStyle w:val="10"/>
      </w:pPr>
      <w:r>
        <w:t>Návrh vyhlášky nebude mít přímý dopad na státní rozpočet; vyhláškou aktualizovaná průměrná cena motorové nafty jako jedné z pohonných hmot nezakládá přímé nároky na čerpání prostředků z veřejných rozpočtů. Organizační složky státu, státní fondy a státní příspěvkové organizace si případné náklady v důsledku změny průměrné ceny motorové nafty musí pokrýt v rámci schváleného rozpočtu příslušné kapitoly státního rozpočtu, v rámci schváleného rozpočtu státního fondu nebo v rámci schváleného rozpočtu příspěvkové organizace bez nároku na dodatečný příděl finančních prostředků. Územní samosprávné celky a jimi zřízené příspěvkové organizace si náklady v důsledku výše uvedené změny musí pokrýt v rámci svého schváleného rozpočtu.</w:t>
      </w:r>
    </w:p>
    <w:p w:rsidR="00A77B3E">
      <w:pPr>
        <w:pStyle w:val="6"/>
      </w:pPr>
      <w:r>
        <w:t>7.</w:t>
      </w:r>
      <w:r>
        <w:t>   Odůvodnění případného návrhu, aby navrhovaná právní úprava nabyla účinnosti k jinému dni než k 1. lednu nebo k 1. červenci kalendářního roku.</w:t>
      </w:r>
    </w:p>
    <w:p w:rsidR="00A77B3E">
      <w:pPr>
        <w:pStyle w:val="10"/>
      </w:pPr>
      <w:r>
        <w:t>Účinnost vyhlášky se navrhuje 1. června 2026, neboť je žádoucí, aby poskytované cestovní náhrady odpovídaly skutečné ceně pohonných hmot co nejdříve. Zároveň je nezbytné poskytnout zejména zaměstnavatelům alespoň minimální dobu legisvakance pro úpravu jejich postupů a aktualizaci vnitřních předpisů. Takto stanovenou účinnost připouští ustanovení § 9 odst. 3 zákona č. 222/2016 Sb., o Sbírce zákonů a mezinárodních smluv a o tvorbě právních předpisů vyhlašovaných ve Sbírce zákonů a mezinárodních smluv, ve znění pozdějších předpisů. Obecně je nutné, aby praxe poskytování cestovních náhrad reflektovala skutečné ceny pohonných hmot s co nejmenším zpožděním. Aktuální ceny pohonných hmot jsou podstatné pro využitelnost ustanovení § 158 odst. 3 zákoníku práce při vyúčtování cestovních náhrad v těch případech, kdy zaměstnanec hodnověrným způsobem neprokáže cenu spotřebované pohonné hmoty.</w:t>
      </w:r>
    </w:p>
    <w:p w:rsidR="00A77B3E">
      <w:pPr>
        <w:pStyle w:val="6"/>
      </w:pPr>
      <w:r>
        <w:t>8.</w:t>
      </w:r>
      <w:r>
        <w:t>   Zhodnocení, zda návrh právního předpisu neobsahuje ustanovení, které by bylo svou povahou technickým předpisem podle právního předpisu upravujícího technické požadavky na výrobky, a informace o splnění oznamovací povinnosti podle tohoto právního předpisu.</w:t>
      </w:r>
    </w:p>
    <w:p w:rsidR="00A77B3E">
      <w:pPr>
        <w:pStyle w:val="10"/>
      </w:pPr>
      <w:r>
        <w:t>Návrh neobsahuje ustanovení, které by bylo svou povahou technickým předpisem.</w:t>
      </w:r>
    </w:p>
    <w:p w:rsidR="00A77B3E">
      <w:pPr>
        <w:pStyle w:val="6"/>
      </w:pPr>
      <w:r>
        <w:t>9.</w:t>
      </w:r>
      <w:r>
        <w:t>   Předpokládaný dopad návrhu právního předpisu, zejména.</w:t>
      </w:r>
    </w:p>
    <w:p w:rsidR="00A77B3E">
      <w:pPr>
        <w:pStyle w:val="11"/>
      </w:pPr>
      <w:r>
        <w:t>9.1</w:t>
      </w:r>
      <w:r>
        <w:t>   Dopad na práva a povinnosti fyzických a právnických osob.</w:t>
      </w:r>
    </w:p>
    <w:p w:rsidR="00A77B3E">
      <w:pPr>
        <w:pStyle w:val="10"/>
      </w:pPr>
      <w:r>
        <w:t>Návrh se týká způsobu plnění povinnosti zaměstnavatele k poskytování cestovních náhrad. Návrh neobsahuje kvalitativně nová práva nebo povinnosti.</w:t>
      </w:r>
    </w:p>
    <w:p w:rsidR="00A77B3E">
      <w:pPr>
        <w:pStyle w:val="11"/>
      </w:pPr>
      <w:r>
        <w:t>9.2</w:t>
      </w:r>
      <w:r>
        <w:t>   Dopad na podnikatelské prostředí České republiky.</w:t>
      </w:r>
    </w:p>
    <w:p w:rsidR="00A77B3E">
      <w:pPr>
        <w:pStyle w:val="10"/>
      </w:pPr>
      <w:r>
        <w:t>Návrh vyhlášky nezakládá specifické dopady na podnikatelské prostředí.</w:t>
      </w:r>
    </w:p>
    <w:p w:rsidR="00A77B3E">
      <w:pPr>
        <w:pStyle w:val="11"/>
      </w:pPr>
      <w:r>
        <w:t>9.3</w:t>
      </w:r>
      <w:r>
        <w:t>   Zhodnocení, zda návrhem právního předpisu není zakládána veřejná podpora.</w:t>
      </w:r>
    </w:p>
    <w:p w:rsidR="00A77B3E">
      <w:pPr>
        <w:pStyle w:val="10"/>
      </w:pPr>
      <w:r>
        <w:t>Návrhem vyhlášky se nezakládá veřejná podpora.</w:t>
      </w:r>
    </w:p>
    <w:p w:rsidR="00A77B3E">
      <w:pPr>
        <w:pStyle w:val="11"/>
      </w:pPr>
      <w:r>
        <w:t>9.4</w:t>
      </w:r>
      <w:r>
        <w:t>   Sociální dopad, včetně dopadu na specifické skupiny obyvatel, především na osoby sociálně slabé, osoby se zdravotním postižením a národnostní menšiny.</w:t>
      </w:r>
    </w:p>
    <w:p w:rsidR="00A77B3E">
      <w:pPr>
        <w:pStyle w:val="10"/>
      </w:pPr>
      <w:r>
        <w:t>Návrh vyhlášky nezakládá negativní sociální dopady (včetně dopadů na rodiny a specifické skupiny obyvatel).</w:t>
      </w:r>
    </w:p>
    <w:p w:rsidR="00A77B3E">
      <w:pPr>
        <w:pStyle w:val="11"/>
      </w:pPr>
      <w:r>
        <w:t>9.5</w:t>
      </w:r>
      <w:r>
        <w:t>   Dopad na rovnost mužů a žen, upravuje-li návrh právního předpisu postavení fyzických osob nebo se tohoto postavení dotýká.</w:t>
      </w:r>
    </w:p>
    <w:p w:rsidR="00A77B3E">
      <w:pPr>
        <w:pStyle w:val="10"/>
      </w:pPr>
      <w:r>
        <w:t>Návrh vyhlášky nemá žádné dopady na rovnost mužů a žen.</w:t>
      </w:r>
    </w:p>
    <w:p w:rsidR="00A77B3E">
      <w:pPr>
        <w:pStyle w:val="11"/>
      </w:pPr>
      <w:r>
        <w:t>9.6</w:t>
      </w:r>
      <w:r>
        <w:t>   Dopad na životní prostředí.</w:t>
      </w:r>
    </w:p>
    <w:p w:rsidR="00A77B3E">
      <w:pPr>
        <w:pStyle w:val="10"/>
      </w:pPr>
      <w:r>
        <w:t>Návrh vyhlášky nemá žádné dopady na životní prostředí.</w:t>
      </w:r>
    </w:p>
    <w:p w:rsidR="00A77B3E">
      <w:pPr>
        <w:pStyle w:val="11"/>
      </w:pPr>
      <w:r>
        <w:t>9.7</w:t>
      </w:r>
      <w:r>
        <w:t>   Dopad na ochranu práv dětí.</w:t>
      </w:r>
    </w:p>
    <w:p w:rsidR="00A77B3E">
      <w:pPr>
        <w:pStyle w:val="10"/>
      </w:pPr>
      <w:r>
        <w:t>Návrh vyhlášky nemá dopad na práva dětí a jejich ochranu.</w:t>
      </w:r>
    </w:p>
    <w:p w:rsidR="00A77B3E">
      <w:pPr>
        <w:pStyle w:val="11"/>
      </w:pPr>
      <w:r>
        <w:t>9.8</w:t>
      </w:r>
      <w:r>
        <w:t>   Dopad na bezpečnost nebo obranu státu.</w:t>
      </w:r>
    </w:p>
    <w:p w:rsidR="00A77B3E">
      <w:pPr>
        <w:pStyle w:val="10"/>
      </w:pPr>
      <w:r>
        <w:t>Návrh vyhlášky nemá specifické dopady na rodiny.</w:t>
      </w:r>
    </w:p>
    <w:p w:rsidR="00A77B3E">
      <w:pPr>
        <w:pStyle w:val="11"/>
      </w:pPr>
      <w:r>
        <w:t>9.9</w:t>
      </w:r>
      <w:r>
        <w:t>   Dopad ve vztahu k ochraně soukromí a osobních údajů.</w:t>
      </w:r>
    </w:p>
    <w:p w:rsidR="00A77B3E">
      <w:pPr>
        <w:pStyle w:val="10"/>
      </w:pPr>
      <w:r>
        <w:t>Návrh se netýká soukromí.</w:t>
      </w:r>
    </w:p>
    <w:p w:rsidR="00A77B3E">
      <w:pPr>
        <w:pStyle w:val="6"/>
      </w:pPr>
      <w:r>
        <w:t>10.</w:t>
      </w:r>
      <w:r>
        <w:t>   Zhodnocení korupčních rizik návrhu právního předpisu.</w:t>
      </w:r>
    </w:p>
    <w:p w:rsidR="00A77B3E">
      <w:pPr>
        <w:pStyle w:val="10"/>
      </w:pPr>
      <w:r>
        <w:t>Návrh vyhlášky aktualizuje cenu motorové nafty pro účely cestovních náhrad podle statisticky transparentně zjištěných údajů. Příslušná změna nezakládá žádná korupční rizika.</w:t>
      </w:r>
    </w:p>
    <w:p w:rsidR="00A77B3E">
      <w:pPr>
        <w:pStyle w:val="6"/>
      </w:pPr>
      <w:r>
        <w:t>11.</w:t>
      </w:r>
      <w:r>
        <w:t>   Zhodnocení souladu navrhovaného řešení se zásadami tvorby digitálně přívětivé legislativy.</w:t>
      </w:r>
    </w:p>
    <w:p w:rsidR="00A77B3E">
      <w:pPr>
        <w:pStyle w:val="10"/>
      </w:pPr>
      <w:r>
        <w:t>Návrh vyhlášky je v souladu se zásadami pro tvorbu digitálně přívětivé legislativy. Předložený návrh vyhlášky není spojen s rizikem digitálního vyloučení.</w:t>
      </w:r>
    </w:p>
    <w:p w:rsidR="00A77B3E">
      <w:pPr>
        <w:pStyle w:val="6"/>
      </w:pPr>
      <w:r>
        <w:t>12.</w:t>
      </w:r>
      <w:r>
        <w:t>   Informace dle zákona o regulaci lobbování</w:t>
      </w:r>
    </w:p>
    <w:p w:rsidR="00A77B3E">
      <w:pPr>
        <w:pStyle w:val="10"/>
      </w:pPr>
      <w:r>
        <w:t>Při přípravě návrhu vyhlášky nebyly identifikovány žádné osoby, které by podle zákona o regulaci lobbování vykonávaly lobbistickou činnost.</w:t>
      </w:r>
    </w:p>
    <w:p w:rsidR="00A77B3E">
      <w:pPr>
        <w:pStyle w:val="6"/>
      </w:pPr>
      <w:r>
        <w:t>13.</w:t>
      </w:r>
      <w:r>
        <w:t>   Odůvodnění případné navrhované odchylky v postupu projednání návrhu právního předpisu.</w:t>
      </w:r>
    </w:p>
    <w:p w:rsidR="00A77B3E">
      <w:pPr>
        <w:pStyle w:val="10"/>
      </w:pPr>
      <w:r>
        <w:t>V souladu s článkem 16 odst. 3 Legislativních pravidel vlády stanoví lhůtu pro sdělení připomínek k návrhu vyhlášky předkladatel, přičemž lhůta ke sdělení připomínek nesmí být kratší než 5 pracovních dnů. Hodnocení dopadů podle Obecných zásad se neprovádí, neboť navrhovaná změna je parametrického charakteru a s ohledem na charakter příslušného zákonného zmocnění je zcela vyloučena jakákoliv diskrece předkladatele.</w:t>
      </w:r>
      <w:r>
        <w:rPr>
          <w:strike/>
        </w:rPr>
        <w:t>​</w:t>
      </w:r>
    </w:p>
    <w:p w:rsidR="00A77B3E">
      <w:pPr>
        <w:pStyle w:val="1"/>
      </w:pPr>
    </w:p>
    <w:p w:rsidR="00A77B3E">
      <w:pPr>
        <w:pStyle w:val="5"/>
      </w:pPr>
      <w:r>
        <w:t>II. Zvláštní část</w:t>
      </w:r>
    </w:p>
    <w:p w:rsidR="00A77B3E">
      <w:pPr>
        <w:pStyle w:val="7"/>
      </w:pPr>
      <w:r>
        <w:rPr>
          <w:u w:val="single"/>
        </w:rPr>
        <w:t>K čl. I</w:t>
      </w:r>
    </w:p>
    <w:p w:rsidR="00A77B3E">
      <w:pPr>
        <w:pStyle w:val="8"/>
      </w:pPr>
      <w:r>
        <w:t>Jedná se o statisticky zjištěný údaj o průměrné ceně 1 litru motorové nafty za měsíc březen 2026, zaokrouhlený v souladu s § 189 odst. 3 zákoníku práce na desetihaléře směrem nahoru.</w:t>
      </w:r>
    </w:p>
    <w:p w:rsidR="00A77B3E">
      <w:pPr>
        <w:pStyle w:val="8"/>
      </w:pPr>
      <w:r>
        <w:rPr>
          <w:u w:val="single"/>
        </w:rPr>
        <w:t>K čl. II</w:t>
      </w:r>
    </w:p>
    <w:p w:rsidR="00A77B3E">
      <w:pPr>
        <w:pStyle w:val="9"/>
      </w:pPr>
      <w:r>
        <w:t>Účinnost vyhlášky se navrhuje 1. června 2026, což umožňuje § 9 odst. 3 zákona č. 222/2016 Sb., o Sbírce zákonů a mezinárodních smluv a o tvorbě právních předpisů vyhlašovaných ve Sbírce zákonů a mezinárodních smluv, ve znění pozdějších předpisů. Důvodem je naléhavý obecný zájem spočívající v potřebě zabezpečit spravedlivou kompenzaci podle skutečných cen pohonných hmot v případech, kdy se nákup pohonné hmoty zaměstnancem neprokáže příslušným dokladem. Vzhledem k tomu, že ke změně ceny motorové nafty již došlo, je třeba bezodkladně zajistit, aby poskytovaná náhrada za spotřebovanou pohonnou hmotu odpovídala nákladům skutečně vynaloženým zaměstnancem.</w:t>
      </w:r>
    </w:p>
    <w:p w:rsidR="00A77B3E">
      <w:pPr>
        <w:pStyle w:val="1"/>
      </w:pPr>
    </w:p>
    <w:sectPr>
      <w:headerReference w:type="even" r:id="rId4"/>
      <w:headerReference w:type="default" r:id="rId5"/>
      <w:headerReference w:type="first" r:id="rId6"/>
      <w:pgSz w:w="12240" w:h="15840"/>
      <w:pgMar w:top="1417" w:right="1417" w:bottom="1417" w:left="1417" w:header="400" w:footer="708" w:gutter="0"/>
      <w:cols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108" w:type="dxa"/>
        <w:right w:w="108" w:type="dxa"/>
      </w:tblCellMar>
    </w:tblPr>
    <w:tblGrid>
      <w:gridCol w:w="1881"/>
      <w:gridCol w:w="2822"/>
      <w:gridCol w:w="2822"/>
      <w:gridCol w:w="1881"/>
    </w:tblGrid>
    <w:tr>
      <w:tblPrEx>
        <w:tblW w:w="5000" w:type="pct"/>
      </w:tblPrEx>
      <w:tc>
        <w:tcPr>
          <w:gridSpan w:val="4"/>
        </w:tcPr>
        <w:p>
          <w:pPr>
            <w:pStyle w:val="HlavickaZlutyText"/>
            <w:jc w:val="center"/>
          </w:pPr>
        </w:p>
      </w:tc>
    </w:tr>
    <w:tr>
      <w:tblPrEx>
        <w:tblW w:w="5000" w:type="pct"/>
        <w:tblBorders>
          <w:bottom w:val="single" w:sz="12" w:space="0" w:color="000000"/>
        </w:tblBorders>
      </w:tblPrEx>
      <w:tc>
        <w:tcPr>
          <w:tcW w:w="1000" w:type="pct"/>
        </w:tcPr>
        <w:p>
          <w:pPr>
            <w:pStyle w:val="Hlavicka"/>
            <w:jc w:val="left"/>
          </w:pPr>
          <w:r>
            <w:t xml:space="preserve">strana </w:t>
          </w:r>
          <w:r>
            <w:fldChar w:fldCharType="begin"/>
          </w:r>
          <w:r>
            <w:instrText>PAGE</w:instrText>
          </w:r>
          <w:r>
            <w:fldChar w:fldCharType="separate"/>
          </w:r>
          <w:r>
            <w:fldChar w:fldCharType="end"/>
          </w:r>
        </w:p>
      </w:tc>
      <w:tc>
        <w:tcPr>
          <w:tcW w:w="3000" w:type="pct"/>
          <w:gridSpan w:val="2"/>
        </w:tcPr>
        <w:p>
          <w:pPr>
            <w:pStyle w:val="Hlavicka"/>
            <w:jc w:val="center"/>
          </w:pPr>
          <w:r>
            <w:t>Důvodová zpráva</w:t>
          </w:r>
        </w:p>
      </w:tc>
      <w:tc>
        <w:tcPr>
          <w:tcW w:w="1000" w:type="pct"/>
        </w:tcPr>
        <w:p>
          <w:pPr>
            <w:pStyle w:val="Hlavicka"/>
            <w:jc w:val="right"/>
          </w:pPr>
        </w:p>
      </w:tc>
    </w:tr>
    <w:tr>
      <w:tblPrEx>
        <w:tblW w:w="5000" w:type="pct"/>
      </w:tblPrEx>
      <w:tc>
        <w:tcPr>
          <w:tcW w:w="2500" w:type="pct"/>
          <w:gridSpan w:val="2"/>
        </w:tcPr>
        <w:p>
          <w:pPr>
            <w:pStyle w:val="Hlavicka"/>
            <w:jc w:val="left"/>
          </w:pPr>
          <w:r>
            <w:t>Uzavřená verze: 2026-0109-001-TVO</w:t>
          </w:r>
        </w:p>
      </w:tc>
      <w:tc>
        <w:tcPr>
          <w:tcW w:w="2500" w:type="pct"/>
          <w:gridSpan w:val="2"/>
        </w:tcPr>
        <w:p>
          <w:pPr>
            <w:pStyle w:val="Hlavicka"/>
            <w:jc w:val="right"/>
          </w:pPr>
        </w:p>
      </w:tc>
    </w:tr>
  </w:tbl>
  <w:p>
    <w:pPr>
      <w:pStyle w:val="Hlavic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108" w:type="dxa"/>
        <w:right w:w="108" w:type="dxa"/>
      </w:tblCellMar>
    </w:tblPr>
    <w:tblGrid>
      <w:gridCol w:w="1881"/>
      <w:gridCol w:w="2822"/>
      <w:gridCol w:w="2822"/>
      <w:gridCol w:w="1881"/>
    </w:tblGrid>
    <w:tr>
      <w:tblPrEx>
        <w:tblW w:w="5000" w:type="pct"/>
      </w:tblPrEx>
      <w:tc>
        <w:tcPr>
          <w:tcW w:w="2500" w:type="pct"/>
          <w:gridSpan w:val="4"/>
        </w:tcPr>
        <w:p>
          <w:pPr>
            <w:pStyle w:val="HlavickaZlutyText"/>
            <w:jc w:val="center"/>
          </w:pPr>
        </w:p>
      </w:tc>
    </w:tr>
    <w:tr>
      <w:tblPrEx>
        <w:tblW w:w="5000" w:type="pct"/>
        <w:tblBorders>
          <w:bottom w:val="single" w:sz="12" w:space="0" w:color="000000"/>
        </w:tblBorders>
      </w:tblPrEx>
      <w:tc>
        <w:tcPr>
          <w:tcW w:w="1000" w:type="pct"/>
        </w:tcPr>
        <w:p>
          <w:pPr>
            <w:pStyle w:val="Hlavicka"/>
            <w:jc w:val="left"/>
          </w:pPr>
        </w:p>
      </w:tc>
      <w:tc>
        <w:tcPr>
          <w:tcW w:w="3000" w:type="pct"/>
          <w:gridSpan w:val="2"/>
        </w:tcPr>
        <w:p>
          <w:pPr>
            <w:pStyle w:val="Hlavicka"/>
            <w:jc w:val="center"/>
          </w:pPr>
          <w:r>
            <w:t>Důvodová zpráva</w:t>
          </w:r>
        </w:p>
      </w:tc>
      <w:tc>
        <w:tcPr>
          <w:tcW w:w="1000" w:type="pct"/>
        </w:tcPr>
        <w:p>
          <w:pPr>
            <w:pStyle w:val="Hlavicka"/>
            <w:jc w:val="right"/>
          </w:pPr>
          <w:r>
            <w:t xml:space="preserve">strana </w:t>
          </w:r>
          <w:r>
            <w:fldChar w:fldCharType="begin"/>
          </w:r>
          <w:r>
            <w:instrText>PAGE</w:instrText>
          </w:r>
          <w:r>
            <w:fldChar w:fldCharType="separate"/>
          </w:r>
          <w:r>
            <w:fldChar w:fldCharType="end"/>
          </w:r>
        </w:p>
      </w:tc>
    </w:tr>
    <w:tr>
      <w:tblPrEx>
        <w:tblW w:w="5000" w:type="pct"/>
      </w:tblPrEx>
      <w:tc>
        <w:tcPr>
          <w:tcW w:w="2500" w:type="pct"/>
          <w:gridSpan w:val="2"/>
        </w:tcPr>
        <w:p>
          <w:pPr>
            <w:pStyle w:val="Hlavicka"/>
            <w:jc w:val="left"/>
          </w:pPr>
        </w:p>
      </w:tc>
      <w:tc>
        <w:tcPr>
          <w:tcW w:w="2500" w:type="pct"/>
          <w:gridSpan w:val="2"/>
        </w:tcPr>
        <w:p>
          <w:pPr>
            <w:pStyle w:val="Hlavicka"/>
            <w:jc w:val="right"/>
          </w:pPr>
          <w:r>
            <w:t>Uzavřená verze: 2026-0109-001-TVO</w:t>
          </w:r>
        </w:p>
      </w:tc>
    </w:tr>
  </w:tbl>
  <w:p>
    <w:pPr>
      <w:pStyle w:val="Hlavic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CellMar>
        <w:left w:w="108" w:type="dxa"/>
        <w:right w:w="108" w:type="dxa"/>
      </w:tblCellMar>
    </w:tblPr>
    <w:tblGrid>
      <w:gridCol w:w="9406"/>
    </w:tblGrid>
    <w:tr>
      <w:tblPrEx>
        <w:tblW w:w="5000" w:type="pct"/>
      </w:tblPrEx>
      <w:tc>
        <w:tcPr/>
        <w:p>
          <w:pPr>
            <w:pStyle w:val="HlavickaZlutyText"/>
            <w:jc w:val="center"/>
          </w:pPr>
        </w:p>
      </w:tc>
    </w:tr>
    <w:tr>
      <w:tblPrEx>
        <w:tblW w:w="5000" w:type="pct"/>
      </w:tblPrEx>
      <w:tc>
        <w:tcPr/>
        <w:p>
          <w:pPr>
            <w:pStyle w:val="Hlavicka"/>
            <w:jc w:val="right"/>
          </w:pPr>
        </w:p>
      </w:tc>
    </w:tr>
  </w:tbl>
  <w:p>
    <w:pPr>
      <w:pStyle w:val="Hlavic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evenAndOddHeaders/>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lavicka">
    <w:name w:val="Hlavicka"/>
    <w:rPr>
      <w:i/>
      <w:sz w:val="20"/>
    </w:rPr>
  </w:style>
  <w:style w:type="paragraph" w:customStyle="1" w:styleId="HlavickaZlutyText">
    <w:name w:val="HlavickaZlutyText"/>
    <w:rPr>
      <w:i w:val="0"/>
      <w:sz w:val="18"/>
    </w:rPr>
  </w:style>
  <w:style w:type="paragraph" w:customStyle="1" w:styleId="Variantastart">
    <w:name w:val="Varianta_start"/>
    <w:pPr>
      <w:pBdr>
        <w:top w:val="single" w:sz="8" w:space="0" w:color="800080"/>
      </w:pBdr>
      <w:spacing w:before="0" w:after="100"/>
      <w:jc w:val="left"/>
    </w:pPr>
    <w:rPr>
      <w:rFonts w:ascii="Times New Roman" w:eastAsia="Times New Roman" w:hAnsi="Times New Roman" w:cs="Times New Roman"/>
      <w:b/>
      <w:i/>
      <w:color w:val="800080"/>
      <w:sz w:val="20"/>
    </w:rPr>
  </w:style>
  <w:style w:type="paragraph" w:customStyle="1" w:styleId="Variantakonec">
    <w:name w:val="Varianta_konec"/>
    <w:pPr>
      <w:pBdr>
        <w:bottom w:val="single" w:sz="8" w:space="0" w:color="800080"/>
      </w:pBdr>
      <w:spacing w:before="0" w:after="100"/>
      <w:jc w:val="left"/>
    </w:pPr>
    <w:rPr>
      <w:rFonts w:ascii="Times New Roman" w:eastAsia="Times New Roman" w:hAnsi="Times New Roman" w:cs="Times New Roman"/>
      <w:b/>
      <w:i/>
      <w:color w:val="800080"/>
      <w:sz w:val="20"/>
    </w:rPr>
  </w:style>
  <w:style w:type="paragraph" w:customStyle="1" w:styleId="Ucinnoststart">
    <w:name w:val="Ucinnost_start"/>
    <w:pPr>
      <w:pBdr>
        <w:top w:val="single" w:sz="8" w:space="0" w:color="8B0000"/>
      </w:pBdr>
      <w:spacing w:before="0" w:after="100"/>
      <w:jc w:val="left"/>
    </w:pPr>
    <w:rPr>
      <w:rFonts w:ascii="Times New Roman" w:eastAsia="Times New Roman" w:hAnsi="Times New Roman" w:cs="Times New Roman"/>
      <w:b/>
      <w:i/>
      <w:color w:val="8B0000"/>
      <w:sz w:val="20"/>
    </w:rPr>
  </w:style>
  <w:style w:type="paragraph" w:customStyle="1" w:styleId="Ucinnostkonec">
    <w:name w:val="Ucinnost_konec"/>
    <w:pPr>
      <w:pBdr>
        <w:bottom w:val="single" w:sz="8" w:space="0" w:color="8B0000"/>
      </w:pBdr>
      <w:spacing w:before="0" w:after="100"/>
      <w:jc w:val="left"/>
    </w:pPr>
    <w:rPr>
      <w:rFonts w:ascii="Times New Roman" w:eastAsia="Times New Roman" w:hAnsi="Times New Roman" w:cs="Times New Roman"/>
      <w:b/>
      <w:i/>
      <w:color w:val="8B0000"/>
      <w:sz w:val="20"/>
    </w:rPr>
  </w:style>
  <w:style w:type="paragraph" w:customStyle="1" w:styleId="Celex">
    <w:name w:val="Celex"/>
    <w:pPr>
      <w:spacing w:before="120" w:after="120"/>
      <w:jc w:val="left"/>
    </w:pPr>
    <w:rPr>
      <w:rFonts w:ascii="Times New Roman" w:eastAsia="Times New Roman" w:hAnsi="Times New Roman" w:cs="Times New Roman"/>
      <w:i/>
      <w:sz w:val="20"/>
    </w:rPr>
  </w:style>
  <w:style w:type="paragraph" w:customStyle="1" w:styleId="Pripominkystart">
    <w:name w:val="Pripominky_start"/>
    <w:pPr>
      <w:pBdr>
        <w:top w:val="single" w:sz="8" w:space="0" w:color="87CEFA"/>
      </w:pBdr>
      <w:spacing w:before="0" w:after="100"/>
      <w:jc w:val="right"/>
    </w:pPr>
    <w:rPr>
      <w:rFonts w:ascii="Times New Roman" w:eastAsia="Times New Roman" w:hAnsi="Times New Roman" w:cs="Times New Roman"/>
      <w:b/>
      <w:i/>
      <w:color w:val="87CEFA"/>
      <w:sz w:val="20"/>
    </w:rPr>
  </w:style>
  <w:style w:type="paragraph" w:customStyle="1" w:styleId="1">
    <w:name w:val="1"/>
    <w:pPr>
      <w:spacing w:before="11" w:after="0"/>
      <w:ind w:right="0"/>
      <w:jc w:val="left"/>
    </w:pPr>
    <w:rPr>
      <w:rFonts w:ascii="Times New Roman" w:eastAsia="Times New Roman" w:hAnsi="Times New Roman" w:cs="Times New Roman"/>
      <w:sz w:val="0"/>
    </w:rPr>
  </w:style>
  <w:style w:type="paragraph" w:customStyle="1" w:styleId="2">
    <w:name w:val="2"/>
    <w:pPr>
      <w:spacing w:before="57" w:after="0"/>
      <w:ind w:right="227"/>
      <w:jc w:val="right"/>
    </w:pPr>
    <w:rPr>
      <w:rFonts w:ascii="Times New Roman" w:eastAsia="Times New Roman" w:hAnsi="Times New Roman" w:cs="Times New Roman"/>
      <w:b/>
      <w:sz w:val="40"/>
    </w:rPr>
  </w:style>
  <w:style w:type="paragraph" w:customStyle="1" w:styleId="3">
    <w:name w:val="3"/>
    <w:pPr>
      <w:spacing w:before="0" w:after="340"/>
      <w:ind w:left="680" w:right="680"/>
      <w:jc w:val="center"/>
    </w:pPr>
    <w:rPr>
      <w:rFonts w:ascii="Times New Roman" w:eastAsia="Times New Roman" w:hAnsi="Times New Roman" w:cs="Times New Roman"/>
      <w:b/>
      <w:sz w:val="44"/>
    </w:rPr>
  </w:style>
  <w:style w:type="paragraph" w:customStyle="1" w:styleId="4">
    <w:name w:val="4"/>
    <w:pPr>
      <w:spacing w:before="340" w:after="113"/>
      <w:ind w:left="850" w:right="850"/>
      <w:jc w:val="center"/>
    </w:pPr>
    <w:rPr>
      <w:rFonts w:ascii="Times New Roman" w:eastAsia="Times New Roman" w:hAnsi="Times New Roman" w:cs="Times New Roman"/>
      <w:b/>
      <w:sz w:val="34"/>
    </w:rPr>
  </w:style>
  <w:style w:type="paragraph" w:customStyle="1" w:styleId="5">
    <w:name w:val="5"/>
    <w:pPr>
      <w:spacing w:before="510" w:after="0"/>
      <w:ind w:left="850" w:right="850"/>
      <w:jc w:val="center"/>
    </w:pPr>
    <w:rPr>
      <w:rFonts w:ascii="Times New Roman" w:eastAsia="Times New Roman" w:hAnsi="Times New Roman" w:cs="Times New Roman"/>
      <w:b/>
      <w:sz w:val="32"/>
    </w:rPr>
  </w:style>
  <w:style w:type="paragraph" w:customStyle="1" w:styleId="6">
    <w:name w:val="6"/>
    <w:pPr>
      <w:overflowPunct/>
      <w:spacing w:before="283" w:after="113"/>
      <w:ind w:left="340" w:right="0" w:hanging="340"/>
      <w:jc w:val="left"/>
    </w:pPr>
    <w:rPr>
      <w:rFonts w:ascii="Times New Roman" w:eastAsia="Times New Roman" w:hAnsi="Times New Roman" w:cs="Times New Roman"/>
      <w:b/>
      <w:sz w:val="26"/>
    </w:rPr>
  </w:style>
  <w:style w:type="paragraph" w:customStyle="1" w:styleId="Varianta6start">
    <w:name w:val="Varianta_6_start"/>
    <w:pPr>
      <w:pBdr>
        <w:top w:val="single" w:sz="8" w:space="0" w:color="800080"/>
      </w:pBdr>
      <w:spacing w:before="0" w:after="100"/>
      <w:ind w:left="340"/>
      <w:jc w:val="left"/>
    </w:pPr>
    <w:rPr>
      <w:rFonts w:ascii="Times New Roman" w:eastAsia="Times New Roman" w:hAnsi="Times New Roman" w:cs="Times New Roman"/>
      <w:b/>
      <w:i/>
      <w:color w:val="800080"/>
      <w:sz w:val="20"/>
    </w:rPr>
  </w:style>
  <w:style w:type="paragraph" w:customStyle="1" w:styleId="Varianta6konec">
    <w:name w:val="Varianta_6_konec"/>
    <w:pPr>
      <w:pBdr>
        <w:bottom w:val="single" w:sz="8" w:space="0" w:color="800080"/>
      </w:pBdr>
      <w:spacing w:before="0" w:after="100"/>
      <w:ind w:left="340"/>
      <w:jc w:val="left"/>
    </w:pPr>
    <w:rPr>
      <w:rFonts w:ascii="Times New Roman" w:eastAsia="Times New Roman" w:hAnsi="Times New Roman" w:cs="Times New Roman"/>
      <w:b/>
      <w:i/>
      <w:color w:val="800080"/>
      <w:sz w:val="20"/>
    </w:rPr>
  </w:style>
  <w:style w:type="paragraph" w:customStyle="1" w:styleId="Ucinnost6start">
    <w:name w:val="Ucinnost_6_start"/>
    <w:pPr>
      <w:pBdr>
        <w:top w:val="single" w:sz="8" w:space="0" w:color="8B0000"/>
      </w:pBdr>
      <w:spacing w:before="0" w:after="100"/>
      <w:ind w:left="340"/>
      <w:jc w:val="left"/>
    </w:pPr>
    <w:rPr>
      <w:rFonts w:ascii="Times New Roman" w:eastAsia="Times New Roman" w:hAnsi="Times New Roman" w:cs="Times New Roman"/>
      <w:b/>
      <w:i/>
      <w:color w:val="8B0000"/>
      <w:sz w:val="20"/>
    </w:rPr>
  </w:style>
  <w:style w:type="paragraph" w:customStyle="1" w:styleId="Ucinnost6konec">
    <w:name w:val="Ucinnost_6_konec"/>
    <w:pPr>
      <w:pBdr>
        <w:bottom w:val="single" w:sz="8" w:space="0" w:color="8B0000"/>
      </w:pBdr>
      <w:spacing w:before="0" w:after="100"/>
      <w:ind w:left="340"/>
      <w:jc w:val="left"/>
    </w:pPr>
    <w:rPr>
      <w:rFonts w:ascii="Times New Roman" w:eastAsia="Times New Roman" w:hAnsi="Times New Roman" w:cs="Times New Roman"/>
      <w:b/>
      <w:i/>
      <w:color w:val="8B0000"/>
      <w:sz w:val="20"/>
    </w:rPr>
  </w:style>
  <w:style w:type="paragraph" w:customStyle="1" w:styleId="Pripominky6start">
    <w:name w:val="Pripominky_6_start"/>
    <w:pPr>
      <w:pBdr>
        <w:top w:val="single" w:sz="8" w:space="0" w:color="87CEFA"/>
      </w:pBdr>
      <w:spacing w:before="0" w:after="100"/>
      <w:ind w:left="340"/>
      <w:jc w:val="right"/>
    </w:pPr>
    <w:rPr>
      <w:rFonts w:ascii="Times New Roman" w:eastAsia="Times New Roman" w:hAnsi="Times New Roman" w:cs="Times New Roman"/>
      <w:b/>
      <w:i/>
      <w:color w:val="87CEFA"/>
      <w:sz w:val="20"/>
    </w:rPr>
  </w:style>
  <w:style w:type="paragraph" w:customStyle="1" w:styleId="7">
    <w:name w:val="7"/>
    <w:pPr>
      <w:spacing w:before="0" w:after="113"/>
      <w:ind w:right="0"/>
      <w:jc w:val="both"/>
    </w:pPr>
    <w:rPr>
      <w:rFonts w:ascii="Times New Roman" w:eastAsia="Times New Roman" w:hAnsi="Times New Roman" w:cs="Times New Roman"/>
      <w:sz w:val="24"/>
    </w:rPr>
  </w:style>
  <w:style w:type="paragraph" w:customStyle="1" w:styleId="8">
    <w:name w:val="8"/>
    <w:pPr>
      <w:spacing w:before="113" w:after="113"/>
      <w:ind w:right="0"/>
      <w:jc w:val="both"/>
    </w:pPr>
    <w:rPr>
      <w:rFonts w:ascii="Times New Roman" w:eastAsia="Times New Roman" w:hAnsi="Times New Roman" w:cs="Times New Roman"/>
      <w:sz w:val="24"/>
    </w:rPr>
  </w:style>
  <w:style w:type="paragraph" w:customStyle="1" w:styleId="9">
    <w:name w:val="9"/>
    <w:pPr>
      <w:spacing w:before="113" w:after="57"/>
      <w:ind w:right="0"/>
      <w:jc w:val="both"/>
    </w:pPr>
    <w:rPr>
      <w:rFonts w:ascii="Times New Roman" w:eastAsia="Times New Roman" w:hAnsi="Times New Roman" w:cs="Times New Roman"/>
      <w:sz w:val="24"/>
    </w:rPr>
  </w:style>
  <w:style w:type="paragraph" w:customStyle="1" w:styleId="10">
    <w:name w:val="10"/>
    <w:pPr>
      <w:spacing w:before="0" w:after="57"/>
      <w:ind w:right="0"/>
      <w:jc w:val="both"/>
    </w:pPr>
    <w:rPr>
      <w:rFonts w:ascii="Times New Roman" w:eastAsia="Times New Roman" w:hAnsi="Times New Roman" w:cs="Times New Roman"/>
      <w:sz w:val="24"/>
    </w:rPr>
  </w:style>
  <w:style w:type="paragraph" w:customStyle="1" w:styleId="11">
    <w:name w:val="11"/>
    <w:pPr>
      <w:overflowPunct/>
      <w:spacing w:before="170" w:after="57"/>
      <w:ind w:left="510" w:right="0" w:hanging="510"/>
      <w:jc w:val="left"/>
    </w:pPr>
    <w:rPr>
      <w:rFonts w:ascii="Times New Roman" w:eastAsia="Times New Roman" w:hAnsi="Times New Roman" w:cs="Times New Roman"/>
      <w:b/>
      <w:sz w:val="26"/>
    </w:rPr>
  </w:style>
  <w:style w:type="paragraph" w:customStyle="1" w:styleId="Varianta11start">
    <w:name w:val="Varianta_11_start"/>
    <w:pPr>
      <w:pBdr>
        <w:top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Varianta11konec">
    <w:name w:val="Varianta_11_konec"/>
    <w:pPr>
      <w:pBdr>
        <w:bottom w:val="single" w:sz="8" w:space="0" w:color="800080"/>
      </w:pBdr>
      <w:spacing w:before="0" w:after="100"/>
      <w:ind w:left="510"/>
      <w:jc w:val="left"/>
    </w:pPr>
    <w:rPr>
      <w:rFonts w:ascii="Times New Roman" w:eastAsia="Times New Roman" w:hAnsi="Times New Roman" w:cs="Times New Roman"/>
      <w:b/>
      <w:i/>
      <w:color w:val="800080"/>
      <w:sz w:val="20"/>
    </w:rPr>
  </w:style>
  <w:style w:type="paragraph" w:customStyle="1" w:styleId="Ucinnost11start">
    <w:name w:val="Ucinnost_11_start"/>
    <w:pPr>
      <w:pBdr>
        <w:top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Ucinnost11konec">
    <w:name w:val="Ucinnost_11_konec"/>
    <w:pPr>
      <w:pBdr>
        <w:bottom w:val="single" w:sz="8" w:space="0" w:color="8B0000"/>
      </w:pBdr>
      <w:spacing w:before="0" w:after="100"/>
      <w:ind w:left="510"/>
      <w:jc w:val="left"/>
    </w:pPr>
    <w:rPr>
      <w:rFonts w:ascii="Times New Roman" w:eastAsia="Times New Roman" w:hAnsi="Times New Roman" w:cs="Times New Roman"/>
      <w:b/>
      <w:i/>
      <w:color w:val="8B0000"/>
      <w:sz w:val="20"/>
    </w:rPr>
  </w:style>
  <w:style w:type="paragraph" w:customStyle="1" w:styleId="Pripominky11start">
    <w:name w:val="Pripominky_11_start"/>
    <w:pPr>
      <w:pBdr>
        <w:top w:val="single" w:sz="8" w:space="0" w:color="87CEFA"/>
      </w:pBdr>
      <w:spacing w:before="0" w:after="100"/>
      <w:ind w:left="510"/>
      <w:jc w:val="right"/>
    </w:pPr>
    <w:rPr>
      <w:rFonts w:ascii="Times New Roman" w:eastAsia="Times New Roman" w:hAnsi="Times New Roman" w:cs="Times New Roman"/>
      <w:b/>
      <w:i/>
      <w:color w:val="87CEF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