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10.svg" ContentType="image/svg+xml"/>
  <Override PartName="/word/media/image12.svg" ContentType="image/svg+xml"/>
  <Override PartName="/word/media/image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4.0 -->
  <w:body>
    <w:p w:rsidR="00067B3F" w:rsidRPr="000F2C87" w14:paraId="00000001" w14:textId="77777777">
      <w:pPr>
        <w:rPr>
          <w:b/>
          <w:bCs/>
          <w:lang w:val="cs-CZ"/>
        </w:rPr>
      </w:pPr>
    </w:p>
    <w:p w:rsidR="00067B3F" w:rsidRPr="000F2C87" w14:paraId="00000002" w14:textId="77777777">
      <w:pPr>
        <w:rPr>
          <w:b/>
          <w:bCs/>
          <w:lang w:val="cs-CZ"/>
        </w:rPr>
      </w:pPr>
    </w:p>
    <w:p w:rsidR="00067B3F" w:rsidRPr="000F2C87" w14:paraId="00000003" w14:textId="77777777">
      <w:pPr>
        <w:rPr>
          <w:b/>
          <w:bCs/>
          <w:lang w:val="cs-CZ"/>
        </w:rPr>
      </w:pPr>
    </w:p>
    <w:p w:rsidR="005046BB" w:rsidRPr="000F2C87" w14:paraId="7E88582B" w14:textId="77777777">
      <w:pPr>
        <w:rPr>
          <w:b/>
          <w:bCs/>
          <w:lang w:val="cs-CZ"/>
        </w:rPr>
      </w:pPr>
    </w:p>
    <w:p w:rsidR="00280DFE" w:rsidRPr="000F2C87" w14:paraId="6BB71637" w14:textId="77777777">
      <w:pPr>
        <w:rPr>
          <w:b/>
          <w:bCs/>
          <w:lang w:val="cs-CZ"/>
        </w:rPr>
      </w:pPr>
    </w:p>
    <w:p w:rsidR="00280DFE" w:rsidRPr="000F2C87" w14:paraId="39DE37ED" w14:textId="77777777">
      <w:pPr>
        <w:rPr>
          <w:b/>
          <w:bCs/>
          <w:lang w:val="cs-CZ"/>
        </w:rPr>
      </w:pPr>
    </w:p>
    <w:p w:rsidR="00EF73E4" w:rsidRPr="000F2C87" w14:paraId="5C3763AA" w14:textId="77777777">
      <w:pPr>
        <w:rPr>
          <w:b/>
          <w:bCs/>
          <w:lang w:val="cs-CZ"/>
        </w:rPr>
      </w:pPr>
    </w:p>
    <w:p w:rsidR="005046BB" w:rsidRPr="000F2C87" w14:paraId="0AF0184A" w14:textId="77777777">
      <w:pPr>
        <w:rPr>
          <w:b/>
          <w:bCs/>
          <w:lang w:val="cs-CZ"/>
        </w:rPr>
      </w:pPr>
    </w:p>
    <w:p w:rsidR="0040579E" w:rsidRPr="00495F5D" w:rsidP="0040579E" w14:paraId="4F3D2AC4" w14:textId="10D5EC11">
      <w:pPr>
        <w:rPr>
          <w:b/>
          <w:color w:val="024DA1"/>
          <w:sz w:val="60"/>
          <w:szCs w:val="60"/>
          <w:lang w:val="cs-CZ"/>
        </w:rPr>
      </w:pPr>
      <w:r w:rsidRPr="00495F5D">
        <w:rPr>
          <w:b/>
          <w:color w:val="024DA1"/>
          <w:sz w:val="40"/>
          <w:szCs w:val="40"/>
          <w:lang w:val="cs-CZ"/>
        </w:rPr>
        <w:t>MATERIÁL PRO VLÁDU</w:t>
      </w:r>
      <w:r w:rsidR="001663D2">
        <w:br/>
      </w:r>
      <w:r>
        <w:br/>
      </w:r>
      <w:r w:rsidRPr="5EA1DB50" w:rsidR="50E16A31">
        <w:rPr>
          <w:b/>
          <w:bCs/>
          <w:color w:val="024DA1"/>
          <w:sz w:val="52"/>
          <w:szCs w:val="52"/>
          <w:lang w:val="cs-CZ"/>
        </w:rPr>
        <w:t xml:space="preserve">NÁVRH </w:t>
      </w:r>
      <w:r w:rsidRPr="5EA1DB50" w:rsidR="560F39EC">
        <w:rPr>
          <w:b/>
          <w:bCs/>
          <w:color w:val="024DA1"/>
          <w:sz w:val="52"/>
          <w:szCs w:val="52"/>
          <w:lang w:val="cs-CZ"/>
        </w:rPr>
        <w:t>LEGISLATIVNÍ</w:t>
      </w:r>
      <w:r w:rsidRPr="5EA1DB50" w:rsidR="3EC41279">
        <w:rPr>
          <w:b/>
          <w:bCs/>
          <w:color w:val="024DA1"/>
          <w:sz w:val="52"/>
          <w:szCs w:val="52"/>
          <w:lang w:val="cs-CZ"/>
        </w:rPr>
        <w:t>CH</w:t>
      </w:r>
      <w:r w:rsidRPr="2F85D4F4" w:rsidR="560F39EC">
        <w:rPr>
          <w:b/>
          <w:bCs/>
          <w:color w:val="024DA1"/>
          <w:sz w:val="52"/>
          <w:szCs w:val="52"/>
          <w:lang w:val="cs-CZ"/>
        </w:rPr>
        <w:t xml:space="preserve"> A </w:t>
      </w:r>
      <w:r w:rsidRPr="5EA1DB50" w:rsidR="560F39EC">
        <w:rPr>
          <w:b/>
          <w:bCs/>
          <w:color w:val="024DA1"/>
          <w:sz w:val="52"/>
          <w:szCs w:val="52"/>
          <w:lang w:val="cs-CZ"/>
        </w:rPr>
        <w:t>NELEGISLATIVNÍ</w:t>
      </w:r>
      <w:r w:rsidRPr="5EA1DB50" w:rsidR="189B62A5">
        <w:rPr>
          <w:b/>
          <w:bCs/>
          <w:color w:val="024DA1"/>
          <w:sz w:val="52"/>
          <w:szCs w:val="52"/>
          <w:lang w:val="cs-CZ"/>
        </w:rPr>
        <w:t xml:space="preserve">CH </w:t>
      </w:r>
      <w:r w:rsidRPr="5B8B180F" w:rsidR="189B62A5">
        <w:rPr>
          <w:b/>
          <w:bCs/>
          <w:color w:val="024DA1"/>
          <w:sz w:val="52"/>
          <w:szCs w:val="52"/>
          <w:lang w:val="cs-CZ"/>
        </w:rPr>
        <w:t xml:space="preserve">ZMĚN </w:t>
      </w:r>
      <w:r w:rsidRPr="02FE66E8" w:rsidR="189B62A5">
        <w:rPr>
          <w:b/>
          <w:bCs/>
          <w:color w:val="024DA1"/>
          <w:sz w:val="52"/>
          <w:szCs w:val="52"/>
          <w:lang w:val="cs-CZ"/>
        </w:rPr>
        <w:t>NEZBYTNÝCH PRO</w:t>
      </w:r>
      <w:r w:rsidRPr="02FE66E8" w:rsidR="560F39EC">
        <w:rPr>
          <w:b/>
          <w:bCs/>
          <w:color w:val="024DA1"/>
          <w:sz w:val="52"/>
          <w:szCs w:val="52"/>
          <w:lang w:val="cs-CZ"/>
        </w:rPr>
        <w:t xml:space="preserve"> </w:t>
      </w:r>
      <w:r w:rsidRPr="02FE66E8">
        <w:rPr>
          <w:b/>
          <w:bCs/>
          <w:color w:val="024DA1"/>
          <w:sz w:val="52"/>
          <w:szCs w:val="52"/>
          <w:lang w:val="cs-CZ"/>
        </w:rPr>
        <w:t>IMPLEMENTAC</w:t>
      </w:r>
      <w:r w:rsidRPr="02FE66E8" w:rsidR="7AF5E995">
        <w:rPr>
          <w:b/>
          <w:bCs/>
          <w:color w:val="024DA1"/>
          <w:sz w:val="52"/>
          <w:szCs w:val="52"/>
          <w:lang w:val="cs-CZ"/>
        </w:rPr>
        <w:t>I</w:t>
      </w:r>
      <w:r w:rsidRPr="00495F5D">
        <w:rPr>
          <w:b/>
          <w:color w:val="024DA1"/>
          <w:sz w:val="52"/>
          <w:szCs w:val="52"/>
          <w:lang w:val="cs-CZ"/>
        </w:rPr>
        <w:t xml:space="preserve"> FINANČNÍCH NÁSTROJŮ V ČR </w:t>
      </w:r>
      <w:r w:rsidR="00DD36A6">
        <w:rPr>
          <w:b/>
          <w:bCs/>
          <w:color w:val="024DA1"/>
          <w:sz w:val="52"/>
          <w:szCs w:val="52"/>
          <w:lang w:val="cs-CZ"/>
        </w:rPr>
        <w:t>V </w:t>
      </w:r>
      <w:r w:rsidRPr="00495F5D">
        <w:rPr>
          <w:b/>
          <w:color w:val="024DA1"/>
          <w:sz w:val="52"/>
          <w:szCs w:val="52"/>
          <w:lang w:val="cs-CZ"/>
        </w:rPr>
        <w:t>OBDOBÍ 2028+</w:t>
      </w:r>
    </w:p>
    <w:p w:rsidR="004569AB" w:rsidP="004569AB" w14:paraId="03663084" w14:textId="77777777">
      <w:pPr>
        <w:rPr>
          <w:b/>
          <w:bCs/>
          <w:sz w:val="32"/>
          <w:szCs w:val="32"/>
          <w:lang w:val="cs-CZ"/>
        </w:rPr>
      </w:pPr>
    </w:p>
    <w:p w:rsidR="00782646" w:rsidP="004569AB" w14:paraId="57FA9116" w14:textId="77777777">
      <w:pPr>
        <w:rPr>
          <w:b/>
          <w:bCs/>
          <w:sz w:val="32"/>
          <w:szCs w:val="32"/>
          <w:lang w:val="cs-CZ"/>
        </w:rPr>
      </w:pPr>
    </w:p>
    <w:p w:rsidR="00782646" w:rsidRPr="000F2C87" w:rsidP="004569AB" w14:paraId="14C9ED22" w14:textId="77777777">
      <w:pPr>
        <w:rPr>
          <w:b/>
          <w:bCs/>
          <w:sz w:val="32"/>
          <w:szCs w:val="32"/>
          <w:lang w:val="cs-CZ"/>
        </w:rPr>
      </w:pPr>
    </w:p>
    <w:p w:rsidR="004569AB" w:rsidRPr="000F2C87" w:rsidP="004569AB" w14:paraId="1819EA58" w14:textId="77777777">
      <w:pPr>
        <w:rPr>
          <w:b/>
          <w:bCs/>
          <w:sz w:val="32"/>
          <w:szCs w:val="32"/>
          <w:lang w:val="cs-CZ"/>
        </w:rPr>
      </w:pPr>
    </w:p>
    <w:p w:rsidR="00735388" w:rsidP="004569AB" w14:paraId="79B2835D" w14:textId="77777777">
      <w:pPr>
        <w:rPr>
          <w:color w:val="024DA1"/>
          <w:sz w:val="32"/>
          <w:szCs w:val="32"/>
          <w:lang w:val="cs-CZ"/>
        </w:rPr>
      </w:pPr>
    </w:p>
    <w:p w:rsidR="00C075DE" w:rsidP="004569AB" w14:paraId="0AC60AAC" w14:textId="77777777">
      <w:pPr>
        <w:rPr>
          <w:color w:val="024DA1"/>
          <w:sz w:val="32"/>
          <w:szCs w:val="32"/>
          <w:lang w:val="cs-CZ"/>
        </w:rPr>
      </w:pPr>
    </w:p>
    <w:p w:rsidR="00952316" w:rsidP="004569AB" w14:paraId="48C1193D" w14:textId="77777777">
      <w:pPr>
        <w:rPr>
          <w:color w:val="024DA1"/>
          <w:sz w:val="40"/>
          <w:szCs w:val="40"/>
          <w:lang w:val="cs-CZ"/>
        </w:rPr>
      </w:pPr>
    </w:p>
    <w:p w:rsidR="004569AB" w:rsidRPr="00495F5D" w:rsidP="004569AB" w14:paraId="5B24BCB4" w14:textId="2F6E4A91">
      <w:pPr>
        <w:rPr>
          <w:color w:val="024DA1"/>
          <w:sz w:val="40"/>
          <w:szCs w:val="40"/>
          <w:lang w:val="cs-CZ"/>
        </w:rPr>
      </w:pPr>
      <w:r w:rsidRPr="53FC02EE">
        <w:rPr>
          <w:color w:val="024DA1"/>
          <w:sz w:val="40"/>
          <w:szCs w:val="40"/>
          <w:lang w:val="cs-CZ"/>
        </w:rPr>
        <w:t>Datum:</w:t>
      </w:r>
      <w:r w:rsidRPr="53FC02EE" w:rsidR="00760447">
        <w:rPr>
          <w:color w:val="024DA1"/>
          <w:sz w:val="40"/>
          <w:szCs w:val="40"/>
          <w:lang w:val="cs-CZ"/>
        </w:rPr>
        <w:t xml:space="preserve"> </w:t>
      </w:r>
      <w:r w:rsidR="00037BD7">
        <w:rPr>
          <w:color w:val="024DA1"/>
          <w:sz w:val="40"/>
          <w:szCs w:val="40"/>
          <w:lang w:val="cs-CZ"/>
        </w:rPr>
        <w:t>13</w:t>
      </w:r>
      <w:r w:rsidRPr="53FC02EE" w:rsidR="0803C657">
        <w:rPr>
          <w:color w:val="024DA1"/>
          <w:sz w:val="40"/>
          <w:szCs w:val="40"/>
          <w:lang w:val="cs-CZ"/>
        </w:rPr>
        <w:t xml:space="preserve">. </w:t>
      </w:r>
      <w:r w:rsidR="00804206">
        <w:rPr>
          <w:color w:val="024DA1"/>
          <w:sz w:val="40"/>
          <w:szCs w:val="40"/>
          <w:lang w:val="cs-CZ"/>
        </w:rPr>
        <w:t>5</w:t>
      </w:r>
      <w:r w:rsidRPr="53FC02EE" w:rsidR="00760447">
        <w:rPr>
          <w:color w:val="024DA1"/>
          <w:sz w:val="40"/>
          <w:szCs w:val="40"/>
          <w:lang w:val="cs-CZ"/>
        </w:rPr>
        <w:t>. 2026</w:t>
      </w:r>
    </w:p>
    <w:p w:rsidR="00067B3F" w:rsidRPr="00AD3406" w14:paraId="0000001B" w14:textId="13F9993E">
      <w:pPr>
        <w:rPr>
          <w:b/>
          <w:lang w:val="cs-CZ"/>
        </w:rPr>
      </w:pPr>
      <w:r w:rsidRPr="000F2C87">
        <w:rPr>
          <w:lang w:val="cs-CZ"/>
        </w:rPr>
        <w:br w:type="page"/>
      </w:r>
    </w:p>
    <w:p w:rsidR="00067B3F" w:rsidRPr="00D81A62" w14:paraId="0000001D" w14:textId="77777777">
      <w:pPr>
        <w:rPr>
          <w:rFonts w:ascii="Aptos SemiBold" w:hAnsi="Aptos SemiBold"/>
          <w:b/>
          <w:bCs/>
          <w:sz w:val="28"/>
          <w:szCs w:val="28"/>
          <w:lang w:val="cs-CZ"/>
        </w:rPr>
      </w:pPr>
      <w:r w:rsidRPr="00D81A62">
        <w:rPr>
          <w:rFonts w:ascii="Aptos SemiBold" w:hAnsi="Aptos SemiBold"/>
          <w:b/>
          <w:bCs/>
          <w:sz w:val="28"/>
          <w:szCs w:val="28"/>
          <w:lang w:val="cs-CZ"/>
        </w:rPr>
        <w:t>OBSAH</w:t>
      </w:r>
    </w:p>
    <w:sdt>
      <w:sdtPr>
        <w:rPr>
          <w:sz w:val="22"/>
          <w:szCs w:val="22"/>
          <w:lang w:val="cs-CZ"/>
        </w:rPr>
        <w:id w:val="-1332670880"/>
        <w:docPartObj>
          <w:docPartGallery w:val="Table of Contents"/>
          <w:docPartUnique/>
        </w:docPartObj>
      </w:sdtPr>
      <w:sdtEndPr>
        <w:rPr>
          <w:b/>
          <w:bCs/>
        </w:rPr>
      </w:sdtEndPr>
      <w:sdtContent>
        <w:p w:rsidR="00C266FD" w:rsidRPr="00495F5D" w14:paraId="559FC92A" w14:textId="3FD3D472">
          <w:pPr>
            <w:pStyle w:val="TOCHeading"/>
            <w:rPr>
              <w:lang w:val="cs-CZ"/>
            </w:rPr>
          </w:pPr>
        </w:p>
        <w:p w14:paraId="6DF54585" w14:textId="5DEDBB65">
          <w:pPr>
            <w:pStyle w:val="TOC1"/>
            <w:rPr>
              <w:rFonts w:asciiTheme="minorHAnsi" w:hAnsiTheme="minorHAnsi"/>
              <w:noProof/>
              <w:sz w:val="22"/>
            </w:rPr>
          </w:pPr>
          <w:r>
            <w:rPr>
              <w:lang w:val="cs-CZ"/>
            </w:rPr>
            <w:fldChar w:fldCharType="begin"/>
          </w:r>
          <w:r>
            <w:rPr>
              <w:lang w:val="cs-CZ"/>
            </w:rPr>
            <w:instrText xml:space="preserve"> TOC \o "1-2" \h \z \u </w:instrText>
          </w:r>
          <w:r>
            <w:rPr>
              <w:lang w:val="cs-CZ"/>
            </w:rPr>
            <w:fldChar w:fldCharType="separate"/>
          </w:r>
          <w:hyperlink w:anchor="_Toc256000001" w:history="1">
            <w:r w:rsidRPr="00B86D89">
              <w:rPr>
                <w:rStyle w:val="Hyperlink"/>
              </w:rPr>
              <w:t>MANAŽERSKÉ</w:t>
            </w:r>
            <w:r w:rsidRPr="000F2C87">
              <w:rPr>
                <w:rStyle w:val="Hyperlink"/>
              </w:rPr>
              <w:t xml:space="preserve"> </w:t>
            </w:r>
            <w:r w:rsidRPr="000F2C87">
              <w:rPr>
                <w:rStyle w:val="Hyperlink"/>
              </w:rPr>
              <w:t>SHRNUTÍ</w:t>
            </w:r>
            <w:r>
              <w:tab/>
            </w:r>
            <w:r>
              <w:fldChar w:fldCharType="begin"/>
            </w:r>
            <w:r>
              <w:instrText xml:space="preserve"> PAGEREF _Toc256000001 \h </w:instrText>
            </w:r>
            <w:r>
              <w:fldChar w:fldCharType="separate"/>
            </w:r>
            <w:r>
              <w:t>3</w:t>
            </w:r>
            <w:r>
              <w:fldChar w:fldCharType="end"/>
            </w:r>
          </w:hyperlink>
        </w:p>
        <w:p>
          <w:pPr>
            <w:pStyle w:val="TOC1"/>
            <w:rPr>
              <w:rFonts w:asciiTheme="minorHAnsi" w:hAnsiTheme="minorHAnsi"/>
              <w:noProof/>
              <w:sz w:val="22"/>
            </w:rPr>
          </w:pPr>
          <w:hyperlink w:anchor="_Toc256000002" w:history="1">
            <w:r>
              <w:rPr>
                <w:rStyle w:val="Hyperlink"/>
              </w:rPr>
              <w:t>I.</w:t>
            </w:r>
            <w:r>
              <w:rPr>
                <w:rFonts w:asciiTheme="minorHAnsi" w:hAnsiTheme="minorHAnsi"/>
                <w:noProof/>
                <w:sz w:val="22"/>
              </w:rPr>
              <w:tab/>
            </w:r>
            <w:r w:rsidRPr="00C82EBC">
              <w:rPr>
                <w:rStyle w:val="Hyperlink"/>
              </w:rPr>
              <w:t>ÚVOD</w:t>
            </w:r>
            <w:r>
              <w:tab/>
            </w:r>
            <w:r>
              <w:fldChar w:fldCharType="begin"/>
            </w:r>
            <w:r>
              <w:instrText xml:space="preserve"> PAGEREF _Toc256000002 \h </w:instrText>
            </w:r>
            <w:r>
              <w:fldChar w:fldCharType="separate"/>
            </w:r>
            <w:r>
              <w:t>4</w:t>
            </w:r>
            <w:r>
              <w:fldChar w:fldCharType="end"/>
            </w:r>
          </w:hyperlink>
        </w:p>
        <w:p>
          <w:pPr>
            <w:pStyle w:val="TOC1"/>
            <w:rPr>
              <w:rFonts w:asciiTheme="minorHAnsi" w:hAnsiTheme="minorHAnsi"/>
              <w:noProof/>
              <w:sz w:val="22"/>
            </w:rPr>
          </w:pPr>
          <w:hyperlink w:anchor="_Toc256000003" w:history="1">
            <w:r>
              <w:rPr>
                <w:rStyle w:val="Hyperlink"/>
              </w:rPr>
              <w:t>II.</w:t>
            </w:r>
            <w:r>
              <w:rPr>
                <w:rFonts w:asciiTheme="minorHAnsi" w:hAnsiTheme="minorHAnsi"/>
                <w:noProof/>
                <w:sz w:val="22"/>
              </w:rPr>
              <w:tab/>
            </w:r>
            <w:r w:rsidRPr="00270696">
              <w:rPr>
                <w:rStyle w:val="Hyperlink"/>
              </w:rPr>
              <w:t xml:space="preserve">ZKUŠENOSTI </w:t>
            </w:r>
            <w:r w:rsidR="00E66F67">
              <w:rPr>
                <w:rStyle w:val="Hyperlink"/>
              </w:rPr>
              <w:t>Z</w:t>
            </w:r>
            <w:r w:rsidRPr="00270696" w:rsidR="00354D7F">
              <w:rPr>
                <w:rStyle w:val="Hyperlink"/>
              </w:rPr>
              <w:t xml:space="preserve"> OBDOBÍ</w:t>
            </w:r>
            <w:r w:rsidRPr="00270696" w:rsidR="00005CB1">
              <w:rPr>
                <w:rStyle w:val="Hyperlink"/>
              </w:rPr>
              <w:t xml:space="preserve"> 2021</w:t>
            </w:r>
            <w:r w:rsidRPr="00322BB1" w:rsidR="00322BB1">
              <w:rPr>
                <w:rStyle w:val="Hyperlink"/>
              </w:rPr>
              <w:t>–</w:t>
            </w:r>
            <w:r w:rsidRPr="00270696" w:rsidR="00625220">
              <w:rPr>
                <w:rStyle w:val="Hyperlink"/>
              </w:rPr>
              <w:t>2027 A 2014</w:t>
            </w:r>
            <w:r w:rsidRPr="00322BB1" w:rsidR="00322BB1">
              <w:rPr>
                <w:rStyle w:val="Hyperlink"/>
              </w:rPr>
              <w:t>–</w:t>
            </w:r>
            <w:r w:rsidRPr="00270696" w:rsidR="00625220">
              <w:rPr>
                <w:rStyle w:val="Hyperlink"/>
              </w:rPr>
              <w:t>2020</w:t>
            </w:r>
            <w:r>
              <w:tab/>
            </w:r>
            <w:r>
              <w:fldChar w:fldCharType="begin"/>
            </w:r>
            <w:r>
              <w:instrText xml:space="preserve"> PAGEREF _Toc256000003 \h </w:instrText>
            </w:r>
            <w:r>
              <w:fldChar w:fldCharType="separate"/>
            </w:r>
            <w:r>
              <w:t>7</w:t>
            </w:r>
            <w:r>
              <w:fldChar w:fldCharType="end"/>
            </w:r>
          </w:hyperlink>
        </w:p>
        <w:p>
          <w:pPr>
            <w:pStyle w:val="TOC2"/>
            <w:rPr>
              <w:rFonts w:asciiTheme="minorHAnsi" w:hAnsiTheme="minorHAnsi"/>
              <w:noProof/>
              <w:sz w:val="22"/>
            </w:rPr>
          </w:pPr>
          <w:hyperlink w:anchor="_Toc256000004" w:history="1">
            <w:r>
              <w:rPr>
                <w:rStyle w:val="Hyperlink"/>
              </w:rPr>
              <w:t>1.</w:t>
            </w:r>
            <w:r>
              <w:rPr>
                <w:rFonts w:asciiTheme="minorHAnsi" w:hAnsiTheme="minorHAnsi"/>
                <w:noProof/>
                <w:sz w:val="22"/>
              </w:rPr>
              <w:tab/>
            </w:r>
            <w:r w:rsidRPr="00270696">
              <w:rPr>
                <w:rStyle w:val="Hyperlink"/>
              </w:rPr>
              <w:t>Období 2021–2027</w:t>
            </w:r>
            <w:r>
              <w:tab/>
            </w:r>
            <w:r>
              <w:fldChar w:fldCharType="begin"/>
            </w:r>
            <w:r>
              <w:instrText xml:space="preserve"> PAGEREF _Toc256000004 \h </w:instrText>
            </w:r>
            <w:r>
              <w:fldChar w:fldCharType="separate"/>
            </w:r>
            <w:r>
              <w:t>7</w:t>
            </w:r>
            <w:r>
              <w:fldChar w:fldCharType="end"/>
            </w:r>
          </w:hyperlink>
        </w:p>
        <w:p>
          <w:pPr>
            <w:pStyle w:val="TOC2"/>
            <w:rPr>
              <w:rFonts w:asciiTheme="minorHAnsi" w:hAnsiTheme="minorHAnsi"/>
              <w:noProof/>
              <w:sz w:val="22"/>
            </w:rPr>
          </w:pPr>
          <w:hyperlink w:anchor="_Toc256000005" w:history="1">
            <w:r>
              <w:rPr>
                <w:rStyle w:val="Hyperlink"/>
              </w:rPr>
              <w:t>2.</w:t>
            </w:r>
            <w:r>
              <w:rPr>
                <w:rFonts w:asciiTheme="minorHAnsi" w:hAnsiTheme="minorHAnsi"/>
                <w:noProof/>
                <w:sz w:val="22"/>
              </w:rPr>
              <w:tab/>
            </w:r>
            <w:r>
              <w:rPr>
                <w:rStyle w:val="Hyperlink"/>
              </w:rPr>
              <w:t xml:space="preserve">Období </w:t>
            </w:r>
            <w:r w:rsidRPr="00C82EBC">
              <w:rPr>
                <w:rStyle w:val="Hyperlink"/>
              </w:rPr>
              <w:t>2014–2020</w:t>
            </w:r>
            <w:r>
              <w:tab/>
            </w:r>
            <w:r>
              <w:fldChar w:fldCharType="begin"/>
            </w:r>
            <w:r>
              <w:instrText xml:space="preserve"> PAGEREF _Toc256000005 \h </w:instrText>
            </w:r>
            <w:r>
              <w:fldChar w:fldCharType="separate"/>
            </w:r>
            <w:r>
              <w:t>9</w:t>
            </w:r>
            <w:r>
              <w:fldChar w:fldCharType="end"/>
            </w:r>
          </w:hyperlink>
        </w:p>
        <w:p>
          <w:pPr>
            <w:pStyle w:val="TOC1"/>
            <w:rPr>
              <w:rFonts w:asciiTheme="minorHAnsi" w:hAnsiTheme="minorHAnsi"/>
              <w:noProof/>
              <w:sz w:val="22"/>
            </w:rPr>
          </w:pPr>
          <w:hyperlink w:anchor="_Toc256000006" w:history="1">
            <w:r>
              <w:rPr>
                <w:rStyle w:val="Hyperlink"/>
              </w:rPr>
              <w:t>III.</w:t>
            </w:r>
            <w:r>
              <w:rPr>
                <w:rFonts w:asciiTheme="minorHAnsi" w:hAnsiTheme="minorHAnsi"/>
                <w:noProof/>
                <w:sz w:val="22"/>
              </w:rPr>
              <w:tab/>
            </w:r>
            <w:r>
              <w:rPr>
                <w:rStyle w:val="Hyperlink"/>
              </w:rPr>
              <w:t xml:space="preserve">PRAVIDLA </w:t>
            </w:r>
            <w:r w:rsidR="007A6C7E">
              <w:rPr>
                <w:rStyle w:val="Hyperlink"/>
              </w:rPr>
              <w:t xml:space="preserve">PRO </w:t>
            </w:r>
            <w:r w:rsidR="004C2585">
              <w:rPr>
                <w:rStyle w:val="Hyperlink"/>
              </w:rPr>
              <w:t>FINANČNÍ NÁSTROJE</w:t>
            </w:r>
            <w:r w:rsidR="007A6C7E">
              <w:rPr>
                <w:rStyle w:val="Hyperlink"/>
              </w:rPr>
              <w:t xml:space="preserve"> V EU</w:t>
            </w:r>
            <w:r>
              <w:tab/>
            </w:r>
            <w:r>
              <w:fldChar w:fldCharType="begin"/>
            </w:r>
            <w:r>
              <w:instrText xml:space="preserve"> PAGEREF _Toc256000006 \h </w:instrText>
            </w:r>
            <w:r>
              <w:fldChar w:fldCharType="separate"/>
            </w:r>
            <w:r>
              <w:t>11</w:t>
            </w:r>
            <w:r>
              <w:fldChar w:fldCharType="end"/>
            </w:r>
          </w:hyperlink>
        </w:p>
        <w:p>
          <w:pPr>
            <w:pStyle w:val="TOC2"/>
            <w:rPr>
              <w:rFonts w:asciiTheme="minorHAnsi" w:hAnsiTheme="minorHAnsi"/>
              <w:noProof/>
              <w:sz w:val="22"/>
            </w:rPr>
          </w:pPr>
          <w:hyperlink w:anchor="_Toc256000007" w:history="1">
            <w:r>
              <w:rPr>
                <w:rStyle w:val="Hyperlink"/>
              </w:rPr>
              <w:t>3.</w:t>
            </w:r>
            <w:r>
              <w:rPr>
                <w:rFonts w:asciiTheme="minorHAnsi" w:hAnsiTheme="minorHAnsi"/>
                <w:noProof/>
                <w:sz w:val="22"/>
              </w:rPr>
              <w:tab/>
            </w:r>
            <w:r w:rsidRPr="009D6474">
              <w:rPr>
                <w:rStyle w:val="Hyperlink"/>
              </w:rPr>
              <w:t>NRPP a výkonnos</w:t>
            </w:r>
            <w:r w:rsidR="00534292">
              <w:rPr>
                <w:rStyle w:val="Hyperlink"/>
              </w:rPr>
              <w:t>tní rám</w:t>
            </w:r>
            <w:r w:rsidR="00FC6CF4">
              <w:rPr>
                <w:rStyle w:val="Hyperlink"/>
              </w:rPr>
              <w:t>ec</w:t>
            </w:r>
            <w:r>
              <w:tab/>
            </w:r>
            <w:r>
              <w:fldChar w:fldCharType="begin"/>
            </w:r>
            <w:r>
              <w:instrText xml:space="preserve"> PAGEREF _Toc256000007 \h </w:instrText>
            </w:r>
            <w:r>
              <w:fldChar w:fldCharType="separate"/>
            </w:r>
            <w:r>
              <w:t>11</w:t>
            </w:r>
            <w:r>
              <w:fldChar w:fldCharType="end"/>
            </w:r>
          </w:hyperlink>
        </w:p>
        <w:p>
          <w:pPr>
            <w:pStyle w:val="TOC2"/>
            <w:rPr>
              <w:rFonts w:asciiTheme="minorHAnsi" w:hAnsiTheme="minorHAnsi"/>
              <w:noProof/>
              <w:sz w:val="22"/>
            </w:rPr>
          </w:pPr>
          <w:hyperlink w:anchor="_Toc256000008" w:history="1">
            <w:r>
              <w:rPr>
                <w:rStyle w:val="Hyperlink"/>
              </w:rPr>
              <w:t>4.</w:t>
            </w:r>
            <w:r>
              <w:rPr>
                <w:rFonts w:asciiTheme="minorHAnsi" w:hAnsiTheme="minorHAnsi"/>
                <w:noProof/>
                <w:sz w:val="22"/>
              </w:rPr>
              <w:tab/>
            </w:r>
            <w:r w:rsidRPr="000F2C87">
              <w:rPr>
                <w:rStyle w:val="Hyperlink"/>
              </w:rPr>
              <w:t>Další podmínky fondů EU</w:t>
            </w:r>
            <w:r>
              <w:tab/>
            </w:r>
            <w:r>
              <w:fldChar w:fldCharType="begin"/>
            </w:r>
            <w:r>
              <w:instrText xml:space="preserve"> PAGEREF _Toc256000008 \h </w:instrText>
            </w:r>
            <w:r>
              <w:fldChar w:fldCharType="separate"/>
            </w:r>
            <w:r>
              <w:t>12</w:t>
            </w:r>
            <w:r>
              <w:fldChar w:fldCharType="end"/>
            </w:r>
          </w:hyperlink>
        </w:p>
        <w:p>
          <w:pPr>
            <w:pStyle w:val="TOC1"/>
            <w:rPr>
              <w:rFonts w:asciiTheme="minorHAnsi" w:hAnsiTheme="minorHAnsi"/>
              <w:noProof/>
              <w:sz w:val="22"/>
            </w:rPr>
          </w:pPr>
          <w:hyperlink w:anchor="_Toc256000009" w:history="1">
            <w:r>
              <w:rPr>
                <w:rStyle w:val="Hyperlink"/>
              </w:rPr>
              <w:t>IV.</w:t>
            </w:r>
            <w:r>
              <w:rPr>
                <w:rFonts w:asciiTheme="minorHAnsi" w:hAnsiTheme="minorHAnsi"/>
                <w:noProof/>
                <w:sz w:val="22"/>
              </w:rPr>
              <w:tab/>
            </w:r>
            <w:r>
              <w:rPr>
                <w:rStyle w:val="Hyperlink"/>
              </w:rPr>
              <w:t xml:space="preserve">BARIÉRY </w:t>
            </w:r>
            <w:r w:rsidR="004C2585">
              <w:rPr>
                <w:rStyle w:val="Hyperlink"/>
              </w:rPr>
              <w:t>REALIZACE FINANČNÍCH NÁSTROJŮ</w:t>
            </w:r>
            <w:r>
              <w:tab/>
            </w:r>
            <w:r>
              <w:fldChar w:fldCharType="begin"/>
            </w:r>
            <w:r>
              <w:instrText xml:space="preserve"> PAGEREF _Toc256000009 \h </w:instrText>
            </w:r>
            <w:r>
              <w:fldChar w:fldCharType="separate"/>
            </w:r>
            <w:r>
              <w:t>14</w:t>
            </w:r>
            <w:r>
              <w:fldChar w:fldCharType="end"/>
            </w:r>
          </w:hyperlink>
        </w:p>
        <w:p>
          <w:pPr>
            <w:pStyle w:val="TOC2"/>
            <w:rPr>
              <w:rFonts w:asciiTheme="minorHAnsi" w:hAnsiTheme="minorHAnsi"/>
              <w:noProof/>
              <w:sz w:val="22"/>
            </w:rPr>
          </w:pPr>
          <w:hyperlink w:anchor="_Toc256000010" w:history="1">
            <w:r>
              <w:rPr>
                <w:rStyle w:val="Hyperlink"/>
              </w:rPr>
              <w:t>5.</w:t>
            </w:r>
            <w:r>
              <w:rPr>
                <w:rFonts w:asciiTheme="minorHAnsi" w:hAnsiTheme="minorHAnsi"/>
                <w:noProof/>
                <w:sz w:val="22"/>
              </w:rPr>
              <w:tab/>
            </w:r>
            <w:r w:rsidRPr="000F2C87">
              <w:rPr>
                <w:rStyle w:val="Hyperlink"/>
              </w:rPr>
              <w:t>Legislativní překážky</w:t>
            </w:r>
            <w:r>
              <w:tab/>
            </w:r>
            <w:r>
              <w:fldChar w:fldCharType="begin"/>
            </w:r>
            <w:r>
              <w:instrText xml:space="preserve"> PAGEREF _Toc256000010 \h </w:instrText>
            </w:r>
            <w:r>
              <w:fldChar w:fldCharType="separate"/>
            </w:r>
            <w:r>
              <w:t>14</w:t>
            </w:r>
            <w:r>
              <w:fldChar w:fldCharType="end"/>
            </w:r>
          </w:hyperlink>
        </w:p>
        <w:p>
          <w:pPr>
            <w:pStyle w:val="TOC2"/>
            <w:rPr>
              <w:rFonts w:asciiTheme="minorHAnsi" w:hAnsiTheme="minorHAnsi"/>
              <w:noProof/>
              <w:sz w:val="22"/>
            </w:rPr>
          </w:pPr>
          <w:hyperlink w:anchor="_Toc256000011" w:history="1">
            <w:r>
              <w:rPr>
                <w:rStyle w:val="Hyperlink"/>
              </w:rPr>
              <w:t>6.</w:t>
            </w:r>
            <w:r>
              <w:rPr>
                <w:rFonts w:asciiTheme="minorHAnsi" w:hAnsiTheme="minorHAnsi"/>
                <w:noProof/>
                <w:sz w:val="22"/>
              </w:rPr>
              <w:tab/>
            </w:r>
            <w:r w:rsidRPr="000F2C87">
              <w:rPr>
                <w:rStyle w:val="Hyperlink"/>
              </w:rPr>
              <w:t>Nelegislativní bariéry</w:t>
            </w:r>
            <w:r>
              <w:tab/>
            </w:r>
            <w:r>
              <w:fldChar w:fldCharType="begin"/>
            </w:r>
            <w:r>
              <w:instrText xml:space="preserve"> PAGEREF _Toc256000011 \h </w:instrText>
            </w:r>
            <w:r>
              <w:fldChar w:fldCharType="separate"/>
            </w:r>
            <w:r>
              <w:t>22</w:t>
            </w:r>
            <w:r>
              <w:fldChar w:fldCharType="end"/>
            </w:r>
          </w:hyperlink>
        </w:p>
        <w:p>
          <w:pPr>
            <w:pStyle w:val="TOC1"/>
            <w:rPr>
              <w:rFonts w:asciiTheme="minorHAnsi" w:hAnsiTheme="minorHAnsi"/>
              <w:noProof/>
              <w:sz w:val="22"/>
            </w:rPr>
          </w:pPr>
          <w:hyperlink w:anchor="_Toc256000012" w:history="1">
            <w:r>
              <w:rPr>
                <w:rStyle w:val="Hyperlink"/>
              </w:rPr>
              <w:t>V.</w:t>
            </w:r>
            <w:r>
              <w:rPr>
                <w:rFonts w:asciiTheme="minorHAnsi" w:hAnsiTheme="minorHAnsi"/>
                <w:noProof/>
                <w:sz w:val="22"/>
              </w:rPr>
              <w:tab/>
            </w:r>
            <w:r w:rsidRPr="007F315C">
              <w:rPr>
                <w:rStyle w:val="Hyperlink"/>
              </w:rPr>
              <w:t>ZAPOJENÉ</w:t>
            </w:r>
            <w:r>
              <w:rPr>
                <w:rStyle w:val="Hyperlink"/>
              </w:rPr>
              <w:t xml:space="preserve"> SUBJEKTY</w:t>
            </w:r>
            <w:r w:rsidR="00A571ED">
              <w:rPr>
                <w:rStyle w:val="Hyperlink"/>
              </w:rPr>
              <w:t xml:space="preserve"> DO IMPLEMENTACE</w:t>
            </w:r>
            <w:r w:rsidR="00CC3A7B">
              <w:rPr>
                <w:rStyle w:val="Hyperlink"/>
              </w:rPr>
              <w:t xml:space="preserve"> </w:t>
            </w:r>
            <w:r w:rsidR="006F771F">
              <w:rPr>
                <w:rStyle w:val="Hyperlink"/>
              </w:rPr>
              <w:t xml:space="preserve">FINANČNÍCH NÁSTROJŮ </w:t>
            </w:r>
            <w:r w:rsidR="00CC3A7B">
              <w:rPr>
                <w:rStyle w:val="Hyperlink"/>
              </w:rPr>
              <w:t>V NRPP</w:t>
            </w:r>
            <w:r>
              <w:tab/>
            </w:r>
            <w:r>
              <w:fldChar w:fldCharType="begin"/>
            </w:r>
            <w:r>
              <w:instrText xml:space="preserve"> PAGEREF _Toc256000012 \h </w:instrText>
            </w:r>
            <w:r>
              <w:fldChar w:fldCharType="separate"/>
            </w:r>
            <w:r>
              <w:t>30</w:t>
            </w:r>
            <w:r>
              <w:fldChar w:fldCharType="end"/>
            </w:r>
          </w:hyperlink>
        </w:p>
        <w:p>
          <w:pPr>
            <w:pStyle w:val="TOC1"/>
            <w:rPr>
              <w:rFonts w:asciiTheme="minorHAnsi" w:hAnsiTheme="minorHAnsi"/>
              <w:noProof/>
              <w:sz w:val="22"/>
            </w:rPr>
          </w:pPr>
          <w:hyperlink w:anchor="_Toc256000013" w:history="1">
            <w:r>
              <w:rPr>
                <w:rStyle w:val="Hyperlink"/>
              </w:rPr>
              <w:t>VI.</w:t>
            </w:r>
            <w:r>
              <w:rPr>
                <w:rFonts w:asciiTheme="minorHAnsi" w:hAnsiTheme="minorHAnsi"/>
                <w:noProof/>
                <w:sz w:val="22"/>
              </w:rPr>
              <w:tab/>
            </w:r>
            <w:r>
              <w:rPr>
                <w:rStyle w:val="Hyperlink"/>
              </w:rPr>
              <w:t>ZÁVĚR</w:t>
            </w:r>
            <w:r>
              <w:tab/>
            </w:r>
            <w:r>
              <w:fldChar w:fldCharType="begin"/>
            </w:r>
            <w:r>
              <w:instrText xml:space="preserve"> PAGEREF _Toc256000013 \h </w:instrText>
            </w:r>
            <w:r>
              <w:fldChar w:fldCharType="separate"/>
            </w:r>
            <w:r>
              <w:t>34</w:t>
            </w:r>
            <w:r>
              <w:fldChar w:fldCharType="end"/>
            </w:r>
          </w:hyperlink>
        </w:p>
        <w:p>
          <w:pPr>
            <w:pStyle w:val="TOC1"/>
            <w:rPr>
              <w:rFonts w:asciiTheme="minorHAnsi" w:hAnsiTheme="minorHAnsi"/>
              <w:noProof/>
              <w:sz w:val="22"/>
            </w:rPr>
          </w:pPr>
          <w:hyperlink w:anchor="_Toc256000014" w:history="1">
            <w:r>
              <w:rPr>
                <w:rStyle w:val="Hyperlink"/>
              </w:rPr>
              <w:t>VII.</w:t>
            </w:r>
            <w:r>
              <w:rPr>
                <w:rFonts w:asciiTheme="minorHAnsi" w:hAnsiTheme="minorHAnsi"/>
                <w:noProof/>
                <w:sz w:val="22"/>
              </w:rPr>
              <w:tab/>
            </w:r>
            <w:r w:rsidRPr="000F2C87">
              <w:rPr>
                <w:rStyle w:val="Hyperlink"/>
              </w:rPr>
              <w:t>PŘÍLOHY</w:t>
            </w:r>
            <w:r>
              <w:tab/>
            </w:r>
            <w:r>
              <w:fldChar w:fldCharType="begin"/>
            </w:r>
            <w:r>
              <w:instrText xml:space="preserve"> PAGEREF _Toc256000014 \h </w:instrText>
            </w:r>
            <w:r>
              <w:fldChar w:fldCharType="separate"/>
            </w:r>
            <w:r>
              <w:t>35</w:t>
            </w:r>
            <w:r>
              <w:fldChar w:fldCharType="end"/>
            </w:r>
          </w:hyperlink>
        </w:p>
        <w:p>
          <w:pPr>
            <w:pStyle w:val="TOC1"/>
            <w:rPr>
              <w:rFonts w:asciiTheme="minorHAnsi" w:hAnsiTheme="minorHAnsi"/>
              <w:noProof/>
              <w:sz w:val="22"/>
            </w:rPr>
          </w:pPr>
          <w:hyperlink w:anchor="_Toc256000015" w:history="1">
            <w:r w:rsidRPr="000F2C87">
              <w:rPr>
                <w:rStyle w:val="Hyperlink"/>
              </w:rPr>
              <w:t>Příloha č.</w:t>
            </w:r>
            <w:r w:rsidR="008368E6">
              <w:rPr>
                <w:rStyle w:val="Hyperlink"/>
              </w:rPr>
              <w:t xml:space="preserve"> 1 – Seznam zkratek</w:t>
            </w:r>
            <w:r>
              <w:tab/>
            </w:r>
            <w:r>
              <w:fldChar w:fldCharType="begin"/>
            </w:r>
            <w:r>
              <w:instrText xml:space="preserve"> PAGEREF _Toc256000015 \h </w:instrText>
            </w:r>
            <w:r>
              <w:fldChar w:fldCharType="separate"/>
            </w:r>
            <w:r>
              <w:t>36</w:t>
            </w:r>
            <w:r>
              <w:fldChar w:fldCharType="end"/>
            </w:r>
          </w:hyperlink>
        </w:p>
        <w:p>
          <w:pPr>
            <w:pStyle w:val="TOC1"/>
            <w:rPr>
              <w:rFonts w:asciiTheme="minorHAnsi" w:hAnsiTheme="minorHAnsi"/>
              <w:noProof/>
              <w:sz w:val="22"/>
            </w:rPr>
          </w:pPr>
          <w:hyperlink w:anchor="_Toc256000016" w:history="1">
            <w:r w:rsidRPr="000F2C87">
              <w:rPr>
                <w:rStyle w:val="Hyperlink"/>
              </w:rPr>
              <w:t>Příloha č.</w:t>
            </w:r>
            <w:r w:rsidR="008368E6">
              <w:rPr>
                <w:rStyle w:val="Hyperlink"/>
              </w:rPr>
              <w:t xml:space="preserve"> </w:t>
            </w:r>
            <w:r w:rsidRPr="000F2C87">
              <w:rPr>
                <w:rStyle w:val="Hyperlink"/>
              </w:rPr>
              <w:t>2</w:t>
            </w:r>
            <w:r w:rsidR="008368E6">
              <w:rPr>
                <w:rStyle w:val="Hyperlink"/>
              </w:rPr>
              <w:t xml:space="preserve"> –</w:t>
            </w:r>
            <w:r w:rsidR="00470BEB">
              <w:rPr>
                <w:rStyle w:val="Hyperlink"/>
              </w:rPr>
              <w:t xml:space="preserve"> </w:t>
            </w:r>
            <w:r w:rsidR="008368E6">
              <w:rPr>
                <w:rStyle w:val="Hyperlink"/>
              </w:rPr>
              <w:t>Role</w:t>
            </w:r>
            <w:r w:rsidRPr="000F2C87" w:rsidR="00BB34D0">
              <w:rPr>
                <w:rStyle w:val="Hyperlink"/>
              </w:rPr>
              <w:t xml:space="preserve"> národních rozvojových finančních institucí v EU a</w:t>
            </w:r>
            <w:r w:rsidR="004C1471">
              <w:rPr>
                <w:rStyle w:val="Hyperlink"/>
              </w:rPr>
              <w:t> </w:t>
            </w:r>
            <w:r w:rsidRPr="000F2C87" w:rsidR="00BB34D0">
              <w:rPr>
                <w:rStyle w:val="Hyperlink"/>
              </w:rPr>
              <w:t>OECD</w:t>
            </w:r>
            <w:r>
              <w:tab/>
            </w:r>
            <w:r>
              <w:fldChar w:fldCharType="begin"/>
            </w:r>
            <w:r>
              <w:instrText xml:space="preserve"> PAGEREF _Toc256000016 \h </w:instrText>
            </w:r>
            <w:r>
              <w:fldChar w:fldCharType="separate"/>
            </w:r>
            <w:r>
              <w:t>38</w:t>
            </w:r>
            <w:r>
              <w:fldChar w:fldCharType="end"/>
            </w:r>
          </w:hyperlink>
        </w:p>
        <w:p>
          <w:pPr>
            <w:pStyle w:val="TOC1"/>
            <w:rPr>
              <w:rFonts w:asciiTheme="minorHAnsi" w:hAnsiTheme="minorHAnsi"/>
              <w:noProof/>
              <w:sz w:val="22"/>
            </w:rPr>
          </w:pPr>
          <w:hyperlink w:anchor="_Toc256000017" w:history="1">
            <w:r w:rsidRPr="0012473D">
              <w:rPr>
                <w:rStyle w:val="Hyperlink"/>
              </w:rPr>
              <w:t xml:space="preserve">Příloha </w:t>
            </w:r>
            <w:r w:rsidR="003335AB">
              <w:rPr>
                <w:rStyle w:val="Hyperlink"/>
              </w:rPr>
              <w:t xml:space="preserve">č. </w:t>
            </w:r>
            <w:r w:rsidRPr="0012473D">
              <w:rPr>
                <w:rStyle w:val="Hyperlink"/>
              </w:rPr>
              <w:t>3</w:t>
            </w:r>
            <w:r w:rsidR="00470BEB">
              <w:rPr>
                <w:rStyle w:val="Hyperlink"/>
              </w:rPr>
              <w:t xml:space="preserve"> – Finanční </w:t>
            </w:r>
            <w:r w:rsidR="001419B8">
              <w:rPr>
                <w:rStyle w:val="Hyperlink"/>
              </w:rPr>
              <w:t>nástroje 2021–2027 napříč</w:t>
            </w:r>
            <w:r w:rsidR="009E240D">
              <w:rPr>
                <w:rStyle w:val="Hyperlink"/>
              </w:rPr>
              <w:t xml:space="preserve"> operačními programy</w:t>
            </w:r>
            <w:r>
              <w:tab/>
            </w:r>
            <w:r>
              <w:fldChar w:fldCharType="begin"/>
            </w:r>
            <w:r>
              <w:instrText xml:space="preserve"> PAGEREF _Toc256000017 \h </w:instrText>
            </w:r>
            <w:r>
              <w:fldChar w:fldCharType="separate"/>
            </w:r>
            <w:r>
              <w:t>43</w:t>
            </w:r>
            <w:r>
              <w:fldChar w:fldCharType="end"/>
            </w:r>
          </w:hyperlink>
        </w:p>
        <w:p w:rsidR="00C266FD" w:rsidRPr="00F26063">
          <w:pPr>
            <w:rPr>
              <w:lang w:val="cs-CZ"/>
            </w:rPr>
          </w:pPr>
          <w:r>
            <w:rPr>
              <w:lang w:val="cs-CZ"/>
            </w:rPr>
            <w:fldChar w:fldCharType="end"/>
          </w:r>
        </w:p>
      </w:sdtContent>
    </w:sdt>
    <w:p w:rsidR="00F7023C" w:rsidRPr="000F2C87" w:rsidP="00794716" w14:paraId="5706CE41" w14:textId="5B6F72B0">
      <w:pPr>
        <w:pStyle w:val="Heading1"/>
      </w:pPr>
      <w:r>
        <w:br w:type="page"/>
      </w:r>
    </w:p>
    <w:p w:rsidR="00067B3F" w:rsidRPr="000F2C87" w:rsidP="00794716" w14:paraId="00000055" w14:textId="3059D11C">
      <w:pPr>
        <w:pStyle w:val="Title"/>
      </w:pPr>
      <w:bookmarkStart w:id="0" w:name="_Toc256000001"/>
      <w:r w:rsidRPr="00B86D89">
        <w:t>MANAŽERSKÉ</w:t>
      </w:r>
      <w:r w:rsidRPr="000F2C87">
        <w:t xml:space="preserve"> </w:t>
      </w:r>
      <w:sdt>
        <w:sdtPr>
          <w:tag w:val="goog_rdk_0"/>
          <w:id w:val="596922930"/>
          <w:richText/>
        </w:sdtPr>
        <w:sdtContent/>
      </w:sdt>
      <w:r w:rsidRPr="000F2C87">
        <w:t>SHRNUTÍ</w:t>
      </w:r>
      <w:bookmarkEnd w:id="0"/>
    </w:p>
    <w:p w:rsidR="00DA00F1" w:rsidP="00DA00F1" w14:paraId="2DE5F3AF" w14:textId="77777777">
      <w:pPr>
        <w:jc w:val="both"/>
        <w:rPr>
          <w:lang w:val="cs-CZ"/>
        </w:rPr>
      </w:pPr>
      <w:r w:rsidRPr="00334743">
        <w:rPr>
          <w:lang w:val="cs-CZ"/>
        </w:rPr>
        <w:t xml:space="preserve">Finanční nástroje představují </w:t>
      </w:r>
      <w:r w:rsidRPr="00837166">
        <w:rPr>
          <w:b/>
          <w:bCs/>
          <w:lang w:val="cs-CZ"/>
        </w:rPr>
        <w:t xml:space="preserve">efektivní a ekonomicky udržitelný způsob realizace veřejných investic </w:t>
      </w:r>
      <w:r w:rsidRPr="00334743">
        <w:rPr>
          <w:lang w:val="cs-CZ"/>
        </w:rPr>
        <w:t xml:space="preserve">a podpory rozvoje, jejich širší a systematické využívání v České republice je však dlouhodobě </w:t>
      </w:r>
      <w:r w:rsidRPr="00837166">
        <w:rPr>
          <w:b/>
          <w:bCs/>
          <w:lang w:val="cs-CZ"/>
        </w:rPr>
        <w:t>omezeno souborem vzájemně provázaných legislativních, institucionálních a</w:t>
      </w:r>
      <w:r>
        <w:rPr>
          <w:b/>
          <w:bCs/>
          <w:lang w:val="cs-CZ"/>
        </w:rPr>
        <w:t> </w:t>
      </w:r>
      <w:r w:rsidRPr="00837166">
        <w:rPr>
          <w:b/>
          <w:bCs/>
          <w:lang w:val="cs-CZ"/>
        </w:rPr>
        <w:t>implementačních bariér.</w:t>
      </w:r>
      <w:r w:rsidRPr="00334743">
        <w:rPr>
          <w:lang w:val="cs-CZ"/>
        </w:rPr>
        <w:t xml:space="preserve"> Tyto překážky brání tomu, aby se návratné formy podpory staly standardním nástrojem hospodářské politiky státu a plně rozvinuly svůj potenciál v období po</w:t>
      </w:r>
      <w:r>
        <w:rPr>
          <w:lang w:val="cs-CZ"/>
        </w:rPr>
        <w:t> </w:t>
      </w:r>
      <w:r w:rsidRPr="00334743">
        <w:rPr>
          <w:lang w:val="cs-CZ"/>
        </w:rPr>
        <w:t>roce 202</w:t>
      </w:r>
      <w:r>
        <w:rPr>
          <w:lang w:val="cs-CZ"/>
        </w:rPr>
        <w:t>7</w:t>
      </w:r>
      <w:r w:rsidRPr="00334743">
        <w:rPr>
          <w:lang w:val="cs-CZ"/>
        </w:rPr>
        <w:t>.</w:t>
      </w:r>
    </w:p>
    <w:p w:rsidR="00DA00F1" w:rsidP="00DA00F1" w14:paraId="69C247FB" w14:textId="77777777">
      <w:pPr>
        <w:spacing w:after="120"/>
        <w:rPr>
          <w:lang w:val="cs-CZ"/>
        </w:rPr>
      </w:pPr>
      <w:r>
        <w:rPr>
          <w:noProof/>
          <w:lang w:val="cs-CZ"/>
          <w14:ligatures w14:val="standardContextual"/>
        </w:rPr>
        <mc:AlternateContent>
          <mc:Choice Requires="wps">
            <w:drawing>
              <wp:anchor distT="0" distB="0" distL="114300" distR="114300" simplePos="0" relativeHeight="251658240" behindDoc="0" locked="0" layoutInCell="1" allowOverlap="1">
                <wp:simplePos x="0" y="0"/>
                <wp:positionH relativeFrom="column">
                  <wp:posOffset>522605</wp:posOffset>
                </wp:positionH>
                <wp:positionV relativeFrom="paragraph">
                  <wp:posOffset>455295</wp:posOffset>
                </wp:positionV>
                <wp:extent cx="247650" cy="184150"/>
                <wp:effectExtent l="0" t="19050" r="38100" b="44450"/>
                <wp:wrapNone/>
                <wp:docPr id="1249147030" name="Šipka: doprava 1"/>
                <wp:cNvGraphicFramePr/>
                <a:graphic xmlns:a="http://schemas.openxmlformats.org/drawingml/2006/main">
                  <a:graphicData uri="http://schemas.microsoft.com/office/word/2010/wordprocessingShape">
                    <wps:wsp xmlns:wps="http://schemas.microsoft.com/office/word/2010/wordprocessingShape">
                      <wps:cNvSpPr/>
                      <wps:spPr>
                        <a:xfrm>
                          <a:off x="0" y="0"/>
                          <a:ext cx="247650" cy="184150"/>
                        </a:xfrm>
                        <a:prstGeom prst="rightArrow">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 o:spid="_x0000_s1025" type="#_x0000_t13" style="width:19.5pt;height:14.5pt;margin-top:35.85pt;margin-left:41.15pt;mso-height-percent:0;mso-height-relative:margin;mso-width-percent:0;mso-width-relative:margin;mso-wrap-distance-bottom:0;mso-wrap-distance-left:9pt;mso-wrap-distance-right:9pt;mso-wrap-distance-top:0;mso-wrap-style:square;position:absolute;visibility:visible;v-text-anchor:middle;z-index:251659264" adj="13569" filled="f" strokecolor="#030e13"/>
            </w:pict>
          </mc:Fallback>
        </mc:AlternateContent>
      </w:r>
      <w:r>
        <w:rPr>
          <w:noProof/>
          <w:lang w:val="cs-CZ"/>
          <w14:ligatures w14:val="standardContextual"/>
        </w:rPr>
        <w:drawing>
          <wp:anchor distT="0" distB="0" distL="114300" distR="114300" simplePos="0" relativeHeight="251670528" behindDoc="1" locked="0" layoutInCell="1" allowOverlap="1">
            <wp:simplePos x="0" y="0"/>
            <wp:positionH relativeFrom="column">
              <wp:posOffset>1905</wp:posOffset>
            </wp:positionH>
            <wp:positionV relativeFrom="paragraph">
              <wp:posOffset>-1905</wp:posOffset>
            </wp:positionV>
            <wp:extent cx="374650" cy="374650"/>
            <wp:effectExtent l="0" t="0" r="0" b="6350"/>
            <wp:wrapSquare wrapText="bothSides"/>
            <wp:docPr id="259293341" name="Grafický objekt 2" descr="Odznak 1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93341" name="Grafický objekt 259293341" descr="Odznak 1 obrys"/>
                    <pic:cNvPicPr/>
                  </pic:nvPicPr>
                  <pic:blipFill>
                    <a:blip xmlns:r="http://schemas.openxmlformats.org/officeDocument/2006/relationships" r:embed="rId11">
                      <a:extLst>
                        <a:ext uri="{96DAC541-7B7A-43D3-8B79-37D633B846F1}">
                          <asvg:svgBlip xmlns:asvg="http://schemas.microsoft.com/office/drawing/2016/SVG/main" r:embed="rId12"/>
                        </a:ext>
                      </a:extLst>
                    </a:blip>
                    <a:stretch>
                      <a:fillRect/>
                    </a:stretch>
                  </pic:blipFill>
                  <pic:spPr>
                    <a:xfrm>
                      <a:off x="0" y="0"/>
                      <a:ext cx="374650" cy="374650"/>
                    </a:xfrm>
                    <a:prstGeom prst="rect">
                      <a:avLst/>
                    </a:prstGeom>
                  </pic:spPr>
                </pic:pic>
              </a:graphicData>
            </a:graphic>
          </wp:anchor>
        </w:drawing>
      </w:r>
      <w:r w:rsidRPr="003E779A">
        <w:rPr>
          <w:b/>
          <w:bCs/>
          <w:lang w:val="cs-CZ"/>
        </w:rPr>
        <w:t>NEDOSTATEČNÝ PRÁVNÍ RÁMEC</w:t>
      </w:r>
      <w:r>
        <w:rPr>
          <w:lang w:val="cs-CZ"/>
        </w:rPr>
        <w:t xml:space="preserve"> – právní nejistota, rozdílné výklady, zdrženlivost v praxi</w:t>
      </w:r>
    </w:p>
    <w:p w:rsidR="00DA00F1" w:rsidP="00DA00F1" w14:paraId="5D5045FE" w14:textId="77777777">
      <w:pPr>
        <w:ind w:left="1418"/>
        <w:rPr>
          <w:lang w:val="cs-CZ"/>
        </w:rPr>
      </w:pPr>
      <w:r>
        <w:rPr>
          <w:lang w:val="cs-CZ"/>
        </w:rPr>
        <w:t>novelizace příslušných legislativních předpisů</w:t>
      </w:r>
    </w:p>
    <w:p w:rsidR="00DA00F1" w:rsidP="00DA00F1" w14:paraId="6B9A0AFF" w14:textId="77777777">
      <w:pPr>
        <w:spacing w:after="0"/>
        <w:ind w:left="1276"/>
        <w:rPr>
          <w:lang w:val="cs-CZ"/>
        </w:rPr>
      </w:pPr>
    </w:p>
    <w:p w:rsidR="00DA00F1" w:rsidP="00DA00F1" w14:paraId="0FA4BDCB" w14:textId="77777777">
      <w:pPr>
        <w:spacing w:after="120"/>
        <w:rPr>
          <w:lang w:val="cs-CZ"/>
        </w:rPr>
      </w:pPr>
      <w:r w:rsidRPr="003E779A">
        <w:rPr>
          <w:b/>
          <w:bCs/>
          <w:noProof/>
          <w:lang w:val="cs-CZ"/>
          <w14:ligatures w14:val="standardContextual"/>
        </w:rPr>
        <mc:AlternateContent>
          <mc:Choice Requires="wps">
            <w:drawing>
              <wp:anchor distT="0" distB="0" distL="114300" distR="114300" simplePos="0" relativeHeight="251660288" behindDoc="0" locked="0" layoutInCell="1" allowOverlap="1">
                <wp:simplePos x="0" y="0"/>
                <wp:positionH relativeFrom="column">
                  <wp:posOffset>535305</wp:posOffset>
                </wp:positionH>
                <wp:positionV relativeFrom="paragraph">
                  <wp:posOffset>430530</wp:posOffset>
                </wp:positionV>
                <wp:extent cx="247650" cy="184150"/>
                <wp:effectExtent l="0" t="19050" r="38100" b="44450"/>
                <wp:wrapNone/>
                <wp:docPr id="1058173599" name="Šipka: doprava 1"/>
                <wp:cNvGraphicFramePr/>
                <a:graphic xmlns:a="http://schemas.openxmlformats.org/drawingml/2006/main">
                  <a:graphicData uri="http://schemas.microsoft.com/office/word/2010/wordprocessingShape">
                    <wps:wsp xmlns:wps="http://schemas.microsoft.com/office/word/2010/wordprocessingShape">
                      <wps:cNvSpPr/>
                      <wps:spPr>
                        <a:xfrm>
                          <a:off x="0" y="0"/>
                          <a:ext cx="247650" cy="184150"/>
                        </a:xfrm>
                        <a:prstGeom prst="rightArrow">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Šipka: doprava 1" o:spid="_x0000_s1026" type="#_x0000_t13" style="width:19.5pt;height:14.5pt;margin-top:33.9pt;margin-left:42.15pt;mso-height-percent:0;mso-height-relative:margin;mso-width-percent:0;mso-width-relative:margin;mso-wrap-distance-bottom:0;mso-wrap-distance-left:9pt;mso-wrap-distance-right:9pt;mso-wrap-distance-top:0;mso-wrap-style:square;position:absolute;visibility:visible;v-text-anchor:middle;z-index:251661312" adj="13569" filled="f" strokecolor="#030e13"/>
            </w:pict>
          </mc:Fallback>
        </mc:AlternateContent>
      </w:r>
      <w:r w:rsidRPr="003E779A">
        <w:rPr>
          <w:b/>
          <w:bCs/>
          <w:noProof/>
          <w:lang w:val="cs-CZ"/>
          <w14:ligatures w14:val="standardContextual"/>
        </w:rPr>
        <w:drawing>
          <wp:anchor distT="0" distB="0" distL="114300" distR="114300" simplePos="0" relativeHeight="251671552" behindDoc="0" locked="0" layoutInCell="1" allowOverlap="1">
            <wp:simplePos x="0" y="0"/>
            <wp:positionH relativeFrom="margin">
              <wp:posOffset>12700</wp:posOffset>
            </wp:positionH>
            <wp:positionV relativeFrom="paragraph">
              <wp:posOffset>5080</wp:posOffset>
            </wp:positionV>
            <wp:extent cx="393700" cy="393700"/>
            <wp:effectExtent l="0" t="0" r="0" b="6350"/>
            <wp:wrapSquare wrapText="bothSides"/>
            <wp:docPr id="1971923010" name="Grafický objekt 3" descr="Odznak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23010" name="Grafický objekt 1971923010" descr="Odznak obrys"/>
                    <pic:cNvPicPr/>
                  </pic:nvPicPr>
                  <pic:blipFill>
                    <a:blip xmlns:r="http://schemas.openxmlformats.org/officeDocument/2006/relationships" r:embed="rId13">
                      <a:extLst>
                        <a:ext uri="{96DAC541-7B7A-43D3-8B79-37D633B846F1}">
                          <asvg:svgBlip xmlns:asvg="http://schemas.microsoft.com/office/drawing/2016/SVG/main" r:embed="rId14"/>
                        </a:ext>
                      </a:extLst>
                    </a:blip>
                    <a:stretch>
                      <a:fillRect/>
                    </a:stretch>
                  </pic:blipFill>
                  <pic:spPr>
                    <a:xfrm>
                      <a:off x="0" y="0"/>
                      <a:ext cx="393700" cy="393700"/>
                    </a:xfrm>
                    <a:prstGeom prst="rect">
                      <a:avLst/>
                    </a:prstGeom>
                  </pic:spPr>
                </pic:pic>
              </a:graphicData>
            </a:graphic>
          </wp:anchor>
        </w:drawing>
      </w:r>
      <w:r w:rsidRPr="003E779A">
        <w:rPr>
          <w:b/>
          <w:bCs/>
          <w:lang w:val="cs-CZ"/>
        </w:rPr>
        <w:t>INSTITUCIONÁLNÍ ROZTŘÍŠTĚNOST</w:t>
      </w:r>
      <w:r>
        <w:rPr>
          <w:lang w:val="cs-CZ"/>
        </w:rPr>
        <w:t xml:space="preserve"> – realizace FN více subjekty bez jasného vymezení rolí</w:t>
      </w:r>
    </w:p>
    <w:p w:rsidR="00DA00F1" w:rsidP="00DA00F1" w14:paraId="3E11D09D" w14:textId="77777777">
      <w:pPr>
        <w:ind w:left="1418"/>
        <w:rPr>
          <w:lang w:val="cs-CZ"/>
        </w:rPr>
      </w:pPr>
      <w:r>
        <w:rPr>
          <w:lang w:val="cs-CZ"/>
        </w:rPr>
        <w:t>vymezit kompetence Národní rozvojové banky a státních fondů při realizaci FN v období 2028+</w:t>
      </w:r>
    </w:p>
    <w:p w:rsidR="00DA00F1" w:rsidP="00DA00F1" w14:paraId="4C7CF5E5" w14:textId="77777777">
      <w:pPr>
        <w:spacing w:after="0"/>
        <w:rPr>
          <w:lang w:val="cs-CZ"/>
        </w:rPr>
      </w:pPr>
    </w:p>
    <w:p w:rsidR="00DA00F1" w:rsidP="00DA00F1" w14:paraId="70F22A61" w14:textId="77777777">
      <w:pPr>
        <w:rPr>
          <w:lang w:val="cs-CZ"/>
        </w:rPr>
      </w:pPr>
      <w:r w:rsidRPr="003E779A">
        <w:rPr>
          <w:b/>
          <w:bCs/>
          <w:noProof/>
          <w:lang w:val="cs-CZ"/>
          <w14:ligatures w14:val="standardContextual"/>
        </w:rPr>
        <w:drawing>
          <wp:anchor distT="0" distB="0" distL="114300" distR="114300" simplePos="0" relativeHeight="251672576" behindDoc="0" locked="0" layoutInCell="1" allowOverlap="1">
            <wp:simplePos x="0" y="0"/>
            <wp:positionH relativeFrom="column">
              <wp:posOffset>1905</wp:posOffset>
            </wp:positionH>
            <wp:positionV relativeFrom="paragraph">
              <wp:posOffset>-1270</wp:posOffset>
            </wp:positionV>
            <wp:extent cx="387350" cy="387350"/>
            <wp:effectExtent l="0" t="0" r="0" b="0"/>
            <wp:wrapSquare wrapText="bothSides"/>
            <wp:docPr id="215583704" name="Grafický objekt 4" descr="Odznak 3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83704" name="Grafický objekt 215583704" descr="Odznak 3 obrys"/>
                    <pic:cNvPicPr/>
                  </pic:nvPicPr>
                  <pic:blipFill>
                    <a:blip xmlns:r="http://schemas.openxmlformats.org/officeDocument/2006/relationships" r:embed="rId15">
                      <a:extLst>
                        <a:ext uri="{96DAC541-7B7A-43D3-8B79-37D633B846F1}">
                          <asvg:svgBlip xmlns:asvg="http://schemas.microsoft.com/office/drawing/2016/SVG/main" r:embed="rId16"/>
                        </a:ext>
                      </a:extLst>
                    </a:blip>
                    <a:stretch>
                      <a:fillRect/>
                    </a:stretch>
                  </pic:blipFill>
                  <pic:spPr>
                    <a:xfrm>
                      <a:off x="0" y="0"/>
                      <a:ext cx="387350" cy="387350"/>
                    </a:xfrm>
                    <a:prstGeom prst="rect">
                      <a:avLst/>
                    </a:prstGeom>
                  </pic:spPr>
                </pic:pic>
              </a:graphicData>
            </a:graphic>
          </wp:anchor>
        </w:drawing>
      </w:r>
      <w:r w:rsidRPr="003E779A">
        <w:rPr>
          <w:b/>
          <w:bCs/>
          <w:lang w:val="cs-CZ"/>
        </w:rPr>
        <w:t>FRAGMENTACE SYSTÉMU FN</w:t>
      </w:r>
      <w:r>
        <w:rPr>
          <w:lang w:val="cs-CZ"/>
        </w:rPr>
        <w:t xml:space="preserve"> – velké množství malých, krátkodobých FN, snížená přehlednost</w:t>
      </w:r>
    </w:p>
    <w:p w:rsidR="00DA00F1" w:rsidP="00DA00F1" w14:paraId="1550C36D" w14:textId="77777777">
      <w:pPr>
        <w:ind w:left="1418"/>
        <w:rPr>
          <w:lang w:val="cs-CZ"/>
        </w:rPr>
      </w:pPr>
      <w:r w:rsidRPr="005E394C">
        <w:rPr>
          <w:noProof/>
          <w:lang w:val="cs-CZ"/>
        </w:rPr>
        <mc:AlternateContent>
          <mc:Choice Requires="wps">
            <w:drawing>
              <wp:anchor distT="0" distB="0" distL="114300" distR="114300" simplePos="0" relativeHeight="251668480" behindDoc="0" locked="0" layoutInCell="1" allowOverlap="1">
                <wp:simplePos x="0" y="0"/>
                <wp:positionH relativeFrom="column">
                  <wp:posOffset>522605</wp:posOffset>
                </wp:positionH>
                <wp:positionV relativeFrom="paragraph">
                  <wp:posOffset>5715</wp:posOffset>
                </wp:positionV>
                <wp:extent cx="247650" cy="184150"/>
                <wp:effectExtent l="0" t="19050" r="38100" b="44450"/>
                <wp:wrapNone/>
                <wp:docPr id="490720778" name="Šipka: doprava 1"/>
                <wp:cNvGraphicFramePr/>
                <a:graphic xmlns:a="http://schemas.openxmlformats.org/drawingml/2006/main">
                  <a:graphicData uri="http://schemas.microsoft.com/office/word/2010/wordprocessingShape">
                    <wps:wsp xmlns:wps="http://schemas.microsoft.com/office/word/2010/wordprocessingShape">
                      <wps:cNvSpPr/>
                      <wps:spPr>
                        <a:xfrm>
                          <a:off x="0" y="0"/>
                          <a:ext cx="247650" cy="184150"/>
                        </a:xfrm>
                        <a:prstGeom prst="rightArrow">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Šipka: doprava 1" o:spid="_x0000_s1027" type="#_x0000_t13" style="width:19.5pt;height:14.5pt;margin-top:0.45pt;margin-left:41.15pt;mso-height-percent:0;mso-height-relative:margin;mso-width-percent:0;mso-width-relative:margin;mso-wrap-distance-bottom:0;mso-wrap-distance-left:9pt;mso-wrap-distance-right:9pt;mso-wrap-distance-top:0;mso-wrap-style:square;position:absolute;visibility:visible;v-text-anchor:middle;z-index:251669504" adj="13569" filled="f" strokecolor="#030e13"/>
            </w:pict>
          </mc:Fallback>
        </mc:AlternateContent>
      </w:r>
      <w:r w:rsidRPr="005E394C">
        <w:rPr>
          <w:lang w:val="cs-CZ"/>
        </w:rPr>
        <w:t>konsolidace</w:t>
      </w:r>
      <w:r>
        <w:rPr>
          <w:lang w:val="cs-CZ"/>
        </w:rPr>
        <w:t xml:space="preserve"> FN do větších celků v rámci NRPP a vymezení několika prioritních oblastí</w:t>
      </w:r>
    </w:p>
    <w:p w:rsidR="00DA00F1" w:rsidP="00DA00F1" w14:paraId="5665ED8F" w14:textId="77777777">
      <w:pPr>
        <w:spacing w:after="0"/>
        <w:rPr>
          <w:lang w:val="cs-CZ"/>
        </w:rPr>
      </w:pPr>
    </w:p>
    <w:p w:rsidR="00DA00F1" w:rsidP="00DA00F1" w14:paraId="1F57734C" w14:textId="77777777">
      <w:pPr>
        <w:spacing w:after="120"/>
        <w:rPr>
          <w:lang w:val="cs-CZ"/>
        </w:rPr>
      </w:pPr>
      <w:r w:rsidRPr="003E779A">
        <w:rPr>
          <w:b/>
          <w:bCs/>
          <w:noProof/>
          <w:lang w:val="cs-CZ"/>
          <w14:ligatures w14:val="standardContextual"/>
        </w:rPr>
        <mc:AlternateContent>
          <mc:Choice Requires="wps">
            <w:drawing>
              <wp:anchor distT="0" distB="0" distL="114300" distR="114300" simplePos="0" relativeHeight="251662336" behindDoc="0" locked="0" layoutInCell="1" allowOverlap="1">
                <wp:simplePos x="0" y="0"/>
                <wp:positionH relativeFrom="column">
                  <wp:posOffset>516255</wp:posOffset>
                </wp:positionH>
                <wp:positionV relativeFrom="paragraph">
                  <wp:posOffset>457200</wp:posOffset>
                </wp:positionV>
                <wp:extent cx="247650" cy="184150"/>
                <wp:effectExtent l="0" t="19050" r="38100" b="44450"/>
                <wp:wrapNone/>
                <wp:docPr id="1413473183" name="Šipka: doprava 1"/>
                <wp:cNvGraphicFramePr/>
                <a:graphic xmlns:a="http://schemas.openxmlformats.org/drawingml/2006/main">
                  <a:graphicData uri="http://schemas.microsoft.com/office/word/2010/wordprocessingShape">
                    <wps:wsp xmlns:wps="http://schemas.microsoft.com/office/word/2010/wordprocessingShape">
                      <wps:cNvSpPr/>
                      <wps:spPr>
                        <a:xfrm>
                          <a:off x="0" y="0"/>
                          <a:ext cx="247650" cy="184150"/>
                        </a:xfrm>
                        <a:prstGeom prst="rightArrow">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Šipka: doprava 1" o:spid="_x0000_s1028" type="#_x0000_t13" style="width:19.5pt;height:14.5pt;margin-top:36pt;margin-left:40.65pt;mso-height-percent:0;mso-height-relative:margin;mso-width-percent:0;mso-width-relative:margin;mso-wrap-distance-bottom:0;mso-wrap-distance-left:9pt;mso-wrap-distance-right:9pt;mso-wrap-distance-top:0;mso-wrap-style:square;position:absolute;visibility:visible;v-text-anchor:middle;z-index:251663360" adj="13569" filled="f" strokecolor="#030e13"/>
            </w:pict>
          </mc:Fallback>
        </mc:AlternateContent>
      </w:r>
      <w:r w:rsidRPr="003E779A">
        <w:rPr>
          <w:b/>
          <w:bCs/>
          <w:noProof/>
          <w:lang w:val="cs-CZ"/>
          <w14:ligatures w14:val="standardContextual"/>
        </w:rPr>
        <w:drawing>
          <wp:anchor distT="0" distB="0" distL="114300" distR="114300" simplePos="0" relativeHeight="251673600" behindDoc="0" locked="0" layoutInCell="1" allowOverlap="1">
            <wp:simplePos x="0" y="0"/>
            <wp:positionH relativeFrom="column">
              <wp:posOffset>1905</wp:posOffset>
            </wp:positionH>
            <wp:positionV relativeFrom="paragraph">
              <wp:posOffset>-635</wp:posOffset>
            </wp:positionV>
            <wp:extent cx="393700" cy="393700"/>
            <wp:effectExtent l="0" t="0" r="0" b="6350"/>
            <wp:wrapSquare wrapText="bothSides"/>
            <wp:docPr id="123576505" name="Grafický objekt 5" descr="Odznak 4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6505" name="Grafický objekt 123576505" descr="Odznak 4 obrys"/>
                    <pic:cNvPicPr/>
                  </pic:nvPicPr>
                  <pic:blipFill>
                    <a:blip xmlns:r="http://schemas.openxmlformats.org/officeDocument/2006/relationships" r:embed="rId17">
                      <a:extLst>
                        <a:ext uri="{96DAC541-7B7A-43D3-8B79-37D633B846F1}">
                          <asvg:svgBlip xmlns:asvg="http://schemas.microsoft.com/office/drawing/2016/SVG/main" r:embed="rId18"/>
                        </a:ext>
                      </a:extLst>
                    </a:blip>
                    <a:stretch>
                      <a:fillRect/>
                    </a:stretch>
                  </pic:blipFill>
                  <pic:spPr>
                    <a:xfrm>
                      <a:off x="0" y="0"/>
                      <a:ext cx="393700" cy="393700"/>
                    </a:xfrm>
                    <a:prstGeom prst="rect">
                      <a:avLst/>
                    </a:prstGeom>
                  </pic:spPr>
                </pic:pic>
              </a:graphicData>
            </a:graphic>
          </wp:anchor>
        </w:drawing>
      </w:r>
      <w:r w:rsidRPr="003E779A">
        <w:rPr>
          <w:b/>
          <w:bCs/>
          <w:lang w:val="cs-CZ"/>
        </w:rPr>
        <w:t>VYSOKÁ ADMINISTRATIVNÍ NÁROČNOST</w:t>
      </w:r>
      <w:r>
        <w:rPr>
          <w:lang w:val="cs-CZ"/>
        </w:rPr>
        <w:t xml:space="preserve"> – složité podmínky, požadavky, nízká atraktivita </w:t>
      </w:r>
    </w:p>
    <w:p w:rsidR="00DA00F1" w:rsidP="00DA00F1" w14:paraId="78EEF71C" w14:textId="77777777">
      <w:pPr>
        <w:ind w:left="1418"/>
        <w:rPr>
          <w:lang w:val="cs-CZ"/>
        </w:rPr>
      </w:pPr>
      <w:r>
        <w:rPr>
          <w:lang w:val="cs-CZ"/>
        </w:rPr>
        <w:t>zjednodušení a standardizace podmínek FN, snížení a sjednocení administrativních požadavků</w:t>
      </w:r>
    </w:p>
    <w:p w:rsidR="00DA00F1" w:rsidP="00DA00F1" w14:paraId="028AD879" w14:textId="77777777">
      <w:pPr>
        <w:spacing w:after="0"/>
        <w:rPr>
          <w:lang w:val="cs-CZ"/>
        </w:rPr>
      </w:pPr>
    </w:p>
    <w:p w:rsidR="00DA00F1" w:rsidP="00DA00F1" w14:paraId="239F51A1" w14:textId="77777777">
      <w:pPr>
        <w:spacing w:after="120"/>
        <w:rPr>
          <w:lang w:val="cs-CZ"/>
        </w:rPr>
      </w:pPr>
      <w:r w:rsidRPr="003E779A">
        <w:rPr>
          <w:b/>
          <w:bCs/>
          <w:noProof/>
          <w:lang w:val="cs-CZ"/>
          <w14:ligatures w14:val="standardContextual"/>
        </w:rPr>
        <mc:AlternateContent>
          <mc:Choice Requires="wps">
            <w:drawing>
              <wp:anchor distT="0" distB="0" distL="114300" distR="114300" simplePos="0" relativeHeight="251664384" behindDoc="0" locked="0" layoutInCell="1" allowOverlap="1">
                <wp:simplePos x="0" y="0"/>
                <wp:positionH relativeFrom="column">
                  <wp:posOffset>535305</wp:posOffset>
                </wp:positionH>
                <wp:positionV relativeFrom="paragraph">
                  <wp:posOffset>464185</wp:posOffset>
                </wp:positionV>
                <wp:extent cx="247650" cy="184150"/>
                <wp:effectExtent l="0" t="19050" r="38100" b="44450"/>
                <wp:wrapNone/>
                <wp:docPr id="714458993" name="Šipka: doprava 1"/>
                <wp:cNvGraphicFramePr/>
                <a:graphic xmlns:a="http://schemas.openxmlformats.org/drawingml/2006/main">
                  <a:graphicData uri="http://schemas.microsoft.com/office/word/2010/wordprocessingShape">
                    <wps:wsp xmlns:wps="http://schemas.microsoft.com/office/word/2010/wordprocessingShape">
                      <wps:cNvSpPr/>
                      <wps:spPr>
                        <a:xfrm>
                          <a:off x="0" y="0"/>
                          <a:ext cx="247650" cy="184150"/>
                        </a:xfrm>
                        <a:prstGeom prst="rightArrow">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Šipka: doprava 1" o:spid="_x0000_s1029" type="#_x0000_t13" style="width:19.5pt;height:14.5pt;margin-top:36.55pt;margin-left:42.15pt;mso-height-percent:0;mso-height-relative:margin;mso-width-percent:0;mso-width-relative:margin;mso-wrap-distance-bottom:0;mso-wrap-distance-left:9pt;mso-wrap-distance-right:9pt;mso-wrap-distance-top:0;mso-wrap-style:square;position:absolute;visibility:visible;v-text-anchor:middle;z-index:251665408" adj="13569" filled="f" strokecolor="#030e13"/>
            </w:pict>
          </mc:Fallback>
        </mc:AlternateContent>
      </w:r>
      <w:r w:rsidRPr="003E779A">
        <w:rPr>
          <w:b/>
          <w:bCs/>
          <w:noProof/>
          <w:lang w:val="cs-CZ"/>
          <w14:ligatures w14:val="standardContextual"/>
        </w:rPr>
        <w:drawing>
          <wp:anchor distT="0" distB="0" distL="114300" distR="114300" simplePos="0" relativeHeight="251674624" behindDoc="0" locked="0" layoutInCell="1" allowOverlap="1">
            <wp:simplePos x="0" y="0"/>
            <wp:positionH relativeFrom="column">
              <wp:posOffset>1905</wp:posOffset>
            </wp:positionH>
            <wp:positionV relativeFrom="paragraph">
              <wp:posOffset>0</wp:posOffset>
            </wp:positionV>
            <wp:extent cx="400050" cy="400050"/>
            <wp:effectExtent l="0" t="0" r="0" b="0"/>
            <wp:wrapSquare wrapText="bothSides"/>
            <wp:docPr id="1608508271" name="Grafický objekt 6" descr="Odznak 5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08271" name="Grafický objekt 1608508271" descr="Odznak 5 obrys"/>
                    <pic:cNvPicPr/>
                  </pic:nvPicPr>
                  <pic:blipFill>
                    <a:blip xmlns:r="http://schemas.openxmlformats.org/officeDocument/2006/relationships" r:embed="rId19">
                      <a:extLst>
                        <a:ext uri="{96DAC541-7B7A-43D3-8B79-37D633B846F1}">
                          <asvg:svgBlip xmlns:asvg="http://schemas.microsoft.com/office/drawing/2016/SVG/main" r:embed="rId20"/>
                        </a:ext>
                      </a:extLst>
                    </a:blip>
                    <a:stretch>
                      <a:fillRect/>
                    </a:stretch>
                  </pic:blipFill>
                  <pic:spPr>
                    <a:xfrm>
                      <a:off x="0" y="0"/>
                      <a:ext cx="400050" cy="400050"/>
                    </a:xfrm>
                    <a:prstGeom prst="rect">
                      <a:avLst/>
                    </a:prstGeom>
                  </pic:spPr>
                </pic:pic>
              </a:graphicData>
            </a:graphic>
          </wp:anchor>
        </w:drawing>
      </w:r>
      <w:r w:rsidRPr="003E779A">
        <w:rPr>
          <w:b/>
          <w:bCs/>
          <w:lang w:val="cs-CZ"/>
        </w:rPr>
        <w:t>ABSENCE PORADENSKÉHO RÁMCE</w:t>
      </w:r>
      <w:r>
        <w:rPr>
          <w:lang w:val="cs-CZ"/>
        </w:rPr>
        <w:t xml:space="preserve"> – roztříštěnost mezi subjekty, nedostatečné kapacity</w:t>
      </w:r>
    </w:p>
    <w:p w:rsidR="00DA00F1" w:rsidP="00DA00F1" w14:paraId="320B65C2" w14:textId="77777777">
      <w:pPr>
        <w:ind w:left="1418"/>
        <w:rPr>
          <w:lang w:val="cs-CZ"/>
        </w:rPr>
      </w:pPr>
      <w:r>
        <w:rPr>
          <w:lang w:val="cs-CZ"/>
        </w:rPr>
        <w:t>systémově řízení poradenství pro FN (pro zadavatele i žadatele), šíření osvěty a edukace</w:t>
      </w:r>
    </w:p>
    <w:p w:rsidR="00DA00F1" w:rsidP="00DA00F1" w14:paraId="7A4B8CE7" w14:textId="77777777">
      <w:pPr>
        <w:spacing w:after="0"/>
        <w:rPr>
          <w:lang w:val="cs-CZ"/>
        </w:rPr>
      </w:pPr>
    </w:p>
    <w:p w:rsidR="00DA00F1" w:rsidP="00DA00F1" w14:paraId="3F697A6C" w14:textId="77777777">
      <w:pPr>
        <w:spacing w:after="120"/>
        <w:rPr>
          <w:lang w:val="cs-CZ"/>
        </w:rPr>
      </w:pPr>
      <w:r w:rsidRPr="003E779A">
        <w:rPr>
          <w:b/>
          <w:bCs/>
          <w:noProof/>
          <w:lang w:val="cs-CZ"/>
          <w14:ligatures w14:val="standardContextual"/>
        </w:rPr>
        <w:drawing>
          <wp:anchor distT="0" distB="0" distL="114300" distR="114300" simplePos="0" relativeHeight="251675648" behindDoc="0" locked="0" layoutInCell="1" allowOverlap="1">
            <wp:simplePos x="0" y="0"/>
            <wp:positionH relativeFrom="column">
              <wp:posOffset>1905</wp:posOffset>
            </wp:positionH>
            <wp:positionV relativeFrom="paragraph">
              <wp:posOffset>635</wp:posOffset>
            </wp:positionV>
            <wp:extent cx="419100" cy="419100"/>
            <wp:effectExtent l="0" t="0" r="0" b="0"/>
            <wp:wrapSquare wrapText="bothSides"/>
            <wp:docPr id="2136106913" name="Grafický objekt 8" descr="Odznak 6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06913" name="Grafický objekt 2136106913" descr="Odznak 6 obrys"/>
                    <pic:cNvPicPr/>
                  </pic:nvPicPr>
                  <pic:blipFill>
                    <a:blip xmlns:r="http://schemas.openxmlformats.org/officeDocument/2006/relationships" r:embed="rId21">
                      <a:extLst>
                        <a:ext uri="{96DAC541-7B7A-43D3-8B79-37D633B846F1}">
                          <asvg:svgBlip xmlns:asvg="http://schemas.microsoft.com/office/drawing/2016/SVG/main" r:embed="rId22"/>
                        </a:ext>
                      </a:extLst>
                    </a:blip>
                    <a:stretch>
                      <a:fillRect/>
                    </a:stretch>
                  </pic:blipFill>
                  <pic:spPr>
                    <a:xfrm>
                      <a:off x="0" y="0"/>
                      <a:ext cx="419100" cy="419100"/>
                    </a:xfrm>
                    <a:prstGeom prst="rect">
                      <a:avLst/>
                    </a:prstGeom>
                  </pic:spPr>
                </pic:pic>
              </a:graphicData>
            </a:graphic>
          </wp:anchor>
        </w:drawing>
      </w:r>
      <w:r w:rsidRPr="003E779A">
        <w:rPr>
          <w:b/>
          <w:bCs/>
          <w:lang w:val="cs-CZ"/>
        </w:rPr>
        <w:t>OMEZENÉ KAPACITY INSTITUCÍ</w:t>
      </w:r>
      <w:r>
        <w:rPr>
          <w:lang w:val="cs-CZ"/>
        </w:rPr>
        <w:t xml:space="preserve"> – personální (odborné) i technické při přípravě a realizaci FN</w:t>
      </w:r>
    </w:p>
    <w:p w:rsidR="00DA00F1" w:rsidP="00DA00F1" w14:paraId="4C8A487E" w14:textId="77777777">
      <w:pPr>
        <w:ind w:left="1418"/>
        <w:rPr>
          <w:lang w:val="cs-CZ"/>
        </w:rPr>
      </w:pPr>
      <w:r w:rsidRPr="005E394C">
        <w:rPr>
          <w:noProof/>
          <w:lang w:val="cs-CZ"/>
        </w:rPr>
        <mc:AlternateContent>
          <mc:Choice Requires="wps">
            <w:drawing>
              <wp:anchor distT="0" distB="0" distL="114300" distR="114300" simplePos="0" relativeHeight="251666432" behindDoc="0" locked="0" layoutInCell="1" allowOverlap="1">
                <wp:simplePos x="0" y="0"/>
                <wp:positionH relativeFrom="column">
                  <wp:posOffset>548005</wp:posOffset>
                </wp:positionH>
                <wp:positionV relativeFrom="paragraph">
                  <wp:posOffset>1270</wp:posOffset>
                </wp:positionV>
                <wp:extent cx="247650" cy="184150"/>
                <wp:effectExtent l="0" t="19050" r="38100" b="44450"/>
                <wp:wrapNone/>
                <wp:docPr id="1641306240" name="Šipka: doprava 1"/>
                <wp:cNvGraphicFramePr/>
                <a:graphic xmlns:a="http://schemas.openxmlformats.org/drawingml/2006/main">
                  <a:graphicData uri="http://schemas.microsoft.com/office/word/2010/wordprocessingShape">
                    <wps:wsp xmlns:wps="http://schemas.microsoft.com/office/word/2010/wordprocessingShape">
                      <wps:cNvSpPr/>
                      <wps:spPr>
                        <a:xfrm>
                          <a:off x="0" y="0"/>
                          <a:ext cx="247650" cy="184150"/>
                        </a:xfrm>
                        <a:prstGeom prst="rightArrow">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Šipka: doprava 1" o:spid="_x0000_s1030" type="#_x0000_t13" style="width:19.5pt;height:14.5pt;margin-top:0.1pt;margin-left:43.15pt;mso-height-percent:0;mso-height-relative:margin;mso-width-percent:0;mso-width-relative:margin;mso-wrap-distance-bottom:0;mso-wrap-distance-left:9pt;mso-wrap-distance-right:9pt;mso-wrap-distance-top:0;mso-wrap-style:square;position:absolute;visibility:visible;v-text-anchor:middle;z-index:251667456" adj="13569" filled="f" strokecolor="#030e13"/>
            </w:pict>
          </mc:Fallback>
        </mc:AlternateContent>
      </w:r>
      <w:r w:rsidRPr="005E394C">
        <w:rPr>
          <w:lang w:val="cs-CZ"/>
        </w:rPr>
        <w:t>posilování</w:t>
      </w:r>
      <w:r>
        <w:rPr>
          <w:lang w:val="cs-CZ"/>
        </w:rPr>
        <w:t xml:space="preserve"> odborných kapacit a zajištění stabilizace lidských zdrojů</w:t>
      </w:r>
    </w:p>
    <w:p w:rsidR="00DA00F1" w:rsidRPr="00334743" w:rsidP="00DA00F1" w14:paraId="700BD9A5" w14:textId="77777777">
      <w:pPr>
        <w:jc w:val="both"/>
        <w:rPr>
          <w:lang w:val="cs-CZ"/>
        </w:rPr>
      </w:pPr>
    </w:p>
    <w:p w:rsidR="00156F47" w:rsidP="00B15DB8" w14:paraId="2B108C44" w14:textId="7A5AB313">
      <w:pPr>
        <w:jc w:val="both"/>
        <w:rPr>
          <w:highlight w:val="yellow"/>
          <w:lang w:val="cs-CZ"/>
        </w:rPr>
      </w:pPr>
      <w:r w:rsidRPr="00334743">
        <w:rPr>
          <w:lang w:val="cs-CZ"/>
        </w:rPr>
        <w:t xml:space="preserve">Odstranění uvedených bariér a realizace navržených </w:t>
      </w:r>
      <w:r w:rsidRPr="005E394C">
        <w:rPr>
          <w:lang w:val="cs-CZ"/>
        </w:rPr>
        <w:t xml:space="preserve">řešení a doporučení uvedených v předkládaném materiálu </w:t>
      </w:r>
      <w:r w:rsidRPr="00334743">
        <w:rPr>
          <w:lang w:val="cs-CZ"/>
        </w:rPr>
        <w:t>je klíčovým předpokladem pro to, aby se finanční nástroje staly stabilní, efektivní a plně integrovanou součástí systému veřejných investic České republiky po</w:t>
      </w:r>
      <w:r>
        <w:rPr>
          <w:lang w:val="cs-CZ"/>
        </w:rPr>
        <w:t> </w:t>
      </w:r>
      <w:r w:rsidRPr="00334743">
        <w:rPr>
          <w:lang w:val="cs-CZ"/>
        </w:rPr>
        <w:t>roce 202</w:t>
      </w:r>
      <w:r>
        <w:rPr>
          <w:lang w:val="cs-CZ"/>
        </w:rPr>
        <w:t>7</w:t>
      </w:r>
      <w:r w:rsidRPr="00334743">
        <w:rPr>
          <w:lang w:val="cs-CZ"/>
        </w:rPr>
        <w:t>.</w:t>
      </w:r>
      <w:r>
        <w:rPr>
          <w:highlight w:val="yellow"/>
          <w:lang w:val="cs-CZ"/>
        </w:rPr>
        <w:br w:type="page"/>
      </w:r>
    </w:p>
    <w:p w:rsidR="00A758A7" w:rsidRPr="00C82EBC" w:rsidP="00794716" w14:paraId="2D067C25" w14:textId="69410514">
      <w:pPr>
        <w:pStyle w:val="Heading1"/>
        <w:numPr>
          <w:ilvl w:val="0"/>
          <w:numId w:val="31"/>
        </w:numPr>
      </w:pPr>
      <w:bookmarkStart w:id="1" w:name="_Toc256000002"/>
      <w:r w:rsidRPr="00C82EBC">
        <w:t>ÚVOD</w:t>
      </w:r>
      <w:bookmarkEnd w:id="1"/>
    </w:p>
    <w:p w:rsidR="00067B3F" w:rsidRPr="000F2C87" w14:paraId="0000005E" w14:textId="5197BAFA">
      <w:pPr>
        <w:spacing w:before="240" w:after="240"/>
        <w:jc w:val="both"/>
        <w:rPr>
          <w:lang w:val="cs-CZ"/>
        </w:rPr>
      </w:pPr>
      <w:r w:rsidRPr="000F2C87">
        <w:rPr>
          <w:lang w:val="cs-CZ"/>
        </w:rPr>
        <w:t xml:space="preserve">Příprava materiálu </w:t>
      </w:r>
      <w:r w:rsidRPr="00573D57">
        <w:rPr>
          <w:lang w:val="cs-CZ"/>
        </w:rPr>
        <w:t>„</w:t>
      </w:r>
      <w:r w:rsidR="00DD36A6">
        <w:rPr>
          <w:b/>
          <w:bCs/>
          <w:lang w:val="cs-CZ"/>
        </w:rPr>
        <w:t>Návrh legislativních a nelegislativních změn nezbytných pro implementaci</w:t>
      </w:r>
      <w:r w:rsidRPr="000F2C87">
        <w:rPr>
          <w:b/>
          <w:bCs/>
          <w:lang w:val="cs-CZ"/>
        </w:rPr>
        <w:t xml:space="preserve"> finančních nástrojů v</w:t>
      </w:r>
      <w:r w:rsidR="00DD36A6">
        <w:rPr>
          <w:b/>
          <w:bCs/>
          <w:lang w:val="cs-CZ"/>
        </w:rPr>
        <w:t> </w:t>
      </w:r>
      <w:r w:rsidRPr="000F2C87">
        <w:rPr>
          <w:b/>
          <w:bCs/>
          <w:lang w:val="cs-CZ"/>
        </w:rPr>
        <w:t xml:space="preserve">ČR </w:t>
      </w:r>
      <w:r w:rsidR="00DD36A6">
        <w:rPr>
          <w:b/>
          <w:bCs/>
          <w:lang w:val="cs-CZ"/>
        </w:rPr>
        <w:t>v </w:t>
      </w:r>
      <w:r w:rsidRPr="000F2C87">
        <w:rPr>
          <w:b/>
          <w:bCs/>
          <w:lang w:val="cs-CZ"/>
        </w:rPr>
        <w:t>období 2028+</w:t>
      </w:r>
      <w:r w:rsidRPr="00573D57">
        <w:rPr>
          <w:lang w:val="cs-CZ"/>
        </w:rPr>
        <w:t>“</w:t>
      </w:r>
      <w:r>
        <w:rPr>
          <w:b/>
          <w:lang w:val="cs-CZ"/>
        </w:rPr>
        <w:t xml:space="preserve"> </w:t>
      </w:r>
      <w:r w:rsidRPr="000F2C87">
        <w:rPr>
          <w:lang w:val="cs-CZ"/>
        </w:rPr>
        <w:t xml:space="preserve">bezprostředně navazuje na </w:t>
      </w:r>
      <w:r w:rsidRPr="000F2C87" w:rsidR="00254CE8">
        <w:rPr>
          <w:lang w:val="cs-CZ"/>
        </w:rPr>
        <w:t>Strategický rámec politiky soudržnosti (</w:t>
      </w:r>
      <w:r w:rsidRPr="000F2C87">
        <w:rPr>
          <w:lang w:val="cs-CZ"/>
        </w:rPr>
        <w:t>SRPS 2028+</w:t>
      </w:r>
      <w:r w:rsidRPr="000F2C87" w:rsidR="00254CE8">
        <w:rPr>
          <w:lang w:val="cs-CZ"/>
        </w:rPr>
        <w:t>)</w:t>
      </w:r>
      <w:r w:rsidRPr="000F2C87">
        <w:rPr>
          <w:lang w:val="cs-CZ"/>
        </w:rPr>
        <w:t xml:space="preserve">, </w:t>
      </w:r>
      <w:r w:rsidRPr="000F2C87" w:rsidR="00254CE8">
        <w:rPr>
          <w:lang w:val="cs-CZ"/>
        </w:rPr>
        <w:t xml:space="preserve">který byl </w:t>
      </w:r>
      <w:r w:rsidRPr="60371E7F" w:rsidR="010DDD3F">
        <w:rPr>
          <w:lang w:val="cs-CZ"/>
        </w:rPr>
        <w:t xml:space="preserve">projednán vládou </w:t>
      </w:r>
      <w:r w:rsidRPr="000F2C87" w:rsidR="00254CE8">
        <w:rPr>
          <w:lang w:val="cs-CZ"/>
        </w:rPr>
        <w:t>dne 2.</w:t>
      </w:r>
      <w:r w:rsidR="00E61A92">
        <w:rPr>
          <w:lang w:val="cs-CZ"/>
        </w:rPr>
        <w:t> </w:t>
      </w:r>
      <w:r w:rsidRPr="000F2C87" w:rsidR="00254CE8">
        <w:rPr>
          <w:lang w:val="cs-CZ"/>
        </w:rPr>
        <w:t>července</w:t>
      </w:r>
      <w:r w:rsidR="00E61A92">
        <w:rPr>
          <w:lang w:val="cs-CZ"/>
        </w:rPr>
        <w:t> </w:t>
      </w:r>
      <w:r w:rsidRPr="000F2C87" w:rsidR="00254CE8">
        <w:rPr>
          <w:lang w:val="cs-CZ"/>
        </w:rPr>
        <w:t xml:space="preserve">2025 </w:t>
      </w:r>
      <w:r w:rsidRPr="60371E7F" w:rsidR="4DA6FB9E">
        <w:rPr>
          <w:lang w:val="cs-CZ"/>
        </w:rPr>
        <w:t xml:space="preserve">(viz usnesení vlády </w:t>
      </w:r>
      <w:r w:rsidRPr="000F2C87" w:rsidR="00254CE8">
        <w:rPr>
          <w:lang w:val="cs-CZ"/>
        </w:rPr>
        <w:t>č. 490</w:t>
      </w:r>
      <w:r w:rsidRPr="60371E7F" w:rsidR="0E420275">
        <w:rPr>
          <w:lang w:val="cs-CZ"/>
        </w:rPr>
        <w:t>)</w:t>
      </w:r>
      <w:r w:rsidR="00FA3B3C">
        <w:rPr>
          <w:lang w:val="cs-CZ"/>
        </w:rPr>
        <w:t>,</w:t>
      </w:r>
      <w:r w:rsidRPr="000F2C87" w:rsidR="00254CE8">
        <w:rPr>
          <w:lang w:val="cs-CZ"/>
        </w:rPr>
        <w:t xml:space="preserve"> a pře</w:t>
      </w:r>
      <w:r w:rsidR="00C76469">
        <w:rPr>
          <w:lang w:val="cs-CZ"/>
        </w:rPr>
        <w:t>d</w:t>
      </w:r>
      <w:r w:rsidRPr="000F2C87" w:rsidR="00254CE8">
        <w:rPr>
          <w:lang w:val="cs-CZ"/>
        </w:rPr>
        <w:t xml:space="preserve">stavuje plnění úkolu uloženého tímto usnesením Ministerstvu pro místní rozvoj (MMR). </w:t>
      </w:r>
    </w:p>
    <w:p w:rsidR="00254CE8" w:rsidRPr="000F2C87" w:rsidP="00254CE8" w14:paraId="282A7308" w14:textId="67F88910">
      <w:pPr>
        <w:spacing w:before="240" w:after="240"/>
        <w:jc w:val="both"/>
        <w:rPr>
          <w:lang w:val="cs-CZ"/>
        </w:rPr>
      </w:pPr>
      <w:r w:rsidRPr="000F2C87">
        <w:rPr>
          <w:b/>
          <w:bCs/>
          <w:lang w:val="cs-CZ"/>
        </w:rPr>
        <w:t xml:space="preserve">Cílem materiálu je vytvořit jasný, srozumitelný a realistický základ pro stanovení rozsahu </w:t>
      </w:r>
      <w:r w:rsidRPr="0A5556C1">
        <w:rPr>
          <w:b/>
          <w:bCs/>
          <w:lang w:val="cs-CZ"/>
        </w:rPr>
        <w:t>a</w:t>
      </w:r>
      <w:r w:rsidR="00E76B9D">
        <w:rPr>
          <w:b/>
          <w:bCs/>
          <w:lang w:val="cs-CZ"/>
        </w:rPr>
        <w:t> </w:t>
      </w:r>
      <w:r w:rsidRPr="0A5556C1">
        <w:rPr>
          <w:b/>
          <w:bCs/>
          <w:lang w:val="cs-CZ"/>
        </w:rPr>
        <w:t>způsobu</w:t>
      </w:r>
      <w:r w:rsidRPr="000F2C87">
        <w:rPr>
          <w:b/>
          <w:bCs/>
          <w:lang w:val="cs-CZ"/>
        </w:rPr>
        <w:t xml:space="preserve"> využití finančních nástrojů v období 2028+, vymezení institucionálních rolí </w:t>
      </w:r>
      <w:r w:rsidRPr="0A5556C1">
        <w:rPr>
          <w:b/>
          <w:bCs/>
          <w:lang w:val="cs-CZ"/>
        </w:rPr>
        <w:t>a</w:t>
      </w:r>
      <w:r w:rsidR="00E76B9D">
        <w:rPr>
          <w:b/>
          <w:bCs/>
          <w:lang w:val="cs-CZ"/>
        </w:rPr>
        <w:t> </w:t>
      </w:r>
      <w:r w:rsidRPr="0A5556C1">
        <w:rPr>
          <w:b/>
          <w:bCs/>
          <w:lang w:val="cs-CZ"/>
        </w:rPr>
        <w:t>identifikaci</w:t>
      </w:r>
      <w:r w:rsidRPr="000F2C87">
        <w:rPr>
          <w:b/>
          <w:bCs/>
          <w:lang w:val="cs-CZ"/>
        </w:rPr>
        <w:t xml:space="preserve"> nezbytných legislativních a metodických úprav</w:t>
      </w:r>
      <w:r w:rsidRPr="000F2C87">
        <w:rPr>
          <w:lang w:val="cs-CZ"/>
        </w:rPr>
        <w:t>.</w:t>
      </w:r>
    </w:p>
    <w:p w:rsidR="00254CE8" w:rsidRPr="000F2C87" w:rsidP="00254CE8" w14:paraId="41655E67" w14:textId="0DD28526">
      <w:pPr>
        <w:spacing w:before="240" w:after="240"/>
        <w:jc w:val="both"/>
        <w:rPr>
          <w:lang w:val="cs-CZ"/>
        </w:rPr>
      </w:pPr>
      <w:r w:rsidRPr="000F2C87">
        <w:rPr>
          <w:lang w:val="cs-CZ"/>
        </w:rPr>
        <w:t xml:space="preserve">SRPS 2028+ identifikoval klíčové problémy, tematické priority a vhodné nástroje podpory </w:t>
      </w:r>
      <w:r w:rsidRPr="310BE557" w:rsidR="4088FB48">
        <w:rPr>
          <w:lang w:val="cs-CZ"/>
        </w:rPr>
        <w:t>v</w:t>
      </w:r>
      <w:r w:rsidR="007008EA">
        <w:rPr>
          <w:lang w:val="cs-CZ"/>
        </w:rPr>
        <w:t> </w:t>
      </w:r>
      <w:r w:rsidRPr="310BE557" w:rsidR="4088FB48">
        <w:rPr>
          <w:lang w:val="cs-CZ"/>
        </w:rPr>
        <w:t>situaci</w:t>
      </w:r>
      <w:r w:rsidRPr="000F2C87">
        <w:rPr>
          <w:lang w:val="cs-CZ"/>
        </w:rPr>
        <w:t xml:space="preserve"> očekávaného poklesu alokace prostředků </w:t>
      </w:r>
      <w:r w:rsidR="00A746F3">
        <w:rPr>
          <w:lang w:val="cs-CZ"/>
        </w:rPr>
        <w:t>fondů EU</w:t>
      </w:r>
      <w:r w:rsidRPr="000F2C87">
        <w:rPr>
          <w:lang w:val="cs-CZ"/>
        </w:rPr>
        <w:t xml:space="preserve"> po roce 2027. Strategický rámec vychází z předpokladu, že v období 2028–2034 dojde nejen ke snížení celkové alokace pro</w:t>
      </w:r>
      <w:r w:rsidR="00C25461">
        <w:rPr>
          <w:lang w:val="cs-CZ"/>
        </w:rPr>
        <w:t> </w:t>
      </w:r>
      <w:r w:rsidRPr="000F2C87">
        <w:rPr>
          <w:lang w:val="cs-CZ"/>
        </w:rPr>
        <w:t xml:space="preserve">Českou republiku, ale zároveň k významné změně struktury podpory </w:t>
      </w:r>
      <w:r w:rsidRPr="310BE557" w:rsidR="11F6CF99">
        <w:rPr>
          <w:lang w:val="cs-CZ"/>
        </w:rPr>
        <w:t>na</w:t>
      </w:r>
      <w:r w:rsidRPr="000F2C87">
        <w:rPr>
          <w:lang w:val="cs-CZ"/>
        </w:rPr>
        <w:t xml:space="preserve"> úrovni Evropské unie, včetně vyššího tlaku na efektivitu a výkonnostní rámec včetně sledování výsledků </w:t>
      </w:r>
      <w:r w:rsidRPr="7F39D371">
        <w:rPr>
          <w:lang w:val="cs-CZ"/>
        </w:rPr>
        <w:t>a</w:t>
      </w:r>
      <w:r w:rsidRPr="7F39D371" w:rsidR="5640AD08">
        <w:rPr>
          <w:lang w:val="cs-CZ"/>
        </w:rPr>
        <w:t xml:space="preserve"> </w:t>
      </w:r>
      <w:r w:rsidRPr="7F39D371">
        <w:rPr>
          <w:lang w:val="cs-CZ"/>
        </w:rPr>
        <w:t>dopadů</w:t>
      </w:r>
      <w:r w:rsidRPr="000F2C87">
        <w:rPr>
          <w:lang w:val="cs-CZ"/>
        </w:rPr>
        <w:t xml:space="preserve"> podpory, koncentraci investic a mobilizaci soukromých zdrojů. Za těchto okolností nebude možné zachovat dosavadní rozsah plošných dotačních schémat a bude nezbytné hledat nástroje s vyšším multiplikačním efektem a dlouhodobým dopadem.</w:t>
      </w:r>
    </w:p>
    <w:p w:rsidR="00657E9C" w:rsidRPr="000F2C87" w:rsidP="00657E9C" w14:paraId="61AB65F5" w14:textId="73D70DA4">
      <w:pPr>
        <w:spacing w:before="240" w:after="240"/>
        <w:jc w:val="both"/>
        <w:rPr>
          <w:lang w:val="cs-CZ"/>
        </w:rPr>
      </w:pPr>
      <w:r w:rsidRPr="000F2C87">
        <w:rPr>
          <w:lang w:val="cs-CZ"/>
        </w:rPr>
        <w:t>Rostoucí investiční potřeby veřejných politik v ČR a současně omezené možnosti veřejných rozpočtů zvyšují význam finančních nástrojů jako nástroje pro mobilizaci dodatečn</w:t>
      </w:r>
      <w:r w:rsidRPr="000F2C87" w:rsidR="00421842">
        <w:rPr>
          <w:lang w:val="cs-CZ"/>
        </w:rPr>
        <w:t xml:space="preserve">ého soukromého kapitálu pro pokrytí </w:t>
      </w:r>
      <w:r w:rsidRPr="000F2C87">
        <w:rPr>
          <w:lang w:val="cs-CZ"/>
        </w:rPr>
        <w:t>investi</w:t>
      </w:r>
      <w:r w:rsidRPr="000F2C87" w:rsidR="00421842">
        <w:rPr>
          <w:lang w:val="cs-CZ"/>
        </w:rPr>
        <w:t>ční mezery</w:t>
      </w:r>
      <w:r w:rsidRPr="000F2C87">
        <w:rPr>
          <w:lang w:val="cs-CZ"/>
        </w:rPr>
        <w:t xml:space="preserve">. Finanční nástroje nejsou vhodné </w:t>
      </w:r>
      <w:r w:rsidRPr="64C8DE97">
        <w:rPr>
          <w:lang w:val="cs-CZ"/>
        </w:rPr>
        <w:t>pro</w:t>
      </w:r>
      <w:r w:rsidR="007008EA">
        <w:rPr>
          <w:lang w:val="cs-CZ"/>
        </w:rPr>
        <w:t> </w:t>
      </w:r>
      <w:r w:rsidRPr="64C8DE97">
        <w:rPr>
          <w:lang w:val="cs-CZ"/>
        </w:rPr>
        <w:t>všechny</w:t>
      </w:r>
      <w:r w:rsidRPr="000F2C87">
        <w:rPr>
          <w:lang w:val="cs-CZ"/>
        </w:rPr>
        <w:t xml:space="preserve"> </w:t>
      </w:r>
      <w:r w:rsidRPr="000F2C87" w:rsidR="0092305A">
        <w:rPr>
          <w:lang w:val="cs-CZ"/>
        </w:rPr>
        <w:t xml:space="preserve">oblasti </w:t>
      </w:r>
      <w:r w:rsidRPr="000F2C87">
        <w:rPr>
          <w:lang w:val="cs-CZ"/>
        </w:rPr>
        <w:t xml:space="preserve">a jejich využití je smysluplné zejména tam, kde investice generují </w:t>
      </w:r>
      <w:r w:rsidRPr="765FDD40" w:rsidR="1F395FD6">
        <w:rPr>
          <w:lang w:val="cs-CZ"/>
        </w:rPr>
        <w:t>dostatečné výnosy nebo</w:t>
      </w:r>
      <w:r w:rsidR="00C25461">
        <w:rPr>
          <w:lang w:val="cs-CZ"/>
        </w:rPr>
        <w:t> </w:t>
      </w:r>
      <w:r w:rsidRPr="765FDD40" w:rsidR="1F395FD6">
        <w:rPr>
          <w:lang w:val="cs-CZ"/>
        </w:rPr>
        <w:t>úspory nákladů</w:t>
      </w:r>
      <w:r w:rsidRPr="000F2C87">
        <w:rPr>
          <w:lang w:val="cs-CZ"/>
        </w:rPr>
        <w:t>.</w:t>
      </w:r>
    </w:p>
    <w:p w:rsidR="00067B3F" w14:paraId="0000005F" w14:textId="7571B948">
      <w:pPr>
        <w:spacing w:before="240" w:after="240"/>
        <w:jc w:val="both"/>
        <w:rPr>
          <w:lang w:val="cs-CZ"/>
        </w:rPr>
      </w:pPr>
      <w:r w:rsidRPr="000F2C87">
        <w:rPr>
          <w:b/>
          <w:bCs/>
          <w:lang w:val="cs-CZ"/>
        </w:rPr>
        <w:t xml:space="preserve">Jedním z klíčových závěrů </w:t>
      </w:r>
      <w:r w:rsidRPr="000F2C87" w:rsidR="00FE5800">
        <w:rPr>
          <w:b/>
          <w:bCs/>
          <w:lang w:val="cs-CZ"/>
        </w:rPr>
        <w:t xml:space="preserve">SRPS 2028+ </w:t>
      </w:r>
      <w:r w:rsidRPr="000F2C87">
        <w:rPr>
          <w:b/>
          <w:bCs/>
          <w:lang w:val="cs-CZ"/>
        </w:rPr>
        <w:t>je potřeba systematičtějšího a výrazně širšího využívání návratných a kombinovaných forem podpory, zejména finančních nástrojů.</w:t>
      </w:r>
      <w:r w:rsidRPr="000F2C87">
        <w:rPr>
          <w:lang w:val="cs-CZ"/>
        </w:rPr>
        <w:t xml:space="preserve"> Přechod od převážně nenávratných dotací k návratné podpoře představuje dlouhodobý trend na</w:t>
      </w:r>
      <w:r w:rsidR="00C25461">
        <w:rPr>
          <w:lang w:val="cs-CZ"/>
        </w:rPr>
        <w:t> </w:t>
      </w:r>
      <w:r w:rsidRPr="000F2C87">
        <w:rPr>
          <w:lang w:val="cs-CZ"/>
        </w:rPr>
        <w:t>úrovni EU, který je reflektován jak v doporučeních Evropské komise, tak v praxi řady členských států. Finanční nástroje umožňují efektivnější využití omezených veřejných prostředků prostřednictvím revolving</w:t>
      </w:r>
      <w:r w:rsidRPr="000F2C87" w:rsidR="00254CE8">
        <w:rPr>
          <w:lang w:val="cs-CZ"/>
        </w:rPr>
        <w:t>ového (obrátkového) a</w:t>
      </w:r>
      <w:r w:rsidRPr="000F2C87">
        <w:rPr>
          <w:lang w:val="cs-CZ"/>
        </w:rPr>
        <w:t xml:space="preserve"> pákového efektu </w:t>
      </w:r>
      <w:r w:rsidRPr="000F2C87" w:rsidR="00254CE8">
        <w:rPr>
          <w:lang w:val="cs-CZ"/>
        </w:rPr>
        <w:t xml:space="preserve">v důsledku mobilizace </w:t>
      </w:r>
      <w:r w:rsidRPr="000F2C87">
        <w:rPr>
          <w:lang w:val="cs-CZ"/>
        </w:rPr>
        <w:t>soukromého kapitálu, přičemž současně snižují riziko vytěsňování tržního financování</w:t>
      </w:r>
      <w:r w:rsidRPr="000F2C87" w:rsidR="00254CE8">
        <w:rPr>
          <w:lang w:val="cs-CZ"/>
        </w:rPr>
        <w:t xml:space="preserve"> veřejnými intervencemi</w:t>
      </w:r>
      <w:r w:rsidRPr="000F2C87">
        <w:rPr>
          <w:lang w:val="cs-CZ"/>
        </w:rPr>
        <w:t>. Strategický rámec proto v řadě tematických oblastí již indikuje preferenci návratné nebo kombinované podpory, avšak bez detailního rozpracování implementačního rámce</w:t>
      </w:r>
      <w:r w:rsidRPr="000F2C87" w:rsidR="00254CE8">
        <w:rPr>
          <w:lang w:val="cs-CZ"/>
        </w:rPr>
        <w:t xml:space="preserve"> a</w:t>
      </w:r>
      <w:r w:rsidR="00C25461">
        <w:rPr>
          <w:lang w:val="cs-CZ"/>
        </w:rPr>
        <w:t> </w:t>
      </w:r>
      <w:r w:rsidRPr="000F2C87" w:rsidR="00254CE8">
        <w:rPr>
          <w:lang w:val="cs-CZ"/>
        </w:rPr>
        <w:t>konkrétních podporovaných oblastí</w:t>
      </w:r>
      <w:r w:rsidRPr="000F2C87">
        <w:rPr>
          <w:lang w:val="cs-CZ"/>
        </w:rPr>
        <w:t>.</w:t>
      </w:r>
    </w:p>
    <w:p w:rsidR="00EC59EC" w:rsidP="00EC59EC" w14:paraId="7F6E5C80" w14:textId="77777777">
      <w:pPr>
        <w:pStyle w:val="ListParagraph"/>
        <w:spacing w:before="240" w:after="240"/>
        <w:ind w:left="0"/>
        <w:contextualSpacing w:val="0"/>
        <w:jc w:val="both"/>
        <w:rPr>
          <w:lang w:val="cs-CZ"/>
        </w:rPr>
      </w:pPr>
      <w:r w:rsidRPr="6D387690">
        <w:rPr>
          <w:lang w:val="cs-CZ"/>
        </w:rPr>
        <w:t xml:space="preserve">Materiál vychází z předpokladu, že </w:t>
      </w:r>
      <w:r w:rsidRPr="6D387690">
        <w:rPr>
          <w:b/>
          <w:bCs/>
          <w:lang w:val="cs-CZ"/>
        </w:rPr>
        <w:t>rozhodování o využití finančních nástrojů</w:t>
      </w:r>
      <w:r w:rsidRPr="6D387690">
        <w:rPr>
          <w:lang w:val="cs-CZ"/>
        </w:rPr>
        <w:t xml:space="preserve"> </w:t>
      </w:r>
      <w:r w:rsidRPr="6D387690">
        <w:rPr>
          <w:b/>
          <w:bCs/>
          <w:lang w:val="cs-CZ"/>
        </w:rPr>
        <w:t>bude založeno na principu finanční kaskády</w:t>
      </w:r>
      <w:r w:rsidRPr="6D387690">
        <w:rPr>
          <w:lang w:val="cs-CZ"/>
        </w:rPr>
        <w:t>, doplňkovosti vůči trhu (</w:t>
      </w:r>
      <w:r w:rsidRPr="6D387690">
        <w:rPr>
          <w:lang w:val="cs-CZ"/>
        </w:rPr>
        <w:t>adicionalita</w:t>
      </w:r>
      <w:r w:rsidRPr="6D387690">
        <w:rPr>
          <w:lang w:val="cs-CZ"/>
        </w:rPr>
        <w:t>), prokazatelné existenci finanční mezery, principu minimalizace nezbytné  podpory z veřejných zdrojů, důrazu na hodnotu za peníze (</w:t>
      </w:r>
      <w:r w:rsidRPr="6D387690">
        <w:rPr>
          <w:lang w:val="cs-CZ"/>
        </w:rPr>
        <w:t>value</w:t>
      </w:r>
      <w:r w:rsidRPr="6D387690">
        <w:rPr>
          <w:lang w:val="cs-CZ"/>
        </w:rPr>
        <w:t xml:space="preserve"> </w:t>
      </w:r>
      <w:r w:rsidRPr="6D387690">
        <w:rPr>
          <w:lang w:val="cs-CZ"/>
        </w:rPr>
        <w:t>for</w:t>
      </w:r>
      <w:r w:rsidRPr="6D387690">
        <w:rPr>
          <w:lang w:val="cs-CZ"/>
        </w:rPr>
        <w:t xml:space="preserve"> </w:t>
      </w:r>
      <w:r w:rsidRPr="6D387690">
        <w:rPr>
          <w:lang w:val="cs-CZ"/>
        </w:rPr>
        <w:t>money</w:t>
      </w:r>
      <w:r w:rsidRPr="6D387690">
        <w:rPr>
          <w:lang w:val="cs-CZ"/>
        </w:rPr>
        <w:t xml:space="preserve">), systematickém předběžném posouzení vhodnosti návratné nebo kombinované formy podpory a na včasné přípravě dostatečné </w:t>
      </w:r>
      <w:r w:rsidRPr="6D387690">
        <w:rPr>
          <w:lang w:val="cs-CZ"/>
        </w:rPr>
        <w:t>pipeline</w:t>
      </w:r>
      <w:r w:rsidRPr="6D387690">
        <w:rPr>
          <w:lang w:val="cs-CZ"/>
        </w:rPr>
        <w:t xml:space="preserve"> projektů, která podpoří jejich efektivní nasazení v oblastech s doloženou absorpční kapacitou.</w:t>
      </w:r>
    </w:p>
    <w:p w:rsidR="00EC59EC" w:rsidP="00EC59EC" w14:paraId="47DF977B" w14:textId="3C0C64CF">
      <w:pPr>
        <w:pStyle w:val="Caption"/>
        <w:keepNext/>
        <w:jc w:val="both"/>
      </w:pPr>
      <w:r>
        <w:t xml:space="preserve">Obrázek </w:t>
      </w:r>
      <w:r w:rsidR="00172F6C">
        <w:fldChar w:fldCharType="begin"/>
      </w:r>
      <w:r w:rsidR="00172F6C">
        <w:instrText xml:space="preserve"> SEQ Obrázek \* ARABIC </w:instrText>
      </w:r>
      <w:r w:rsidR="00172F6C">
        <w:fldChar w:fldCharType="separate"/>
      </w:r>
      <w:r w:rsidR="00172F6C">
        <w:t>1</w:t>
      </w:r>
      <w:r w:rsidR="00172F6C">
        <w:rPr>
          <w:noProof/>
        </w:rPr>
        <w:fldChar w:fldCharType="end"/>
      </w:r>
      <w:r>
        <w:t>:</w:t>
      </w:r>
      <w:r w:rsidRPr="001B663A">
        <w:t xml:space="preserve"> Princip kaskádového přístupu k financování rozvojových priorit, zdroj: </w:t>
      </w:r>
      <w:r w:rsidRPr="001B663A">
        <w:t>World</w:t>
      </w:r>
      <w:r w:rsidRPr="001B663A">
        <w:t xml:space="preserve"> Bank Group</w:t>
      </w:r>
      <w:r>
        <w:rPr>
          <w:rStyle w:val="FootnoteReference"/>
        </w:rPr>
        <w:footnoteReference w:id="3"/>
      </w:r>
    </w:p>
    <w:p w:rsidR="00EC59EC" w:rsidP="00E34DB8" w14:paraId="67C3229F" w14:textId="77777777">
      <w:pPr>
        <w:spacing w:before="240" w:after="240"/>
        <w:jc w:val="center"/>
        <w:rPr>
          <w:lang w:val="cs-CZ"/>
        </w:rPr>
      </w:pPr>
      <w:r>
        <w:rPr>
          <w:noProof/>
        </w:rPr>
        <w:drawing>
          <wp:inline distT="0" distB="0" distL="0" distR="0">
            <wp:extent cx="5265557" cy="3776133"/>
            <wp:effectExtent l="0" t="0" r="0" b="0"/>
            <wp:docPr id="894540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4028" name="Picture 772535704"/>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280315" cy="3786716"/>
                    </a:xfrm>
                    <a:prstGeom prst="rect">
                      <a:avLst/>
                    </a:prstGeom>
                  </pic:spPr>
                </pic:pic>
              </a:graphicData>
            </a:graphic>
          </wp:inline>
        </w:drawing>
      </w:r>
    </w:p>
    <w:p w:rsidR="00067B3F" w:rsidRPr="000F2C87" w14:paraId="00000060" w14:textId="5C94D748">
      <w:pPr>
        <w:spacing w:before="240" w:after="240"/>
        <w:jc w:val="both"/>
        <w:rPr>
          <w:lang w:val="cs-CZ"/>
        </w:rPr>
      </w:pPr>
      <w:r w:rsidRPr="000F2C87">
        <w:rPr>
          <w:lang w:val="cs-CZ"/>
        </w:rPr>
        <w:t>Příprava tohoto materiálu je dále motivována zásadní proměnou evropského institucionálního a</w:t>
      </w:r>
      <w:r w:rsidR="00C25461">
        <w:rPr>
          <w:lang w:val="cs-CZ"/>
        </w:rPr>
        <w:t> </w:t>
      </w:r>
      <w:r w:rsidRPr="000F2C87">
        <w:rPr>
          <w:lang w:val="cs-CZ"/>
        </w:rPr>
        <w:t xml:space="preserve">rozpočtového prostředí. </w:t>
      </w:r>
      <w:r w:rsidRPr="000F2C87">
        <w:rPr>
          <w:b/>
          <w:bCs/>
          <w:lang w:val="cs-CZ"/>
        </w:rPr>
        <w:t xml:space="preserve">Pro období 2028+ Evropská komise pracuje s konceptem NRPP, který je založen na propojení investic a reforem </w:t>
      </w:r>
      <w:r w:rsidRPr="000F2C87" w:rsidR="00254CE8">
        <w:rPr>
          <w:b/>
          <w:bCs/>
          <w:lang w:val="cs-CZ"/>
        </w:rPr>
        <w:t>napříč fondy EU</w:t>
      </w:r>
      <w:r w:rsidRPr="000F2C87">
        <w:rPr>
          <w:b/>
          <w:bCs/>
          <w:lang w:val="cs-CZ"/>
        </w:rPr>
        <w:t>, přičemž součástí navrhovaného nastavení je také výkonnostní model pracující s milníky a cíli.</w:t>
      </w:r>
      <w:r w:rsidRPr="000F2C87">
        <w:rPr>
          <w:lang w:val="cs-CZ"/>
        </w:rPr>
        <w:t xml:space="preserve"> Tento rámec vytváří nové podmínky pro flexibilnější využívání různých forem podpory, včetně kombinace návratných a nenávratných nástrojů v rámci jedné operace, zjednodušení administrace a</w:t>
      </w:r>
      <w:r w:rsidR="00383BDE">
        <w:rPr>
          <w:lang w:val="cs-CZ"/>
        </w:rPr>
        <w:t> </w:t>
      </w:r>
      <w:r w:rsidRPr="000F2C87">
        <w:rPr>
          <w:lang w:val="cs-CZ"/>
        </w:rPr>
        <w:t xml:space="preserve">efektivnější řízení veřejných investic, zároveň však klade vyšší nároky na strategické řízení, koordinaci a připravenost institucionálního rámce na národní úrovni. Bez jasně vymezeného rámce pro využívání finančních nástrojů hrozí, že potenciál návratných a kombinovaných forem podpory nebude v novém nastavení NRPP </w:t>
      </w:r>
      <w:r w:rsidRPr="000F2C87" w:rsidR="00254CE8">
        <w:rPr>
          <w:lang w:val="cs-CZ"/>
        </w:rPr>
        <w:t xml:space="preserve">efektivně </w:t>
      </w:r>
      <w:r w:rsidRPr="000F2C87">
        <w:rPr>
          <w:lang w:val="cs-CZ"/>
        </w:rPr>
        <w:t>využit.</w:t>
      </w:r>
    </w:p>
    <w:p w:rsidR="00904191" w:rsidP="00F32B7E" w14:paraId="07F77050" w14:textId="790B8A59">
      <w:pPr>
        <w:spacing w:before="240" w:after="240"/>
        <w:jc w:val="both"/>
        <w:rPr>
          <w:lang w:val="cs-CZ"/>
        </w:rPr>
      </w:pPr>
      <w:r w:rsidRPr="000F2C87">
        <w:rPr>
          <w:b/>
          <w:bCs/>
          <w:lang w:val="cs-CZ"/>
        </w:rPr>
        <w:t xml:space="preserve">Dalším významným důvodem pro </w:t>
      </w:r>
      <w:r w:rsidRPr="000F2C87" w:rsidR="00254CE8">
        <w:rPr>
          <w:b/>
          <w:bCs/>
          <w:lang w:val="cs-CZ"/>
        </w:rPr>
        <w:t xml:space="preserve">koordinaci oblasti finančních nástrojů 2028+ </w:t>
      </w:r>
      <w:r w:rsidRPr="000F2C87">
        <w:rPr>
          <w:b/>
          <w:bCs/>
          <w:lang w:val="cs-CZ"/>
        </w:rPr>
        <w:t>je potřeba posílit investiční kapacitu veřejného i soukromého sektoru v situaci rostoucích investičních potřeb a omezeného fiskálního prostoru</w:t>
      </w:r>
      <w:r w:rsidRPr="000F2C87">
        <w:rPr>
          <w:lang w:val="cs-CZ"/>
        </w:rPr>
        <w:t xml:space="preserve">. Výzvy spojené s digitální transformací, dostupností bydlení, </w:t>
      </w:r>
      <w:r w:rsidRPr="000F2C87" w:rsidR="00254CE8">
        <w:rPr>
          <w:lang w:val="cs-CZ"/>
        </w:rPr>
        <w:t xml:space="preserve">agendou životního prostředí, </w:t>
      </w:r>
      <w:r w:rsidRPr="000F2C87">
        <w:rPr>
          <w:lang w:val="cs-CZ"/>
        </w:rPr>
        <w:t>modernizací infrastruktury, demografickými změnami či posilováním odolnosti společnosti vyžadují objem investic, který nelze dlouhodobě pokrýt pouze z dotačních zdrojů. Finanční nástroje představují klíčový mechanismus, jak</w:t>
      </w:r>
      <w:r w:rsidR="00C25461">
        <w:rPr>
          <w:lang w:val="cs-CZ"/>
        </w:rPr>
        <w:t> </w:t>
      </w:r>
      <w:r w:rsidRPr="000F2C87">
        <w:rPr>
          <w:lang w:val="cs-CZ"/>
        </w:rPr>
        <w:t>mobilizovat dodatečné zdroje, snížit investiční rizika a umožnit realizaci projektů, které by bez veřejné intervence nebyly financovatelné, a to jak v podnikatelském, tak ve veřejném a</w:t>
      </w:r>
      <w:r w:rsidR="00374E97">
        <w:rPr>
          <w:lang w:val="cs-CZ"/>
        </w:rPr>
        <w:t> </w:t>
      </w:r>
      <w:r w:rsidRPr="000F2C87">
        <w:rPr>
          <w:lang w:val="cs-CZ"/>
        </w:rPr>
        <w:t>komunálním sektoru.</w:t>
      </w:r>
      <w:r w:rsidRPr="000F2C87" w:rsidR="0037124F">
        <w:rPr>
          <w:lang w:val="cs-CZ"/>
        </w:rPr>
        <w:t xml:space="preserve"> </w:t>
      </w:r>
      <w:r w:rsidRPr="000F2C87">
        <w:rPr>
          <w:lang w:val="cs-CZ"/>
        </w:rPr>
        <w:t xml:space="preserve">Tento materiál je proto koncipován jako výchozí implementační rámec, který rozpracovává závěry </w:t>
      </w:r>
      <w:r w:rsidRPr="000F2C87" w:rsidR="0037124F">
        <w:rPr>
          <w:lang w:val="cs-CZ"/>
        </w:rPr>
        <w:t xml:space="preserve">SRPS 2028+ </w:t>
      </w:r>
      <w:r w:rsidRPr="000F2C87">
        <w:rPr>
          <w:lang w:val="cs-CZ"/>
        </w:rPr>
        <w:t xml:space="preserve">v oblasti finančních nástrojů. </w:t>
      </w:r>
      <w:r>
        <w:rPr>
          <w:lang w:val="cs-CZ"/>
        </w:rPr>
        <w:t xml:space="preserve"> </w:t>
      </w:r>
    </w:p>
    <w:p w:rsidR="0053243F" w:rsidRPr="000F2C87" w:rsidP="00F32B7E" w14:paraId="7393C797" w14:textId="7A0AB610">
      <w:pPr>
        <w:spacing w:before="240" w:after="240"/>
        <w:jc w:val="both"/>
        <w:rPr>
          <w:lang w:val="cs-CZ"/>
        </w:rPr>
      </w:pPr>
      <w:r w:rsidRPr="000F2C87">
        <w:rPr>
          <w:lang w:val="cs-CZ"/>
        </w:rPr>
        <w:t>Současná zkušenost s implementací finančních nástrojů v České republice zároveň ukazuje několik systémových výzev, které mohou omezovat jejich širší využívání. Patří mezi ně zejména</w:t>
      </w:r>
      <w:r w:rsidRPr="035825B8" w:rsidR="4D71AE04">
        <w:rPr>
          <w:lang w:val="cs-CZ"/>
        </w:rPr>
        <w:t>:</w:t>
      </w:r>
    </w:p>
    <w:p w:rsidR="0053243F" w:rsidRPr="000F2C87" w:rsidP="001311E2" w14:paraId="05ECA52E" w14:textId="4D44293F">
      <w:pPr>
        <w:pStyle w:val="ListParagraph"/>
        <w:numPr>
          <w:ilvl w:val="0"/>
          <w:numId w:val="5"/>
        </w:numPr>
        <w:spacing w:before="240" w:after="240"/>
        <w:jc w:val="both"/>
        <w:rPr>
          <w:lang w:val="cs-CZ"/>
        </w:rPr>
      </w:pPr>
      <w:r w:rsidRPr="035825B8">
        <w:rPr>
          <w:lang w:val="cs-CZ"/>
        </w:rPr>
        <w:t xml:space="preserve">komplikovaná </w:t>
      </w:r>
      <w:r w:rsidRPr="000F2C87" w:rsidR="00927A62">
        <w:rPr>
          <w:lang w:val="cs-CZ"/>
        </w:rPr>
        <w:t xml:space="preserve">implementační </w:t>
      </w:r>
      <w:r w:rsidRPr="035825B8" w:rsidR="057B788F">
        <w:rPr>
          <w:lang w:val="cs-CZ"/>
        </w:rPr>
        <w:t>struktur</w:t>
      </w:r>
      <w:r w:rsidRPr="035825B8" w:rsidR="68F791B3">
        <w:rPr>
          <w:lang w:val="cs-CZ"/>
        </w:rPr>
        <w:t>a</w:t>
      </w:r>
      <w:r w:rsidRPr="035825B8" w:rsidR="057B788F">
        <w:rPr>
          <w:lang w:val="cs-CZ"/>
        </w:rPr>
        <w:t>,</w:t>
      </w:r>
    </w:p>
    <w:p w:rsidR="0053243F" w:rsidRPr="000F2C87" w:rsidP="001311E2" w14:paraId="34C7C3F5" w14:textId="3ADC854D">
      <w:pPr>
        <w:pStyle w:val="ListParagraph"/>
        <w:numPr>
          <w:ilvl w:val="0"/>
          <w:numId w:val="5"/>
        </w:numPr>
        <w:spacing w:before="240" w:after="240"/>
        <w:jc w:val="both"/>
        <w:rPr>
          <w:lang w:val="cs-CZ"/>
        </w:rPr>
      </w:pPr>
      <w:r w:rsidRPr="000F2C87">
        <w:rPr>
          <w:lang w:val="cs-CZ"/>
        </w:rPr>
        <w:t>absence komplexního legislativního rámce</w:t>
      </w:r>
      <w:r w:rsidRPr="000F2C87" w:rsidR="00AA7100">
        <w:rPr>
          <w:lang w:val="cs-CZ"/>
        </w:rPr>
        <w:t xml:space="preserve"> </w:t>
      </w:r>
      <w:r w:rsidRPr="6D387690" w:rsidR="155AFE5C">
        <w:rPr>
          <w:lang w:val="cs-CZ"/>
        </w:rPr>
        <w:t>pro finanční nástroje,</w:t>
      </w:r>
    </w:p>
    <w:p w:rsidR="0053243F" w:rsidRPr="000F2C87" w:rsidP="001311E2" w14:paraId="0DC532B6" w14:textId="272F2301">
      <w:pPr>
        <w:pStyle w:val="ListParagraph"/>
        <w:numPr>
          <w:ilvl w:val="0"/>
          <w:numId w:val="5"/>
        </w:numPr>
        <w:spacing w:before="240" w:after="240"/>
        <w:jc w:val="both"/>
        <w:rPr>
          <w:lang w:val="cs-CZ"/>
        </w:rPr>
      </w:pPr>
      <w:r w:rsidRPr="000F2C87">
        <w:rPr>
          <w:lang w:val="cs-CZ"/>
        </w:rPr>
        <w:t>omezené zapojení soukromého kapitálu do realizace veřejných investic.</w:t>
      </w:r>
    </w:p>
    <w:p w:rsidR="002C7DC9" w:rsidP="00F32B7E" w14:paraId="6A1C5156" w14:textId="77777777">
      <w:pPr>
        <w:pStyle w:val="ListParagraph"/>
        <w:spacing w:before="240" w:after="240"/>
        <w:jc w:val="both"/>
        <w:rPr>
          <w:lang w:val="cs-CZ"/>
        </w:rPr>
      </w:pPr>
    </w:p>
    <w:p w:rsidR="0068632E" w:rsidP="00F32B7E" w14:paraId="2CCDF598" w14:textId="5D53E91C">
      <w:pPr>
        <w:pStyle w:val="ListParagraph"/>
        <w:spacing w:before="240" w:after="240"/>
        <w:ind w:left="0"/>
        <w:contextualSpacing w:val="0"/>
        <w:jc w:val="both"/>
        <w:rPr>
          <w:lang w:val="cs-CZ"/>
        </w:rPr>
      </w:pPr>
      <w:r w:rsidRPr="00FB4F92">
        <w:rPr>
          <w:lang w:val="cs-CZ"/>
        </w:rPr>
        <w:t>Pro efektivnější a širší využívání finančních nástrojů v České republice je nezbytné systematicky posílit koordinaci mezi jednotlivými zapojenými subjekty a současně usilovat o zjednodušení implementačního rámce. Klíčové je zejména omezení institucionální roztříštěnosti, vytvoření uceleného a stabilního legislativního prostředí pro finanční nástroje a podpora intenzivnějšího zapojení soukromého kapitálu do realizace veřejných investic.</w:t>
      </w:r>
    </w:p>
    <w:p w:rsidR="00FB4F92" w:rsidRPr="00FB4F92" w:rsidP="00F32B7E" w14:paraId="2D95403B" w14:textId="708EBA83">
      <w:pPr>
        <w:pStyle w:val="ListParagraph"/>
        <w:spacing w:before="240" w:after="240"/>
        <w:ind w:left="0"/>
        <w:contextualSpacing w:val="0"/>
        <w:jc w:val="both"/>
        <w:rPr>
          <w:lang w:val="cs-CZ"/>
        </w:rPr>
      </w:pPr>
      <w:r w:rsidRPr="025137AC">
        <w:rPr>
          <w:lang w:val="cs-CZ"/>
        </w:rPr>
        <w:t xml:space="preserve">Celkově materiál vytváří základ pro to, aby Česká republika byla schopna v období po roce 2027 </w:t>
      </w:r>
      <w:r w:rsidRPr="025137AC">
        <w:rPr>
          <w:b/>
          <w:bCs/>
          <w:lang w:val="cs-CZ"/>
        </w:rPr>
        <w:t>využívat finanční nástroje jako plnohodnotný a systematicky řízený nástroj veřejné investiční politiky</w:t>
      </w:r>
      <w:r w:rsidRPr="025137AC">
        <w:rPr>
          <w:lang w:val="cs-CZ"/>
        </w:rPr>
        <w:t>, a to při zachování fiskální odpovědnosti, efektivity veřejných výdajů a</w:t>
      </w:r>
      <w:r w:rsidR="00374E97">
        <w:rPr>
          <w:lang w:val="cs-CZ"/>
        </w:rPr>
        <w:t> </w:t>
      </w:r>
      <w:r w:rsidRPr="025137AC">
        <w:rPr>
          <w:lang w:val="cs-CZ"/>
        </w:rPr>
        <w:t>maximálního využití soukromých zdrojů.</w:t>
      </w:r>
    </w:p>
    <w:p w:rsidR="025137AC" w:rsidP="00F32B7E" w14:paraId="3E2A83E6" w14:textId="1AC7C4F8">
      <w:pPr>
        <w:pStyle w:val="ListParagraph"/>
        <w:spacing w:before="240" w:after="240"/>
        <w:ind w:left="0"/>
        <w:contextualSpacing w:val="0"/>
        <w:jc w:val="both"/>
        <w:rPr>
          <w:lang w:val="cs-CZ"/>
        </w:rPr>
      </w:pPr>
      <w:r w:rsidRPr="00FB4F92">
        <w:rPr>
          <w:lang w:val="cs-CZ"/>
        </w:rPr>
        <w:t>Bez přijetí těchto opatření zůstane potenciál finančních nástrojů jako efektivního a</w:t>
      </w:r>
      <w:r w:rsidR="00374E97">
        <w:rPr>
          <w:lang w:val="cs-CZ"/>
        </w:rPr>
        <w:t> </w:t>
      </w:r>
      <w:r w:rsidRPr="00FB4F92">
        <w:rPr>
          <w:lang w:val="cs-CZ"/>
        </w:rPr>
        <w:t>multiplikačního mechanismu financování veřejných politik využíván pouze v omezené míře. Naopak posílení koordinace napříč relevantními aktéry, včetně vazeb na evropskou úroveň, může významně přispět ke zvýšení absorpční kapacity, zlepšení cílení podpory a celkové efektivitě využívání dostupných finančních prostředků.</w:t>
      </w:r>
    </w:p>
    <w:p w:rsidR="00F32B7E" w:rsidP="00EA5F74" w14:paraId="2662FDC4" w14:textId="19D02D50">
      <w:pPr>
        <w:spacing w:before="240" w:after="240"/>
        <w:jc w:val="both"/>
        <w:rPr>
          <w:lang w:val="cs-CZ"/>
        </w:rPr>
      </w:pPr>
    </w:p>
    <w:p w:rsidR="00F32B7E" w:rsidP="00EA5F74" w14:paraId="1279168F" w14:textId="767ABE0C">
      <w:pPr>
        <w:spacing w:before="240" w:after="240"/>
        <w:jc w:val="both"/>
        <w:rPr>
          <w:lang w:val="cs-CZ"/>
        </w:rPr>
      </w:pPr>
      <w:r>
        <w:rPr>
          <w:lang w:val="cs-CZ"/>
        </w:rPr>
        <w:br w:type="page"/>
      </w:r>
    </w:p>
    <w:p w:rsidR="00067B3F" w:rsidRPr="00270696" w:rsidP="007F315C" w14:paraId="000000A7" w14:textId="1C11C958">
      <w:pPr>
        <w:pStyle w:val="Heading1"/>
      </w:pPr>
      <w:bookmarkStart w:id="2" w:name="_heading=h.ho5utpwcmcfs" w:colFirst="0" w:colLast="0"/>
      <w:bookmarkStart w:id="3" w:name="_heading=h.cfu7eppz48sr" w:colFirst="0" w:colLast="0"/>
      <w:bookmarkStart w:id="4" w:name="_heading=h.25dsx86fw2p7" w:colFirst="0" w:colLast="0"/>
      <w:bookmarkStart w:id="5" w:name="_heading=h.yjiw3oduiu4a" w:colFirst="0" w:colLast="0"/>
      <w:bookmarkStart w:id="6" w:name="_heading=h.az2krql5cqly" w:colFirst="0" w:colLast="0"/>
      <w:bookmarkStart w:id="7" w:name="_heading=h.j6idpkdu1yfq" w:colFirst="0" w:colLast="0"/>
      <w:bookmarkEnd w:id="2"/>
      <w:bookmarkEnd w:id="3"/>
      <w:bookmarkEnd w:id="4"/>
      <w:bookmarkEnd w:id="5"/>
      <w:bookmarkEnd w:id="6"/>
      <w:bookmarkEnd w:id="7"/>
      <w:bookmarkStart w:id="8" w:name="_Toc256000003"/>
      <w:r w:rsidRPr="00270696">
        <w:t xml:space="preserve">ZKUŠENOSTI </w:t>
      </w:r>
      <w:r w:rsidR="00E66F67">
        <w:t>Z</w:t>
      </w:r>
      <w:r w:rsidRPr="00270696" w:rsidR="00354D7F">
        <w:t xml:space="preserve"> OBDOBÍ</w:t>
      </w:r>
      <w:r w:rsidRPr="00270696" w:rsidR="00005CB1">
        <w:t xml:space="preserve"> 2021</w:t>
      </w:r>
      <w:r w:rsidRPr="00322BB1" w:rsidR="00322BB1">
        <w:t>–</w:t>
      </w:r>
      <w:r w:rsidRPr="00270696" w:rsidR="00625220">
        <w:t>2027 A 2014</w:t>
      </w:r>
      <w:r w:rsidRPr="00322BB1" w:rsidR="00322BB1">
        <w:t>–</w:t>
      </w:r>
      <w:r w:rsidRPr="00270696" w:rsidR="00625220">
        <w:t>2020</w:t>
      </w:r>
      <w:bookmarkEnd w:id="8"/>
    </w:p>
    <w:p w:rsidR="000B61E0" w:rsidRPr="00270696" w:rsidP="006446B8" w14:paraId="7D02B41C" w14:textId="3A3AD159">
      <w:pPr>
        <w:pStyle w:val="Heading2"/>
      </w:pPr>
      <w:bookmarkStart w:id="9" w:name="_Toc256000004"/>
      <w:r w:rsidRPr="00270696">
        <w:t>Období 2021–2027</w:t>
      </w:r>
      <w:bookmarkEnd w:id="9"/>
    </w:p>
    <w:p w:rsidR="00473FBE" w:rsidRPr="000F2C87" w:rsidP="00ED7ECA" w14:paraId="3F1DD17E" w14:textId="7FF7D870">
      <w:pPr>
        <w:spacing w:before="240" w:after="240"/>
        <w:jc w:val="both"/>
        <w:rPr>
          <w:lang w:val="cs-CZ"/>
        </w:rPr>
      </w:pPr>
      <w:r w:rsidRPr="000F2C87">
        <w:rPr>
          <w:lang w:val="cs-CZ"/>
        </w:rPr>
        <w:t>Celkově zkušenosti z</w:t>
      </w:r>
      <w:r w:rsidR="00E03572">
        <w:rPr>
          <w:lang w:val="cs-CZ"/>
        </w:rPr>
        <w:t> </w:t>
      </w:r>
      <w:r w:rsidRPr="000F2C87">
        <w:rPr>
          <w:lang w:val="cs-CZ"/>
        </w:rPr>
        <w:t xml:space="preserve">období 2021–2027 potvrzují, že finanční nástroje jsou již standardní součástí implementace EU fondů, avšak jejich struktura zůstává silně orientována na </w:t>
      </w:r>
      <w:r w:rsidRPr="000F2C87">
        <w:rPr>
          <w:b/>
          <w:bCs/>
          <w:lang w:val="cs-CZ"/>
        </w:rPr>
        <w:t>dluhové produkty</w:t>
      </w:r>
      <w:r w:rsidRPr="000F2C87">
        <w:rPr>
          <w:lang w:val="cs-CZ"/>
        </w:rPr>
        <w:t xml:space="preserve"> s omezeným zapojením kapitálových nástrojů a soukromého kapitálu a </w:t>
      </w:r>
      <w:r w:rsidRPr="000F2C87">
        <w:rPr>
          <w:b/>
          <w:bCs/>
          <w:lang w:val="cs-CZ"/>
        </w:rPr>
        <w:t>nižším pákovým efektem</w:t>
      </w:r>
      <w:r w:rsidRPr="000F2C87">
        <w:rPr>
          <w:lang w:val="cs-CZ"/>
        </w:rPr>
        <w:t>.</w:t>
      </w:r>
      <w:r w:rsidR="008E0630">
        <w:rPr>
          <w:lang w:val="cs-CZ"/>
        </w:rPr>
        <w:t xml:space="preserve"> </w:t>
      </w:r>
      <w:r w:rsidRPr="000F2C87" w:rsidR="67188FD2">
        <w:rPr>
          <w:lang w:val="cs-CZ"/>
        </w:rPr>
        <w:t xml:space="preserve">V programovém období </w:t>
      </w:r>
      <w:r w:rsidRPr="000F2C87" w:rsidR="67188FD2">
        <w:rPr>
          <w:b/>
          <w:bCs/>
          <w:lang w:val="cs-CZ"/>
        </w:rPr>
        <w:t>2021–2027</w:t>
      </w:r>
      <w:r w:rsidRPr="000F2C87" w:rsidR="67188FD2">
        <w:rPr>
          <w:lang w:val="cs-CZ"/>
        </w:rPr>
        <w:t xml:space="preserve"> je v České republice </w:t>
      </w:r>
      <w:r w:rsidR="00710FCD">
        <w:rPr>
          <w:lang w:val="cs-CZ"/>
        </w:rPr>
        <w:t>z</w:t>
      </w:r>
      <w:r w:rsidRPr="000F2C87" w:rsidR="67188FD2">
        <w:rPr>
          <w:lang w:val="cs-CZ"/>
        </w:rPr>
        <w:t xml:space="preserve"> EU fondů implementováno nebo připravováno </w:t>
      </w:r>
      <w:r w:rsidRPr="000F2C87" w:rsidR="67188FD2">
        <w:rPr>
          <w:b/>
          <w:bCs/>
          <w:lang w:val="cs-CZ"/>
        </w:rPr>
        <w:t xml:space="preserve">celkem </w:t>
      </w:r>
      <w:r w:rsidRPr="000F2C87">
        <w:rPr>
          <w:b/>
          <w:bCs/>
          <w:lang w:val="cs-CZ"/>
        </w:rPr>
        <w:t>1</w:t>
      </w:r>
      <w:r w:rsidR="00493BE7">
        <w:rPr>
          <w:b/>
          <w:bCs/>
          <w:lang w:val="cs-CZ"/>
        </w:rPr>
        <w:t>4</w:t>
      </w:r>
      <w:r w:rsidRPr="000F2C87" w:rsidR="67188FD2">
        <w:rPr>
          <w:b/>
          <w:bCs/>
          <w:lang w:val="cs-CZ"/>
        </w:rPr>
        <w:t xml:space="preserve"> finančních nástrojů</w:t>
      </w:r>
      <w:r w:rsidRPr="000F2C87" w:rsidR="67188FD2">
        <w:rPr>
          <w:lang w:val="cs-CZ"/>
        </w:rPr>
        <w:t xml:space="preserve"> </w:t>
      </w:r>
      <w:r w:rsidRPr="000F2C87" w:rsidR="500D3CA2">
        <w:rPr>
          <w:lang w:val="cs-CZ"/>
        </w:rPr>
        <w:t xml:space="preserve">v rámci </w:t>
      </w:r>
      <w:r w:rsidR="00031468">
        <w:rPr>
          <w:b/>
          <w:bCs/>
          <w:lang w:val="cs-CZ"/>
        </w:rPr>
        <w:t>5</w:t>
      </w:r>
      <w:r w:rsidRPr="000F2C87" w:rsidR="500D3CA2">
        <w:rPr>
          <w:b/>
          <w:bCs/>
          <w:lang w:val="cs-CZ"/>
        </w:rPr>
        <w:t xml:space="preserve"> programů</w:t>
      </w:r>
      <w:r w:rsidRPr="000F2C87" w:rsidR="500D3CA2">
        <w:rPr>
          <w:lang w:val="cs-CZ"/>
        </w:rPr>
        <w:t xml:space="preserve"> </w:t>
      </w:r>
      <w:r w:rsidRPr="0010780A" w:rsidR="67188FD2">
        <w:rPr>
          <w:b/>
          <w:bCs/>
          <w:lang w:val="cs-CZ"/>
        </w:rPr>
        <w:t>s</w:t>
      </w:r>
      <w:r w:rsidRPr="0010780A" w:rsidR="002857E6">
        <w:rPr>
          <w:b/>
          <w:bCs/>
          <w:lang w:val="cs-CZ"/>
        </w:rPr>
        <w:t> </w:t>
      </w:r>
      <w:r w:rsidRPr="000F2C87" w:rsidR="67188FD2">
        <w:rPr>
          <w:b/>
          <w:bCs/>
          <w:lang w:val="cs-CZ"/>
        </w:rPr>
        <w:t xml:space="preserve">celkovou alokací přibližně </w:t>
      </w:r>
      <w:r w:rsidRPr="000F2C87" w:rsidR="4866045B">
        <w:rPr>
          <w:b/>
          <w:bCs/>
          <w:lang w:val="cs-CZ"/>
        </w:rPr>
        <w:t>2</w:t>
      </w:r>
      <w:r w:rsidR="000161DA">
        <w:rPr>
          <w:b/>
          <w:bCs/>
          <w:lang w:val="cs-CZ"/>
        </w:rPr>
        <w:t>3</w:t>
      </w:r>
      <w:r w:rsidRPr="000F2C87" w:rsidR="6A8D3996">
        <w:rPr>
          <w:b/>
          <w:bCs/>
          <w:lang w:val="cs-CZ"/>
        </w:rPr>
        <w:t xml:space="preserve"> </w:t>
      </w:r>
      <w:r w:rsidRPr="000F2C87" w:rsidR="67188FD2">
        <w:rPr>
          <w:b/>
          <w:bCs/>
          <w:lang w:val="cs-CZ"/>
        </w:rPr>
        <w:t>mld. Kč</w:t>
      </w:r>
      <w:r w:rsidRPr="000F2C87" w:rsidR="67188FD2">
        <w:rPr>
          <w:lang w:val="cs-CZ"/>
        </w:rPr>
        <w:t xml:space="preserve">. Finanční nástroje jsou soustředěny zejména do oblastí podpory podnikání, energetické transformace, regenerace </w:t>
      </w:r>
      <w:r w:rsidRPr="000F2C87" w:rsidR="67188FD2">
        <w:rPr>
          <w:lang w:val="cs-CZ"/>
        </w:rPr>
        <w:t>brownfields</w:t>
      </w:r>
      <w:r w:rsidRPr="000F2C87" w:rsidR="67188FD2">
        <w:rPr>
          <w:lang w:val="cs-CZ"/>
        </w:rPr>
        <w:t xml:space="preserve">, oběhového hospodářství a sociální ekonomiky a jsou realizovány kombinací </w:t>
      </w:r>
      <w:r w:rsidRPr="000F2C87" w:rsidR="67188FD2">
        <w:rPr>
          <w:b/>
          <w:bCs/>
          <w:lang w:val="cs-CZ"/>
        </w:rPr>
        <w:t>přímých finančních nástrojů</w:t>
      </w:r>
      <w:r w:rsidRPr="000F2C87" w:rsidR="67188FD2">
        <w:rPr>
          <w:lang w:val="cs-CZ"/>
        </w:rPr>
        <w:t xml:space="preserve"> a</w:t>
      </w:r>
      <w:r w:rsidR="001A4316">
        <w:rPr>
          <w:lang w:val="cs-CZ"/>
        </w:rPr>
        <w:t> </w:t>
      </w:r>
      <w:r w:rsidRPr="000F2C87" w:rsidR="67188FD2">
        <w:rPr>
          <w:b/>
          <w:bCs/>
          <w:lang w:val="cs-CZ"/>
        </w:rPr>
        <w:t>holdingových fondů</w:t>
      </w:r>
      <w:r w:rsidRPr="000F2C87" w:rsidR="67188FD2">
        <w:rPr>
          <w:lang w:val="cs-CZ"/>
        </w:rPr>
        <w:t>.</w:t>
      </w:r>
      <w:r w:rsidRPr="000F2C87" w:rsidR="2048A36E">
        <w:rPr>
          <w:lang w:val="cs-CZ"/>
        </w:rPr>
        <w:t xml:space="preserve"> Většinu finančních nástrojů provádí </w:t>
      </w:r>
      <w:r w:rsidR="00477B28">
        <w:rPr>
          <w:lang w:val="cs-CZ"/>
        </w:rPr>
        <w:t>Národní rozvojová banka (</w:t>
      </w:r>
      <w:r w:rsidRPr="000F2C87" w:rsidR="2048A36E">
        <w:rPr>
          <w:lang w:val="cs-CZ"/>
        </w:rPr>
        <w:t>NRB</w:t>
      </w:r>
      <w:r w:rsidR="00477B28">
        <w:rPr>
          <w:lang w:val="cs-CZ"/>
        </w:rPr>
        <w:t>)</w:t>
      </w:r>
      <w:r w:rsidRPr="000F2C87" w:rsidR="2048A36E">
        <w:rPr>
          <w:lang w:val="cs-CZ"/>
        </w:rPr>
        <w:t xml:space="preserve">, kapitálové nástroje pak </w:t>
      </w:r>
      <w:r w:rsidR="00477B28">
        <w:rPr>
          <w:lang w:val="cs-CZ"/>
        </w:rPr>
        <w:t>Národní rozvojová investiční (</w:t>
      </w:r>
      <w:r w:rsidRPr="000F2C87" w:rsidR="2048A36E">
        <w:rPr>
          <w:lang w:val="cs-CZ"/>
        </w:rPr>
        <w:t>NRI</w:t>
      </w:r>
      <w:r w:rsidR="00477B28">
        <w:rPr>
          <w:lang w:val="cs-CZ"/>
        </w:rPr>
        <w:t>)</w:t>
      </w:r>
      <w:r w:rsidRPr="000F2C87" w:rsidR="2048A36E">
        <w:rPr>
          <w:lang w:val="cs-CZ"/>
        </w:rPr>
        <w:t>, v</w:t>
      </w:r>
      <w:r w:rsidR="001A4316">
        <w:rPr>
          <w:lang w:val="cs-CZ"/>
        </w:rPr>
        <w:t> </w:t>
      </w:r>
      <w:r w:rsidRPr="000F2C87" w:rsidR="2048A36E">
        <w:rPr>
          <w:lang w:val="cs-CZ"/>
        </w:rPr>
        <w:t xml:space="preserve">oblasti životního prostředí finanční nástroje spravuje </w:t>
      </w:r>
      <w:r w:rsidR="00477B28">
        <w:rPr>
          <w:lang w:val="cs-CZ"/>
        </w:rPr>
        <w:t>Státní fond životního prostředí (</w:t>
      </w:r>
      <w:r w:rsidRPr="000F2C87" w:rsidR="2048A36E">
        <w:rPr>
          <w:lang w:val="cs-CZ"/>
        </w:rPr>
        <w:t>SFŽP</w:t>
      </w:r>
      <w:r w:rsidR="00477B28">
        <w:rPr>
          <w:lang w:val="cs-CZ"/>
        </w:rPr>
        <w:t>)</w:t>
      </w:r>
      <w:r w:rsidR="00F8456A">
        <w:rPr>
          <w:lang w:val="cs-CZ"/>
        </w:rPr>
        <w:t xml:space="preserve">, Státní fond podpory investic (SFPI) </w:t>
      </w:r>
      <w:r w:rsidR="00836415">
        <w:rPr>
          <w:lang w:val="cs-CZ"/>
        </w:rPr>
        <w:t xml:space="preserve">bude spravovat nástroje pro dostupné bydlení. </w:t>
      </w:r>
    </w:p>
    <w:p w:rsidR="001B663A" w:rsidP="001339ED" w14:paraId="46BE08F8" w14:textId="12CF4C70">
      <w:pPr>
        <w:pStyle w:val="Caption"/>
        <w:keepNext/>
        <w:jc w:val="both"/>
      </w:pPr>
      <w:r>
        <w:t xml:space="preserve">Obrázek </w:t>
      </w:r>
      <w:r w:rsidR="00172F6C">
        <w:fldChar w:fldCharType="begin"/>
      </w:r>
      <w:r w:rsidR="00172F6C">
        <w:instrText xml:space="preserve"> SEQ Obrázek \* ARABIC </w:instrText>
      </w:r>
      <w:r w:rsidR="00172F6C">
        <w:fldChar w:fldCharType="separate"/>
      </w:r>
      <w:r w:rsidR="00172F6C">
        <w:t>2</w:t>
      </w:r>
      <w:r w:rsidR="00172F6C">
        <w:rPr>
          <w:noProof/>
        </w:rPr>
        <w:fldChar w:fldCharType="end"/>
      </w:r>
      <w:r>
        <w:t xml:space="preserve">: Strukturální fondy vyčleněné do finančních nástrojů v jednotlivých členských státech a období (v mil. EUR), zdroj: </w:t>
      </w:r>
      <w:r w:rsidR="00DF517C">
        <w:t>EÚD</w:t>
      </w:r>
      <w:r>
        <w:rPr>
          <w:rStyle w:val="FootnoteReference"/>
        </w:rPr>
        <w:footnoteReference w:id="4"/>
      </w:r>
    </w:p>
    <w:p w:rsidR="00C95446" w:rsidRPr="00E679B1" w:rsidP="00E679B1" w14:paraId="4937DBF0" w14:textId="462CBA92">
      <w:pPr>
        <w:keepNext/>
        <w:spacing w:before="240" w:after="0"/>
        <w:jc w:val="center"/>
      </w:pPr>
      <w:r>
        <w:rPr>
          <w:noProof/>
        </w:rPr>
        <w:drawing>
          <wp:inline distT="0" distB="0" distL="0" distR="0">
            <wp:extent cx="3637526" cy="4054092"/>
            <wp:effectExtent l="0" t="0" r="1270" b="3810"/>
            <wp:docPr id="20113206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20691" name="Picture 201132069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t="9318"/>
                    <a:stretch>
                      <a:fillRect/>
                    </a:stretch>
                  </pic:blipFill>
                  <pic:spPr bwMode="auto">
                    <a:xfrm>
                      <a:off x="0" y="0"/>
                      <a:ext cx="3683545" cy="410538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154D" w:rsidP="005112F9" w14:paraId="5F935881" w14:textId="77777777">
      <w:pPr>
        <w:spacing w:before="240" w:after="240"/>
        <w:jc w:val="both"/>
        <w:rPr>
          <w:lang w:val="cs-CZ"/>
        </w:rPr>
      </w:pPr>
    </w:p>
    <w:p w:rsidR="008F6D73" w:rsidP="005112F9" w14:paraId="1320AAAC" w14:textId="53A44261">
      <w:pPr>
        <w:spacing w:before="240" w:after="240"/>
        <w:jc w:val="both"/>
        <w:rPr>
          <w:lang w:val="cs-CZ"/>
        </w:rPr>
      </w:pPr>
      <w:r w:rsidRPr="6D387690">
        <w:rPr>
          <w:lang w:val="cs-CZ"/>
        </w:rPr>
        <w:t>V důsledku</w:t>
      </w:r>
      <w:r w:rsidRPr="6D387690" w:rsidR="08C1F45E">
        <w:rPr>
          <w:lang w:val="cs-CZ"/>
        </w:rPr>
        <w:t xml:space="preserve"> jedn</w:t>
      </w:r>
      <w:r w:rsidRPr="6D387690">
        <w:rPr>
          <w:lang w:val="cs-CZ"/>
        </w:rPr>
        <w:t>é</w:t>
      </w:r>
      <w:r w:rsidRPr="6D387690" w:rsidR="08C1F45E">
        <w:rPr>
          <w:lang w:val="cs-CZ"/>
        </w:rPr>
        <w:t xml:space="preserve"> z vý</w:t>
      </w:r>
      <w:r w:rsidRPr="6D387690" w:rsidR="74D7C81E">
        <w:rPr>
          <w:lang w:val="cs-CZ"/>
        </w:rPr>
        <w:t xml:space="preserve">hod </w:t>
      </w:r>
      <w:r w:rsidRPr="6D387690" w:rsidR="4E286890">
        <w:rPr>
          <w:lang w:val="cs-CZ"/>
        </w:rPr>
        <w:t>finančních nástrojů</w:t>
      </w:r>
      <w:r w:rsidRPr="6D387690">
        <w:rPr>
          <w:lang w:val="cs-CZ"/>
        </w:rPr>
        <w:t>, kterou</w:t>
      </w:r>
      <w:r w:rsidRPr="202AEE27" w:rsidR="5AD29F5E">
        <w:rPr>
          <w:lang w:val="cs-CZ"/>
        </w:rPr>
        <w:t xml:space="preserve"> je návratná forma</w:t>
      </w:r>
      <w:r w:rsidRPr="035825B8" w:rsidR="0414B11F">
        <w:rPr>
          <w:lang w:val="cs-CZ"/>
        </w:rPr>
        <w:t xml:space="preserve"> podpory </w:t>
      </w:r>
      <w:r w:rsidRPr="18937971" w:rsidR="7039162E">
        <w:rPr>
          <w:lang w:val="cs-CZ"/>
        </w:rPr>
        <w:t>s</w:t>
      </w:r>
      <w:r w:rsidRPr="035825B8" w:rsidR="0414B11F">
        <w:rPr>
          <w:lang w:val="cs-CZ"/>
        </w:rPr>
        <w:t xml:space="preserve"> možností provádění obrátek</w:t>
      </w:r>
      <w:r w:rsidRPr="6D387690">
        <w:rPr>
          <w:lang w:val="cs-CZ"/>
        </w:rPr>
        <w:t>, se</w:t>
      </w:r>
      <w:r w:rsidRPr="6D387690" w:rsidR="74D7C81E">
        <w:rPr>
          <w:lang w:val="cs-CZ"/>
        </w:rPr>
        <w:t xml:space="preserve"> </w:t>
      </w:r>
      <w:r w:rsidRPr="6D387690">
        <w:rPr>
          <w:lang w:val="cs-CZ"/>
        </w:rPr>
        <w:t>tak v</w:t>
      </w:r>
      <w:r w:rsidRPr="6D387690" w:rsidR="74D7C81E">
        <w:rPr>
          <w:lang w:val="cs-CZ"/>
        </w:rPr>
        <w:t xml:space="preserve"> </w:t>
      </w:r>
      <w:r w:rsidRPr="202AEE27" w:rsidR="5AD29F5E">
        <w:rPr>
          <w:lang w:val="cs-CZ"/>
        </w:rPr>
        <w:t>období 2021</w:t>
      </w:r>
      <w:r w:rsidRPr="0A6262E8" w:rsidR="00B40439">
        <w:rPr>
          <w:b/>
          <w:bCs/>
          <w:lang w:val="cs-CZ"/>
        </w:rPr>
        <w:t>–</w:t>
      </w:r>
      <w:r w:rsidRPr="202AEE27" w:rsidR="5AD29F5E">
        <w:rPr>
          <w:lang w:val="cs-CZ"/>
        </w:rPr>
        <w:t xml:space="preserve">2027 </w:t>
      </w:r>
      <w:r w:rsidRPr="035825B8" w:rsidR="6F5A9425">
        <w:rPr>
          <w:lang w:val="cs-CZ"/>
        </w:rPr>
        <w:t xml:space="preserve">implementují </w:t>
      </w:r>
      <w:r w:rsidRPr="035825B8" w:rsidR="59174054">
        <w:rPr>
          <w:lang w:val="cs-CZ"/>
        </w:rPr>
        <w:t xml:space="preserve">i </w:t>
      </w:r>
      <w:r w:rsidRPr="035825B8" w:rsidR="17908FA3">
        <w:rPr>
          <w:lang w:val="cs-CZ"/>
        </w:rPr>
        <w:t>programy využívající</w:t>
      </w:r>
      <w:r w:rsidRPr="202AEE27" w:rsidR="5AD29F5E">
        <w:rPr>
          <w:lang w:val="cs-CZ"/>
        </w:rPr>
        <w:t xml:space="preserve"> prostředky z</w:t>
      </w:r>
      <w:r w:rsidR="005C2AB8">
        <w:rPr>
          <w:lang w:val="cs-CZ"/>
        </w:rPr>
        <w:t> </w:t>
      </w:r>
      <w:r w:rsidRPr="202AEE27" w:rsidR="5AD29F5E">
        <w:rPr>
          <w:lang w:val="cs-CZ"/>
        </w:rPr>
        <w:t xml:space="preserve">uplynulého programového </w:t>
      </w:r>
      <w:r w:rsidRPr="202AEE27" w:rsidR="3CBE3F11">
        <w:rPr>
          <w:lang w:val="cs-CZ"/>
        </w:rPr>
        <w:t>období</w:t>
      </w:r>
      <w:r w:rsidRPr="202AEE27" w:rsidR="5019CED6">
        <w:rPr>
          <w:lang w:val="cs-CZ"/>
        </w:rPr>
        <w:t xml:space="preserve"> 2014</w:t>
      </w:r>
      <w:r w:rsidRPr="0A6262E8" w:rsidR="00B40439">
        <w:rPr>
          <w:b/>
          <w:bCs/>
          <w:lang w:val="cs-CZ"/>
        </w:rPr>
        <w:t>–</w:t>
      </w:r>
      <w:r w:rsidRPr="202AEE27" w:rsidR="5019CED6">
        <w:rPr>
          <w:lang w:val="cs-CZ"/>
        </w:rPr>
        <w:t>2020</w:t>
      </w:r>
      <w:r w:rsidRPr="202AEE27" w:rsidR="3CBE3F11">
        <w:rPr>
          <w:lang w:val="cs-CZ"/>
        </w:rPr>
        <w:t>.</w:t>
      </w:r>
    </w:p>
    <w:p w:rsidR="00201AA6" w:rsidRPr="00923109" w:rsidP="00201AA6" w14:paraId="626730EB" w14:textId="3584E834">
      <w:pPr>
        <w:pStyle w:val="Caption"/>
        <w:keepNext/>
        <w:rPr>
          <w:lang w:val="cs-CZ"/>
        </w:rPr>
      </w:pPr>
      <w:bookmarkStart w:id="10" w:name="_heading=h.9rr6mhah8l6r" w:colFirst="0" w:colLast="0"/>
      <w:bookmarkStart w:id="11" w:name="_heading=h.20cwe0af9ero" w:colFirst="0" w:colLast="0"/>
      <w:bookmarkEnd w:id="10"/>
      <w:bookmarkEnd w:id="11"/>
      <w:r w:rsidRPr="00923109">
        <w:rPr>
          <w:lang w:val="cs-CZ"/>
        </w:rPr>
        <w:t xml:space="preserve">Tabulka </w:t>
      </w:r>
      <w:r w:rsidRPr="00923109">
        <w:rPr>
          <w:lang w:val="cs-CZ"/>
        </w:rPr>
        <w:fldChar w:fldCharType="begin"/>
      </w:r>
      <w:r w:rsidRPr="00923109">
        <w:rPr>
          <w:lang w:val="cs-CZ"/>
        </w:rPr>
        <w:instrText>SEQ Tabulka \* ARABIC</w:instrText>
      </w:r>
      <w:r w:rsidRPr="00923109">
        <w:rPr>
          <w:lang w:val="cs-CZ"/>
        </w:rPr>
        <w:fldChar w:fldCharType="separate"/>
      </w:r>
      <w:r w:rsidRPr="00923109">
        <w:rPr>
          <w:lang w:val="cs-CZ"/>
        </w:rPr>
        <w:t>1</w:t>
      </w:r>
      <w:r w:rsidRPr="00923109">
        <w:rPr>
          <w:lang w:val="cs-CZ"/>
        </w:rPr>
        <w:fldChar w:fldCharType="end"/>
      </w:r>
      <w:r w:rsidRPr="00923109">
        <w:rPr>
          <w:lang w:val="cs-CZ"/>
        </w:rPr>
        <w:t>: Finanční nástroje implementované v Česku v rámci provádění EU fondů 2021</w:t>
      </w:r>
      <w:r w:rsidRPr="00B40439" w:rsidR="00B40439">
        <w:rPr>
          <w:lang w:val="cs-CZ"/>
        </w:rPr>
        <w:t>–</w:t>
      </w:r>
      <w:r w:rsidRPr="00923109">
        <w:rPr>
          <w:lang w:val="cs-CZ"/>
        </w:rPr>
        <w:t>2027</w:t>
      </w:r>
      <w:r w:rsidR="00BA6ED5">
        <w:rPr>
          <w:lang w:val="cs-CZ"/>
        </w:rPr>
        <w:t>, zdroj: MMR-NOK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3"/>
        <w:gridCol w:w="1602"/>
        <w:gridCol w:w="1485"/>
        <w:gridCol w:w="2020"/>
        <w:gridCol w:w="1661"/>
        <w:gridCol w:w="1275"/>
      </w:tblGrid>
      <w:tr w14:paraId="3ABED517" w14:textId="77777777" w:rsidTr="00037BD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41"/>
          <w:tblHeader/>
        </w:trPr>
        <w:tc>
          <w:tcPr>
            <w:tcW w:w="540" w:type="pct"/>
            <w:shd w:val="clear" w:color="auto" w:fill="034EA2"/>
            <w:vAlign w:val="center"/>
            <w:hideMark/>
          </w:tcPr>
          <w:p w:rsidR="00201AA6" w:rsidRPr="00D02A1C" w:rsidP="00201AA6" w14:paraId="5ECCA266" w14:textId="77777777">
            <w:pPr>
              <w:spacing w:after="0" w:line="240" w:lineRule="auto"/>
              <w:rPr>
                <w:rFonts w:eastAsia="Times New Roman" w:asciiTheme="minorHAnsi" w:hAnsiTheme="minorHAnsi" w:cs="Times New Roman"/>
                <w:color w:val="FFFFFF"/>
                <w:lang w:val="cs-CZ"/>
              </w:rPr>
            </w:pPr>
            <w:r w:rsidRPr="00D02A1C">
              <w:rPr>
                <w:rFonts w:eastAsia="Times New Roman" w:asciiTheme="minorHAnsi" w:hAnsiTheme="minorHAnsi" w:cs="Times New Roman"/>
                <w:color w:val="FFFFFF"/>
                <w:lang w:val="cs-CZ"/>
              </w:rPr>
              <w:t>OP</w:t>
            </w:r>
          </w:p>
        </w:tc>
        <w:tc>
          <w:tcPr>
            <w:tcW w:w="888" w:type="pct"/>
            <w:shd w:val="clear" w:color="auto" w:fill="034EA2"/>
            <w:vAlign w:val="center"/>
            <w:hideMark/>
          </w:tcPr>
          <w:p w:rsidR="00201AA6" w:rsidRPr="00D02A1C" w:rsidP="00201AA6" w14:paraId="6B7F105F" w14:textId="77777777">
            <w:pPr>
              <w:spacing w:after="0" w:line="240" w:lineRule="auto"/>
              <w:rPr>
                <w:rFonts w:eastAsia="Times New Roman" w:asciiTheme="minorHAnsi" w:hAnsiTheme="minorHAnsi" w:cs="Times New Roman"/>
                <w:color w:val="FFFFFF"/>
                <w:lang w:val="cs-CZ"/>
              </w:rPr>
            </w:pPr>
            <w:r w:rsidRPr="00D02A1C">
              <w:rPr>
                <w:rFonts w:eastAsia="Times New Roman" w:asciiTheme="minorHAnsi" w:hAnsiTheme="minorHAnsi" w:cs="Times New Roman"/>
                <w:color w:val="FFFFFF"/>
                <w:lang w:val="cs-CZ"/>
              </w:rPr>
              <w:t>Stav</w:t>
            </w:r>
          </w:p>
        </w:tc>
        <w:tc>
          <w:tcPr>
            <w:tcW w:w="824" w:type="pct"/>
            <w:shd w:val="clear" w:color="auto" w:fill="034EA2"/>
            <w:vAlign w:val="center"/>
            <w:hideMark/>
          </w:tcPr>
          <w:p w:rsidR="00201AA6" w:rsidRPr="00D02A1C" w:rsidP="00201AA6" w14:paraId="04A40D3E" w14:textId="77777777">
            <w:pPr>
              <w:spacing w:after="0" w:line="240" w:lineRule="auto"/>
              <w:rPr>
                <w:rFonts w:eastAsia="Times New Roman" w:asciiTheme="minorHAnsi" w:hAnsiTheme="minorHAnsi" w:cs="Times New Roman"/>
                <w:color w:val="FFFFFF"/>
                <w:lang w:val="cs-CZ"/>
              </w:rPr>
            </w:pPr>
            <w:r w:rsidRPr="00D02A1C">
              <w:rPr>
                <w:rFonts w:eastAsia="Times New Roman" w:asciiTheme="minorHAnsi" w:hAnsiTheme="minorHAnsi" w:cs="Times New Roman"/>
                <w:color w:val="FFFFFF"/>
                <w:lang w:val="cs-CZ"/>
              </w:rPr>
              <w:t>Alokace FN</w:t>
            </w:r>
          </w:p>
        </w:tc>
        <w:tc>
          <w:tcPr>
            <w:tcW w:w="1120" w:type="pct"/>
            <w:shd w:val="clear" w:color="auto" w:fill="034EA2"/>
            <w:vAlign w:val="center"/>
            <w:hideMark/>
          </w:tcPr>
          <w:p w:rsidR="00201AA6" w:rsidRPr="00D02A1C" w:rsidP="00201AA6" w14:paraId="249CB966" w14:textId="77777777">
            <w:pPr>
              <w:spacing w:after="0" w:line="240" w:lineRule="auto"/>
              <w:rPr>
                <w:rFonts w:eastAsia="Times New Roman" w:asciiTheme="minorHAnsi" w:hAnsiTheme="minorHAnsi" w:cs="Times New Roman"/>
                <w:color w:val="FFFFFF"/>
                <w:lang w:val="cs-CZ"/>
              </w:rPr>
            </w:pPr>
            <w:r w:rsidRPr="00D02A1C">
              <w:rPr>
                <w:rFonts w:eastAsia="Times New Roman" w:asciiTheme="minorHAnsi" w:hAnsiTheme="minorHAnsi" w:cs="Times New Roman"/>
                <w:color w:val="FFFFFF"/>
                <w:lang w:val="cs-CZ"/>
              </w:rPr>
              <w:t>Oblasti podpory</w:t>
            </w:r>
          </w:p>
        </w:tc>
        <w:tc>
          <w:tcPr>
            <w:tcW w:w="921" w:type="pct"/>
            <w:shd w:val="clear" w:color="auto" w:fill="034EA2"/>
            <w:vAlign w:val="center"/>
            <w:hideMark/>
          </w:tcPr>
          <w:p w:rsidR="00201AA6" w:rsidRPr="00D02A1C" w:rsidP="00201AA6" w14:paraId="2B814889" w14:textId="77777777">
            <w:pPr>
              <w:spacing w:after="0" w:line="240" w:lineRule="auto"/>
              <w:rPr>
                <w:rFonts w:eastAsia="Times New Roman" w:asciiTheme="minorHAnsi" w:hAnsiTheme="minorHAnsi" w:cs="Times New Roman"/>
                <w:color w:val="FFFFFF"/>
                <w:lang w:val="cs-CZ"/>
              </w:rPr>
            </w:pPr>
            <w:r w:rsidRPr="00D02A1C">
              <w:rPr>
                <w:rFonts w:eastAsia="Times New Roman" w:asciiTheme="minorHAnsi" w:hAnsiTheme="minorHAnsi" w:cs="Times New Roman"/>
                <w:color w:val="FFFFFF"/>
                <w:lang w:val="cs-CZ"/>
              </w:rPr>
              <w:t>Implementační subjekt</w:t>
            </w:r>
          </w:p>
        </w:tc>
        <w:tc>
          <w:tcPr>
            <w:tcW w:w="707" w:type="pct"/>
            <w:shd w:val="clear" w:color="auto" w:fill="034EA2"/>
            <w:vAlign w:val="center"/>
            <w:hideMark/>
          </w:tcPr>
          <w:p w:rsidR="00201AA6" w:rsidRPr="00D02A1C" w:rsidP="00201AA6" w14:paraId="19C87861" w14:textId="77777777">
            <w:pPr>
              <w:spacing w:after="0" w:line="240" w:lineRule="auto"/>
              <w:rPr>
                <w:rFonts w:eastAsia="Times New Roman" w:asciiTheme="minorHAnsi" w:hAnsiTheme="minorHAnsi" w:cs="Times New Roman"/>
                <w:color w:val="FFFFFF"/>
                <w:lang w:val="cs-CZ"/>
              </w:rPr>
            </w:pPr>
            <w:r w:rsidRPr="00D02A1C">
              <w:rPr>
                <w:rFonts w:eastAsia="Times New Roman" w:asciiTheme="minorHAnsi" w:hAnsiTheme="minorHAnsi" w:cs="Times New Roman"/>
                <w:color w:val="FFFFFF"/>
                <w:lang w:val="cs-CZ"/>
              </w:rPr>
              <w:t>Model</w:t>
            </w:r>
          </w:p>
        </w:tc>
      </w:tr>
      <w:tr w14:paraId="310A7A09" w14:textId="77777777" w:rsidTr="00037BD7">
        <w:tblPrEx>
          <w:tblW w:w="5000" w:type="pct"/>
          <w:tblLook w:val="04A0"/>
        </w:tblPrEx>
        <w:trPr>
          <w:trHeight w:val="567"/>
        </w:trPr>
        <w:tc>
          <w:tcPr>
            <w:tcW w:w="540" w:type="pct"/>
            <w:vMerge w:val="restart"/>
            <w:vAlign w:val="center"/>
            <w:hideMark/>
          </w:tcPr>
          <w:p w:rsidR="008877EB" w:rsidRPr="00D02A1C" w:rsidP="00201AA6" w14:paraId="4601A181" w14:textId="648E0CAE">
            <w:pPr>
              <w:spacing w:after="0" w:line="240" w:lineRule="auto"/>
              <w:rPr>
                <w:rFonts w:eastAsia="Times New Roman" w:asciiTheme="minorHAnsi" w:hAnsiTheme="minorHAnsi" w:cs="Times New Roman"/>
                <w:color w:val="000000"/>
                <w:lang w:val="cs-CZ"/>
              </w:rPr>
            </w:pPr>
            <w:r w:rsidRPr="00D02A1C">
              <w:rPr>
                <w:rFonts w:eastAsia="Times New Roman" w:asciiTheme="minorHAnsi" w:hAnsiTheme="minorHAnsi" w:cs="Times New Roman"/>
                <w:color w:val="000000"/>
                <w:lang w:val="cs-CZ"/>
              </w:rPr>
              <w:t>OP TAK</w:t>
            </w:r>
          </w:p>
        </w:tc>
        <w:tc>
          <w:tcPr>
            <w:tcW w:w="888" w:type="pct"/>
            <w:vMerge w:val="restart"/>
            <w:vAlign w:val="center"/>
            <w:hideMark/>
          </w:tcPr>
          <w:p w:rsidR="008877EB" w:rsidRPr="00D02A1C" w:rsidP="00201AA6" w14:paraId="479DBD03" w14:textId="31A097D5">
            <w:pPr>
              <w:spacing w:after="0" w:line="240" w:lineRule="auto"/>
              <w:rPr>
                <w:rFonts w:eastAsia="Times New Roman" w:asciiTheme="minorHAnsi" w:hAnsiTheme="minorHAnsi" w:cs="Calibri"/>
                <w:color w:val="000000"/>
                <w:lang w:val="cs-CZ"/>
              </w:rPr>
            </w:pPr>
            <w:r w:rsidRPr="00D02A1C">
              <w:rPr>
                <w:rFonts w:eastAsia="Calibri" w:asciiTheme="minorHAnsi" w:hAnsiTheme="minorHAnsi" w:cs="Calibri"/>
                <w:color w:val="000000"/>
                <w:lang w:val="cs-CZ"/>
              </w:rPr>
              <w:t>Implementace</w:t>
            </w:r>
          </w:p>
        </w:tc>
        <w:tc>
          <w:tcPr>
            <w:tcW w:w="824" w:type="pct"/>
            <w:vAlign w:val="center"/>
            <w:hideMark/>
          </w:tcPr>
          <w:p w:rsidR="008877EB" w:rsidRPr="00D02A1C" w:rsidP="00785996" w14:paraId="0968EC31" w14:textId="28C4DF98">
            <w:pPr>
              <w:spacing w:after="0" w:line="240" w:lineRule="auto"/>
              <w:jc w:val="right"/>
              <w:rPr>
                <w:rFonts w:eastAsia="Times New Roman" w:asciiTheme="minorHAnsi" w:hAnsiTheme="minorHAnsi" w:cs="Calibri"/>
                <w:color w:val="000000"/>
                <w:lang w:val="cs-CZ"/>
              </w:rPr>
            </w:pPr>
            <w:r w:rsidRPr="00D02A1C">
              <w:rPr>
                <w:rFonts w:eastAsia="Calibri" w:asciiTheme="minorHAnsi" w:hAnsiTheme="minorHAnsi" w:cs="Calibri"/>
                <w:color w:val="000000"/>
                <w:lang w:val="cs-CZ"/>
              </w:rPr>
              <w:t>5,1 mld. Kč</w:t>
            </w:r>
          </w:p>
        </w:tc>
        <w:tc>
          <w:tcPr>
            <w:tcW w:w="1120" w:type="pct"/>
            <w:vAlign w:val="center"/>
            <w:hideMark/>
          </w:tcPr>
          <w:p w:rsidR="008877EB" w:rsidRPr="00D02A1C" w:rsidP="00201AA6" w14:paraId="1939CDF3"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Expanze – úvěry pro MSP</w:t>
            </w:r>
          </w:p>
        </w:tc>
        <w:tc>
          <w:tcPr>
            <w:tcW w:w="921" w:type="pct"/>
            <w:vAlign w:val="center"/>
            <w:hideMark/>
          </w:tcPr>
          <w:p w:rsidR="008877EB" w:rsidRPr="00D02A1C" w:rsidP="00201AA6" w14:paraId="599E94F4"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NRB</w:t>
            </w:r>
          </w:p>
        </w:tc>
        <w:tc>
          <w:tcPr>
            <w:tcW w:w="707" w:type="pct"/>
            <w:vAlign w:val="center"/>
            <w:hideMark/>
          </w:tcPr>
          <w:p w:rsidR="008877EB" w:rsidRPr="00D02A1C" w:rsidP="00201AA6" w14:paraId="33C53EE4"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Přímý FN</w:t>
            </w:r>
          </w:p>
        </w:tc>
      </w:tr>
      <w:tr w14:paraId="24AE08A8" w14:textId="77777777" w:rsidTr="00037BD7">
        <w:tblPrEx>
          <w:tblW w:w="5000" w:type="pct"/>
          <w:tblLook w:val="04A0"/>
        </w:tblPrEx>
        <w:trPr>
          <w:trHeight w:val="567"/>
        </w:trPr>
        <w:tc>
          <w:tcPr>
            <w:tcW w:w="540" w:type="pct"/>
            <w:vMerge/>
            <w:vAlign w:val="center"/>
            <w:hideMark/>
          </w:tcPr>
          <w:p w:rsidR="008877EB" w:rsidRPr="00D02A1C" w:rsidP="00201AA6" w14:paraId="79F87080" w14:textId="77777777">
            <w:pPr>
              <w:spacing w:after="0" w:line="240" w:lineRule="auto"/>
              <w:rPr>
                <w:rFonts w:eastAsia="Times New Roman" w:asciiTheme="minorHAnsi" w:hAnsiTheme="minorHAnsi" w:cs="Times New Roman"/>
                <w:color w:val="000000"/>
                <w:lang w:val="cs-CZ"/>
              </w:rPr>
            </w:pPr>
          </w:p>
        </w:tc>
        <w:tc>
          <w:tcPr>
            <w:tcW w:w="888" w:type="pct"/>
            <w:vMerge/>
            <w:vAlign w:val="center"/>
            <w:hideMark/>
          </w:tcPr>
          <w:p w:rsidR="008877EB" w:rsidRPr="00D02A1C" w:rsidP="00201AA6" w14:paraId="4B00D868" w14:textId="08F9C034">
            <w:pPr>
              <w:spacing w:after="0" w:line="240" w:lineRule="auto"/>
              <w:rPr>
                <w:rFonts w:eastAsia="Times New Roman" w:asciiTheme="minorHAnsi" w:hAnsiTheme="minorHAnsi" w:cs="Calibri"/>
                <w:color w:val="262626"/>
                <w:lang w:val="cs-CZ"/>
              </w:rPr>
            </w:pPr>
          </w:p>
        </w:tc>
        <w:tc>
          <w:tcPr>
            <w:tcW w:w="824" w:type="pct"/>
            <w:vAlign w:val="center"/>
            <w:hideMark/>
          </w:tcPr>
          <w:p w:rsidR="008877EB" w:rsidRPr="00D02A1C" w:rsidP="00785996" w14:paraId="7A7AFBFF" w14:textId="77777777">
            <w:pPr>
              <w:spacing w:after="0" w:line="240" w:lineRule="auto"/>
              <w:jc w:val="right"/>
              <w:rPr>
                <w:rFonts w:eastAsia="Times New Roman" w:asciiTheme="minorHAnsi" w:hAnsiTheme="minorHAnsi" w:cs="Calibri"/>
                <w:color w:val="262626"/>
                <w:lang w:val="cs-CZ"/>
              </w:rPr>
            </w:pPr>
            <w:r w:rsidRPr="00D02A1C">
              <w:rPr>
                <w:rFonts w:eastAsia="Calibri" w:asciiTheme="minorHAnsi" w:hAnsiTheme="minorHAnsi" w:cs="Calibri"/>
                <w:color w:val="262626"/>
                <w:lang w:val="cs-CZ"/>
              </w:rPr>
              <w:t>1,8 mld. Kč</w:t>
            </w:r>
          </w:p>
        </w:tc>
        <w:tc>
          <w:tcPr>
            <w:tcW w:w="1120" w:type="pct"/>
            <w:vAlign w:val="center"/>
            <w:hideMark/>
          </w:tcPr>
          <w:p w:rsidR="008877EB" w:rsidRPr="00D02A1C" w:rsidP="00201AA6" w14:paraId="5B226D41" w14:textId="77777777">
            <w:pPr>
              <w:spacing w:after="0" w:line="240" w:lineRule="auto"/>
              <w:rPr>
                <w:rFonts w:eastAsia="Times New Roman" w:asciiTheme="minorHAnsi" w:hAnsiTheme="minorHAnsi" w:cs="Calibri"/>
                <w:color w:val="262626"/>
                <w:lang w:val="cs-CZ"/>
              </w:rPr>
            </w:pPr>
            <w:r w:rsidRPr="00D02A1C">
              <w:rPr>
                <w:rFonts w:eastAsia="Calibri" w:asciiTheme="minorHAnsi" w:hAnsiTheme="minorHAnsi" w:cs="Calibri"/>
                <w:color w:val="262626"/>
                <w:lang w:val="cs-CZ"/>
              </w:rPr>
              <w:t>Úspory energie</w:t>
            </w:r>
          </w:p>
        </w:tc>
        <w:tc>
          <w:tcPr>
            <w:tcW w:w="921" w:type="pct"/>
            <w:vAlign w:val="center"/>
            <w:hideMark/>
          </w:tcPr>
          <w:p w:rsidR="008877EB" w:rsidRPr="00D02A1C" w:rsidP="00201AA6" w14:paraId="52C64E20" w14:textId="77777777">
            <w:pPr>
              <w:spacing w:after="0" w:line="240" w:lineRule="auto"/>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NRB</w:t>
            </w:r>
          </w:p>
        </w:tc>
        <w:tc>
          <w:tcPr>
            <w:tcW w:w="707" w:type="pct"/>
            <w:vAlign w:val="center"/>
            <w:hideMark/>
          </w:tcPr>
          <w:p w:rsidR="008877EB" w:rsidRPr="00D02A1C" w:rsidP="00201AA6" w14:paraId="1CAFF09A" w14:textId="77777777">
            <w:pPr>
              <w:spacing w:after="0" w:line="240" w:lineRule="auto"/>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Přímý FN</w:t>
            </w:r>
          </w:p>
        </w:tc>
      </w:tr>
      <w:tr w14:paraId="6BEB9378" w14:textId="77777777" w:rsidTr="00037BD7">
        <w:tblPrEx>
          <w:tblW w:w="5000" w:type="pct"/>
          <w:tblLook w:val="04A0"/>
        </w:tblPrEx>
        <w:trPr>
          <w:trHeight w:val="567"/>
        </w:trPr>
        <w:tc>
          <w:tcPr>
            <w:tcW w:w="540" w:type="pct"/>
            <w:vMerge/>
            <w:vAlign w:val="center"/>
            <w:hideMark/>
          </w:tcPr>
          <w:p w:rsidR="008877EB" w:rsidRPr="00D02A1C" w:rsidP="00201AA6" w14:paraId="438EDE29" w14:textId="77777777">
            <w:pPr>
              <w:spacing w:after="0" w:line="240" w:lineRule="auto"/>
              <w:rPr>
                <w:rFonts w:eastAsia="Times New Roman" w:asciiTheme="minorHAnsi" w:hAnsiTheme="minorHAnsi" w:cs="Times New Roman"/>
                <w:color w:val="000000"/>
                <w:lang w:val="cs-CZ"/>
              </w:rPr>
            </w:pPr>
          </w:p>
        </w:tc>
        <w:tc>
          <w:tcPr>
            <w:tcW w:w="888" w:type="pct"/>
            <w:vMerge/>
            <w:vAlign w:val="center"/>
            <w:hideMark/>
          </w:tcPr>
          <w:p w:rsidR="008877EB" w:rsidRPr="00D02A1C" w:rsidP="00201AA6" w14:paraId="5AEDAF86" w14:textId="73DF0453">
            <w:pPr>
              <w:spacing w:after="0" w:line="240" w:lineRule="auto"/>
              <w:rPr>
                <w:rFonts w:eastAsia="Times New Roman" w:asciiTheme="minorHAnsi" w:hAnsiTheme="minorHAnsi" w:cs="Calibri"/>
                <w:color w:val="262626"/>
                <w:lang w:val="cs-CZ"/>
              </w:rPr>
            </w:pPr>
          </w:p>
        </w:tc>
        <w:tc>
          <w:tcPr>
            <w:tcW w:w="824" w:type="pct"/>
            <w:vAlign w:val="center"/>
            <w:hideMark/>
          </w:tcPr>
          <w:p w:rsidR="008877EB" w:rsidRPr="00D02A1C" w:rsidP="00785996" w14:paraId="6B737F58" w14:textId="7EB89FBE">
            <w:pPr>
              <w:spacing w:after="0" w:line="240" w:lineRule="auto"/>
              <w:jc w:val="right"/>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3 mld. Kč</w:t>
            </w:r>
          </w:p>
        </w:tc>
        <w:tc>
          <w:tcPr>
            <w:tcW w:w="1120" w:type="pct"/>
            <w:vAlign w:val="center"/>
            <w:hideMark/>
          </w:tcPr>
          <w:p w:rsidR="008877EB" w:rsidRPr="00D02A1C" w:rsidP="00201AA6" w14:paraId="48E940BD" w14:textId="727DD49B">
            <w:pPr>
              <w:spacing w:after="0" w:line="240" w:lineRule="auto"/>
              <w:rPr>
                <w:rFonts w:eastAsia="Times New Roman" w:asciiTheme="minorHAnsi" w:hAnsiTheme="minorHAnsi" w:cs="Calibri"/>
                <w:color w:val="262626"/>
                <w:lang w:val="cs-CZ"/>
              </w:rPr>
            </w:pPr>
            <w:r w:rsidRPr="00D02A1C">
              <w:rPr>
                <w:rFonts w:asciiTheme="minorHAnsi" w:hAnsiTheme="minorHAnsi"/>
                <w:lang w:val="cs-CZ"/>
              </w:rPr>
              <w:t>Fotovoltaické systémy</w:t>
            </w:r>
          </w:p>
        </w:tc>
        <w:tc>
          <w:tcPr>
            <w:tcW w:w="921" w:type="pct"/>
            <w:vAlign w:val="center"/>
            <w:hideMark/>
          </w:tcPr>
          <w:p w:rsidR="008877EB" w:rsidRPr="00D02A1C" w:rsidP="00201AA6" w14:paraId="3765708C" w14:textId="0E9C4A83">
            <w:pPr>
              <w:spacing w:after="0" w:line="240" w:lineRule="auto"/>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NRB</w:t>
            </w:r>
          </w:p>
        </w:tc>
        <w:tc>
          <w:tcPr>
            <w:tcW w:w="707" w:type="pct"/>
            <w:vAlign w:val="center"/>
            <w:hideMark/>
          </w:tcPr>
          <w:p w:rsidR="008877EB" w:rsidRPr="00D02A1C" w:rsidP="00201AA6" w14:paraId="499B7530" w14:textId="7C3B8938">
            <w:pPr>
              <w:spacing w:after="0" w:line="240" w:lineRule="auto"/>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Přímý FN</w:t>
            </w:r>
          </w:p>
        </w:tc>
      </w:tr>
      <w:tr w14:paraId="1DB9F6AA" w14:textId="77777777" w:rsidTr="00037BD7">
        <w:tblPrEx>
          <w:tblW w:w="5000" w:type="pct"/>
          <w:tblLook w:val="04A0"/>
        </w:tblPrEx>
        <w:trPr>
          <w:trHeight w:val="327"/>
        </w:trPr>
        <w:tc>
          <w:tcPr>
            <w:tcW w:w="540" w:type="pct"/>
            <w:vMerge/>
            <w:vAlign w:val="center"/>
            <w:hideMark/>
          </w:tcPr>
          <w:p w:rsidR="008877EB" w:rsidRPr="00D02A1C" w:rsidP="00201AA6" w14:paraId="4785450D" w14:textId="77777777">
            <w:pPr>
              <w:spacing w:after="0" w:line="240" w:lineRule="auto"/>
              <w:rPr>
                <w:rFonts w:eastAsia="Times New Roman" w:asciiTheme="minorHAnsi" w:hAnsiTheme="minorHAnsi" w:cs="Times New Roman"/>
                <w:color w:val="000000"/>
                <w:lang w:val="cs-CZ"/>
              </w:rPr>
            </w:pPr>
          </w:p>
        </w:tc>
        <w:tc>
          <w:tcPr>
            <w:tcW w:w="888" w:type="pct"/>
            <w:vMerge/>
            <w:vAlign w:val="center"/>
            <w:hideMark/>
          </w:tcPr>
          <w:p w:rsidR="008877EB" w:rsidRPr="00D02A1C" w:rsidP="00201AA6" w14:paraId="5EB6D146" w14:textId="30AFAACF">
            <w:pPr>
              <w:spacing w:after="0" w:line="240" w:lineRule="auto"/>
              <w:rPr>
                <w:rFonts w:eastAsia="Times New Roman" w:asciiTheme="minorHAnsi" w:hAnsiTheme="minorHAnsi" w:cs="Calibri"/>
                <w:color w:val="262626"/>
                <w:lang w:val="cs-CZ"/>
              </w:rPr>
            </w:pPr>
          </w:p>
        </w:tc>
        <w:tc>
          <w:tcPr>
            <w:tcW w:w="824" w:type="pct"/>
            <w:vAlign w:val="center"/>
            <w:hideMark/>
          </w:tcPr>
          <w:p w:rsidR="008877EB" w:rsidRPr="00D02A1C" w:rsidP="00785996" w14:paraId="26874432" w14:textId="262CEE90">
            <w:pPr>
              <w:spacing w:after="0" w:line="240" w:lineRule="auto"/>
              <w:jc w:val="right"/>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125 mil. Kč</w:t>
            </w:r>
          </w:p>
        </w:tc>
        <w:tc>
          <w:tcPr>
            <w:tcW w:w="1120" w:type="pct"/>
            <w:vAlign w:val="center"/>
            <w:hideMark/>
          </w:tcPr>
          <w:p w:rsidR="008877EB" w:rsidRPr="00D02A1C" w:rsidP="00201AA6" w14:paraId="2E4FFCDE" w14:textId="77777777">
            <w:pPr>
              <w:spacing w:after="0" w:line="240" w:lineRule="auto"/>
              <w:rPr>
                <w:rFonts w:eastAsia="Times New Roman" w:asciiTheme="minorHAnsi" w:hAnsiTheme="minorHAnsi" w:cs="Calibri"/>
                <w:color w:val="262626"/>
                <w:lang w:val="cs-CZ"/>
              </w:rPr>
            </w:pPr>
            <w:r w:rsidRPr="00D02A1C">
              <w:rPr>
                <w:rFonts w:eastAsia="Calibri" w:asciiTheme="minorHAnsi" w:hAnsiTheme="minorHAnsi" w:cs="Calibri"/>
                <w:color w:val="262626"/>
                <w:lang w:val="cs-CZ"/>
              </w:rPr>
              <w:t>Brownfield fond (pokračování z OP PIK)</w:t>
            </w:r>
          </w:p>
        </w:tc>
        <w:tc>
          <w:tcPr>
            <w:tcW w:w="921" w:type="pct"/>
            <w:vAlign w:val="center"/>
            <w:hideMark/>
          </w:tcPr>
          <w:p w:rsidR="008877EB" w:rsidRPr="00D02A1C" w:rsidP="00201AA6" w14:paraId="4DA4AE29" w14:textId="77777777">
            <w:pPr>
              <w:spacing w:after="0" w:line="240" w:lineRule="auto"/>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NRI</w:t>
            </w:r>
          </w:p>
        </w:tc>
        <w:tc>
          <w:tcPr>
            <w:tcW w:w="707" w:type="pct"/>
            <w:vAlign w:val="center"/>
            <w:hideMark/>
          </w:tcPr>
          <w:p w:rsidR="008877EB" w:rsidRPr="00D02A1C" w:rsidP="00201AA6" w14:paraId="41BA28BF" w14:textId="77777777">
            <w:pPr>
              <w:spacing w:after="0" w:line="240" w:lineRule="auto"/>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Holdingový fond</w:t>
            </w:r>
          </w:p>
        </w:tc>
      </w:tr>
      <w:tr w14:paraId="34751D42" w14:textId="77777777" w:rsidTr="00037BD7">
        <w:tblPrEx>
          <w:tblW w:w="5000" w:type="pct"/>
          <w:tblLook w:val="04A0"/>
        </w:tblPrEx>
        <w:trPr>
          <w:trHeight w:val="567"/>
        </w:trPr>
        <w:tc>
          <w:tcPr>
            <w:tcW w:w="540" w:type="pct"/>
            <w:vMerge/>
            <w:vAlign w:val="center"/>
            <w:hideMark/>
          </w:tcPr>
          <w:p w:rsidR="00201AA6" w:rsidRPr="00D02A1C" w:rsidP="00201AA6" w14:paraId="023891FB" w14:textId="77777777">
            <w:pPr>
              <w:spacing w:after="0" w:line="240" w:lineRule="auto"/>
              <w:rPr>
                <w:rFonts w:eastAsia="Times New Roman" w:asciiTheme="minorHAnsi" w:hAnsiTheme="minorHAnsi" w:cs="Times New Roman"/>
                <w:color w:val="000000"/>
                <w:lang w:val="cs-CZ"/>
              </w:rPr>
            </w:pPr>
          </w:p>
        </w:tc>
        <w:tc>
          <w:tcPr>
            <w:tcW w:w="888" w:type="pct"/>
            <w:vAlign w:val="center"/>
            <w:hideMark/>
          </w:tcPr>
          <w:p w:rsidR="00201AA6" w:rsidRPr="00D02A1C" w:rsidP="00201AA6" w14:paraId="4F4502D4" w14:textId="77777777">
            <w:pPr>
              <w:spacing w:after="0" w:line="240" w:lineRule="auto"/>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Příprava</w:t>
            </w:r>
          </w:p>
        </w:tc>
        <w:tc>
          <w:tcPr>
            <w:tcW w:w="824" w:type="pct"/>
            <w:vAlign w:val="center"/>
            <w:hideMark/>
          </w:tcPr>
          <w:p w:rsidR="00201AA6" w:rsidRPr="00D02A1C" w:rsidP="00785996" w14:paraId="258A6526" w14:textId="77777777">
            <w:pPr>
              <w:spacing w:after="0" w:line="240" w:lineRule="auto"/>
              <w:jc w:val="right"/>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1 mld. Kč</w:t>
            </w:r>
          </w:p>
        </w:tc>
        <w:tc>
          <w:tcPr>
            <w:tcW w:w="1120" w:type="pct"/>
            <w:vAlign w:val="center"/>
            <w:hideMark/>
          </w:tcPr>
          <w:p w:rsidR="00201AA6" w:rsidRPr="00D02A1C" w:rsidP="00201AA6" w14:paraId="49571D06" w14:textId="77777777">
            <w:pPr>
              <w:spacing w:after="0" w:line="240" w:lineRule="auto"/>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Digitalizace podnikání</w:t>
            </w:r>
          </w:p>
        </w:tc>
        <w:tc>
          <w:tcPr>
            <w:tcW w:w="921" w:type="pct"/>
            <w:vAlign w:val="center"/>
            <w:hideMark/>
          </w:tcPr>
          <w:p w:rsidR="00201AA6" w:rsidRPr="00D02A1C" w:rsidP="00201AA6" w14:paraId="2E014E31" w14:textId="77777777">
            <w:pPr>
              <w:spacing w:after="0" w:line="240" w:lineRule="auto"/>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EBRD</w:t>
            </w:r>
          </w:p>
        </w:tc>
        <w:tc>
          <w:tcPr>
            <w:tcW w:w="707" w:type="pct"/>
            <w:vAlign w:val="center"/>
            <w:hideMark/>
          </w:tcPr>
          <w:p w:rsidR="00201AA6" w:rsidRPr="00D02A1C" w:rsidP="00201AA6" w14:paraId="03216D92" w14:textId="77777777">
            <w:pPr>
              <w:spacing w:after="0" w:line="240" w:lineRule="auto"/>
              <w:rPr>
                <w:rFonts w:eastAsia="Times New Roman" w:asciiTheme="minorHAnsi" w:hAnsiTheme="minorHAnsi" w:cs="Calibri"/>
                <w:color w:val="262626"/>
                <w:lang w:val="cs-CZ"/>
              </w:rPr>
            </w:pPr>
            <w:r w:rsidRPr="00D02A1C">
              <w:rPr>
                <w:rFonts w:eastAsia="Times New Roman" w:asciiTheme="minorHAnsi" w:hAnsiTheme="minorHAnsi" w:cs="Calibri"/>
                <w:color w:val="262626"/>
                <w:lang w:val="cs-CZ"/>
              </w:rPr>
              <w:t>Holdingový fond</w:t>
            </w:r>
          </w:p>
        </w:tc>
      </w:tr>
      <w:tr w14:paraId="68F14D32" w14:textId="77777777" w:rsidTr="00037BD7">
        <w:tblPrEx>
          <w:tblW w:w="5000" w:type="pct"/>
          <w:tblLook w:val="04A0"/>
        </w:tblPrEx>
        <w:trPr>
          <w:trHeight w:val="567"/>
        </w:trPr>
        <w:tc>
          <w:tcPr>
            <w:tcW w:w="540" w:type="pct"/>
            <w:vAlign w:val="center"/>
            <w:hideMark/>
          </w:tcPr>
          <w:p w:rsidR="00201AA6" w:rsidRPr="00D02A1C" w:rsidP="00201AA6" w14:paraId="0BF02EB2" w14:textId="77777777">
            <w:pPr>
              <w:spacing w:after="0" w:line="240" w:lineRule="auto"/>
              <w:rPr>
                <w:rFonts w:eastAsia="Times New Roman" w:asciiTheme="minorHAnsi" w:hAnsiTheme="minorHAnsi" w:cs="Calibri"/>
                <w:color w:val="000000"/>
                <w:lang w:val="cs-CZ"/>
              </w:rPr>
            </w:pPr>
            <w:r w:rsidRPr="00D02A1C">
              <w:rPr>
                <w:rFonts w:eastAsia="Calibri" w:asciiTheme="minorHAnsi" w:hAnsiTheme="minorHAnsi" w:cs="Calibri"/>
                <w:color w:val="000000"/>
                <w:lang w:val="cs-CZ"/>
              </w:rPr>
              <w:t>OP Z+</w:t>
            </w:r>
          </w:p>
        </w:tc>
        <w:tc>
          <w:tcPr>
            <w:tcW w:w="888" w:type="pct"/>
            <w:vAlign w:val="center"/>
            <w:hideMark/>
          </w:tcPr>
          <w:p w:rsidR="00201AA6" w:rsidRPr="00D02A1C" w:rsidP="00201AA6" w14:paraId="183C123F"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Implementace</w:t>
            </w:r>
          </w:p>
        </w:tc>
        <w:tc>
          <w:tcPr>
            <w:tcW w:w="824" w:type="pct"/>
            <w:vAlign w:val="center"/>
            <w:hideMark/>
          </w:tcPr>
          <w:p w:rsidR="00201AA6" w:rsidRPr="00D02A1C" w:rsidP="00785996" w14:paraId="5394BB79" w14:textId="24C8DADD">
            <w:pPr>
              <w:spacing w:after="0" w:line="240" w:lineRule="auto"/>
              <w:jc w:val="right"/>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2</w:t>
            </w:r>
            <w:r w:rsidRPr="00D02A1C">
              <w:rPr>
                <w:rFonts w:eastAsia="Times New Roman" w:asciiTheme="minorHAnsi" w:hAnsiTheme="minorHAnsi" w:cs="Calibri"/>
                <w:color w:val="000000"/>
                <w:lang w:val="cs-CZ"/>
              </w:rPr>
              <w:t>70 mil. Kč</w:t>
            </w:r>
          </w:p>
        </w:tc>
        <w:tc>
          <w:tcPr>
            <w:tcW w:w="1120" w:type="pct"/>
            <w:vAlign w:val="center"/>
            <w:hideMark/>
          </w:tcPr>
          <w:p w:rsidR="00201AA6" w:rsidRPr="00D02A1C" w:rsidP="00201AA6" w14:paraId="0BE900D4"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S-podnik plus</w:t>
            </w:r>
          </w:p>
        </w:tc>
        <w:tc>
          <w:tcPr>
            <w:tcW w:w="921" w:type="pct"/>
            <w:vAlign w:val="center"/>
            <w:hideMark/>
          </w:tcPr>
          <w:p w:rsidR="00201AA6" w:rsidRPr="00D02A1C" w:rsidP="00201AA6" w14:paraId="04D17FC3"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NRB</w:t>
            </w:r>
          </w:p>
        </w:tc>
        <w:tc>
          <w:tcPr>
            <w:tcW w:w="707" w:type="pct"/>
            <w:vAlign w:val="center"/>
            <w:hideMark/>
          </w:tcPr>
          <w:p w:rsidR="00201AA6" w:rsidRPr="00D02A1C" w:rsidP="00201AA6" w14:paraId="741F1EE6"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Přímý FN</w:t>
            </w:r>
          </w:p>
        </w:tc>
      </w:tr>
      <w:tr w14:paraId="1199504B" w14:textId="77777777" w:rsidTr="00037BD7">
        <w:tblPrEx>
          <w:tblW w:w="5000" w:type="pct"/>
          <w:tblLook w:val="04A0"/>
        </w:tblPrEx>
        <w:trPr>
          <w:trHeight w:val="567"/>
        </w:trPr>
        <w:tc>
          <w:tcPr>
            <w:tcW w:w="540" w:type="pct"/>
            <w:vMerge w:val="restart"/>
            <w:vAlign w:val="center"/>
            <w:hideMark/>
          </w:tcPr>
          <w:p w:rsidR="00E52427" w:rsidRPr="00D02A1C" w:rsidP="00201AA6" w14:paraId="0C2B69E2" w14:textId="77777777">
            <w:pPr>
              <w:spacing w:after="0" w:line="240" w:lineRule="auto"/>
              <w:rPr>
                <w:rFonts w:eastAsia="Times New Roman" w:asciiTheme="minorHAnsi" w:hAnsiTheme="minorHAnsi" w:cs="Calibri"/>
                <w:color w:val="000000"/>
                <w:lang w:val="cs-CZ"/>
              </w:rPr>
            </w:pPr>
            <w:r w:rsidRPr="00D02A1C">
              <w:rPr>
                <w:rFonts w:eastAsia="Calibri" w:asciiTheme="minorHAnsi" w:hAnsiTheme="minorHAnsi" w:cs="Calibri"/>
                <w:color w:val="000000"/>
                <w:lang w:val="cs-CZ"/>
              </w:rPr>
              <w:t>OP ST</w:t>
            </w:r>
          </w:p>
        </w:tc>
        <w:tc>
          <w:tcPr>
            <w:tcW w:w="888" w:type="pct"/>
            <w:vMerge w:val="restart"/>
            <w:vAlign w:val="center"/>
            <w:hideMark/>
          </w:tcPr>
          <w:p w:rsidR="00E52427" w:rsidRPr="00D02A1C" w:rsidP="008D0BD6" w14:paraId="64D376E3"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Implementace</w:t>
            </w:r>
          </w:p>
          <w:p w:rsidR="00E52427" w:rsidRPr="00D02A1C" w:rsidP="00201AA6" w14:paraId="7889BA19" w14:textId="596F8088">
            <w:pPr>
              <w:spacing w:after="0" w:line="240" w:lineRule="auto"/>
              <w:rPr>
                <w:rFonts w:eastAsia="Times New Roman" w:asciiTheme="minorHAnsi" w:hAnsiTheme="minorHAnsi" w:cs="Calibri"/>
                <w:color w:val="000000"/>
                <w:lang w:val="cs-CZ"/>
              </w:rPr>
            </w:pPr>
          </w:p>
        </w:tc>
        <w:tc>
          <w:tcPr>
            <w:tcW w:w="824" w:type="pct"/>
            <w:vAlign w:val="center"/>
            <w:hideMark/>
          </w:tcPr>
          <w:p w:rsidR="00E52427" w:rsidRPr="00D02A1C" w:rsidP="00785996" w14:paraId="56B5375C" w14:textId="48810DE0">
            <w:pPr>
              <w:spacing w:after="0" w:line="240" w:lineRule="auto"/>
              <w:jc w:val="right"/>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3,3 mld. Kč</w:t>
            </w:r>
          </w:p>
        </w:tc>
        <w:tc>
          <w:tcPr>
            <w:tcW w:w="1120" w:type="pct"/>
            <w:vAlign w:val="center"/>
            <w:hideMark/>
          </w:tcPr>
          <w:p w:rsidR="00E52427" w:rsidRPr="00D02A1C" w:rsidP="00201AA6" w14:paraId="01199C04"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Úvěr Transformace</w:t>
            </w:r>
          </w:p>
        </w:tc>
        <w:tc>
          <w:tcPr>
            <w:tcW w:w="921" w:type="pct"/>
            <w:vAlign w:val="center"/>
            <w:hideMark/>
          </w:tcPr>
          <w:p w:rsidR="00E52427" w:rsidRPr="00D02A1C" w:rsidP="00201AA6" w14:paraId="4E8305E4"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NRB</w:t>
            </w:r>
          </w:p>
        </w:tc>
        <w:tc>
          <w:tcPr>
            <w:tcW w:w="707" w:type="pct"/>
            <w:vAlign w:val="center"/>
            <w:hideMark/>
          </w:tcPr>
          <w:p w:rsidR="00E52427" w:rsidRPr="00D02A1C" w:rsidP="00201AA6" w14:paraId="1385DDC3"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Přímý FN</w:t>
            </w:r>
          </w:p>
        </w:tc>
      </w:tr>
      <w:tr w14:paraId="4280B85E" w14:textId="77777777" w:rsidTr="00037BD7">
        <w:tblPrEx>
          <w:tblW w:w="5000" w:type="pct"/>
          <w:tblLook w:val="04A0"/>
        </w:tblPrEx>
        <w:trPr>
          <w:trHeight w:val="567"/>
        </w:trPr>
        <w:tc>
          <w:tcPr>
            <w:tcW w:w="540" w:type="pct"/>
            <w:vMerge/>
            <w:vAlign w:val="center"/>
            <w:hideMark/>
          </w:tcPr>
          <w:p w:rsidR="00E52427" w:rsidRPr="00D02A1C" w:rsidP="00201AA6" w14:paraId="41AA078A" w14:textId="77777777">
            <w:pPr>
              <w:spacing w:after="0" w:line="240" w:lineRule="auto"/>
              <w:rPr>
                <w:rFonts w:eastAsia="Times New Roman" w:asciiTheme="minorHAnsi" w:hAnsiTheme="minorHAnsi" w:cs="Calibri"/>
                <w:color w:val="000000"/>
                <w:lang w:val="cs-CZ"/>
              </w:rPr>
            </w:pPr>
          </w:p>
        </w:tc>
        <w:tc>
          <w:tcPr>
            <w:tcW w:w="888" w:type="pct"/>
            <w:vMerge/>
            <w:vAlign w:val="center"/>
            <w:hideMark/>
          </w:tcPr>
          <w:p w:rsidR="00E52427" w:rsidRPr="00D02A1C" w:rsidP="00201AA6" w14:paraId="32F01F1D" w14:textId="314D902C">
            <w:pPr>
              <w:spacing w:after="0" w:line="240" w:lineRule="auto"/>
              <w:rPr>
                <w:rFonts w:eastAsia="Times New Roman" w:asciiTheme="minorHAnsi" w:hAnsiTheme="minorHAnsi" w:cs="Calibri"/>
                <w:color w:val="000000"/>
                <w:lang w:val="cs-CZ"/>
              </w:rPr>
            </w:pPr>
          </w:p>
        </w:tc>
        <w:tc>
          <w:tcPr>
            <w:tcW w:w="824" w:type="pct"/>
            <w:vAlign w:val="center"/>
            <w:hideMark/>
          </w:tcPr>
          <w:p w:rsidR="00E52427" w:rsidRPr="00D02A1C" w:rsidP="00785996" w14:paraId="40E6572E" w14:textId="77777777">
            <w:pPr>
              <w:spacing w:after="0" w:line="240" w:lineRule="auto"/>
              <w:jc w:val="right"/>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1 mld. Kč</w:t>
            </w:r>
          </w:p>
        </w:tc>
        <w:tc>
          <w:tcPr>
            <w:tcW w:w="1120" w:type="pct"/>
            <w:vAlign w:val="center"/>
            <w:hideMark/>
          </w:tcPr>
          <w:p w:rsidR="00E52427" w:rsidRPr="00D02A1C" w:rsidP="00201AA6" w14:paraId="5FAB49AA" w14:textId="19FE300E">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 xml:space="preserve">Regenerace </w:t>
            </w:r>
            <w:r w:rsidRPr="00D02A1C">
              <w:rPr>
                <w:rFonts w:eastAsia="Times New Roman" w:asciiTheme="minorHAnsi" w:hAnsiTheme="minorHAnsi" w:cs="Calibri"/>
                <w:color w:val="000000"/>
                <w:lang w:val="cs-CZ"/>
              </w:rPr>
              <w:t>brownfields</w:t>
            </w:r>
            <w:r w:rsidRPr="00D02A1C">
              <w:rPr>
                <w:rFonts w:eastAsia="Times New Roman" w:asciiTheme="minorHAnsi" w:hAnsiTheme="minorHAnsi" w:cs="Calibri"/>
                <w:color w:val="000000"/>
                <w:lang w:val="cs-CZ"/>
              </w:rPr>
              <w:t xml:space="preserve"> MSK</w:t>
            </w:r>
          </w:p>
        </w:tc>
        <w:tc>
          <w:tcPr>
            <w:tcW w:w="921" w:type="pct"/>
            <w:vAlign w:val="center"/>
            <w:hideMark/>
          </w:tcPr>
          <w:p w:rsidR="00E52427" w:rsidRPr="00D02A1C" w:rsidP="00201AA6" w14:paraId="4935E350"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NRI</w:t>
            </w:r>
          </w:p>
        </w:tc>
        <w:tc>
          <w:tcPr>
            <w:tcW w:w="707" w:type="pct"/>
            <w:vAlign w:val="center"/>
            <w:hideMark/>
          </w:tcPr>
          <w:p w:rsidR="00E52427" w:rsidRPr="00D02A1C" w:rsidP="00201AA6" w14:paraId="335E44C3"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Holdingový fond</w:t>
            </w:r>
          </w:p>
        </w:tc>
      </w:tr>
      <w:tr w14:paraId="436A7792" w14:textId="77777777" w:rsidTr="00037BD7">
        <w:tblPrEx>
          <w:tblW w:w="5000" w:type="pct"/>
          <w:tblLook w:val="04A0"/>
        </w:tblPrEx>
        <w:trPr>
          <w:trHeight w:val="567"/>
        </w:trPr>
        <w:tc>
          <w:tcPr>
            <w:tcW w:w="540" w:type="pct"/>
            <w:vMerge/>
            <w:vAlign w:val="center"/>
            <w:hideMark/>
          </w:tcPr>
          <w:p w:rsidR="00E52427" w:rsidRPr="00D02A1C" w:rsidP="00201AA6" w14:paraId="5F2DCB95" w14:textId="77777777">
            <w:pPr>
              <w:spacing w:after="0" w:line="240" w:lineRule="auto"/>
              <w:rPr>
                <w:rFonts w:eastAsia="Times New Roman" w:asciiTheme="minorHAnsi" w:hAnsiTheme="minorHAnsi" w:cs="Calibri"/>
                <w:color w:val="000000"/>
                <w:lang w:val="cs-CZ"/>
              </w:rPr>
            </w:pPr>
          </w:p>
        </w:tc>
        <w:tc>
          <w:tcPr>
            <w:tcW w:w="888" w:type="pct"/>
            <w:vMerge/>
            <w:vAlign w:val="center"/>
            <w:hideMark/>
          </w:tcPr>
          <w:p w:rsidR="00E52427" w:rsidRPr="00D02A1C" w:rsidP="00201AA6" w14:paraId="7AE8005F" w14:textId="630E0FE5">
            <w:pPr>
              <w:spacing w:after="0" w:line="240" w:lineRule="auto"/>
              <w:rPr>
                <w:rFonts w:eastAsia="Times New Roman" w:asciiTheme="minorHAnsi" w:hAnsiTheme="minorHAnsi" w:cs="Calibri"/>
                <w:color w:val="000000"/>
                <w:lang w:val="cs-CZ"/>
              </w:rPr>
            </w:pPr>
          </w:p>
        </w:tc>
        <w:tc>
          <w:tcPr>
            <w:tcW w:w="824" w:type="pct"/>
            <w:vAlign w:val="center"/>
            <w:hideMark/>
          </w:tcPr>
          <w:p w:rsidR="00E52427" w:rsidRPr="00D02A1C" w:rsidP="00785996" w14:paraId="31633645" w14:textId="77777777">
            <w:pPr>
              <w:spacing w:after="0" w:line="240" w:lineRule="auto"/>
              <w:jc w:val="right"/>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0,5 mld. Kč</w:t>
            </w:r>
          </w:p>
        </w:tc>
        <w:tc>
          <w:tcPr>
            <w:tcW w:w="1120" w:type="pct"/>
            <w:vAlign w:val="center"/>
            <w:hideMark/>
          </w:tcPr>
          <w:p w:rsidR="00E52427" w:rsidRPr="00D02A1C" w:rsidP="00201AA6" w14:paraId="4625D559"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Záruka Transformace</w:t>
            </w:r>
          </w:p>
        </w:tc>
        <w:tc>
          <w:tcPr>
            <w:tcW w:w="921" w:type="pct"/>
            <w:vAlign w:val="center"/>
            <w:hideMark/>
          </w:tcPr>
          <w:p w:rsidR="00E52427" w:rsidRPr="00D02A1C" w:rsidP="00201AA6" w14:paraId="3476A0D5"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NRB</w:t>
            </w:r>
          </w:p>
        </w:tc>
        <w:tc>
          <w:tcPr>
            <w:tcW w:w="707" w:type="pct"/>
            <w:vAlign w:val="center"/>
            <w:hideMark/>
          </w:tcPr>
          <w:p w:rsidR="00E52427" w:rsidRPr="00D02A1C" w:rsidP="00201AA6" w14:paraId="4604DBA1"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Přímý FN</w:t>
            </w:r>
          </w:p>
        </w:tc>
      </w:tr>
      <w:tr w14:paraId="541E009D" w14:textId="77777777" w:rsidTr="00037BD7">
        <w:tblPrEx>
          <w:tblW w:w="5000" w:type="pct"/>
          <w:tblLook w:val="04A0"/>
        </w:tblPrEx>
        <w:trPr>
          <w:trHeight w:val="357"/>
        </w:trPr>
        <w:tc>
          <w:tcPr>
            <w:tcW w:w="540" w:type="pct"/>
            <w:vMerge/>
            <w:vAlign w:val="center"/>
            <w:hideMark/>
          </w:tcPr>
          <w:p w:rsidR="00E52427" w:rsidRPr="00D02A1C" w:rsidP="00201AA6" w14:paraId="6679EBD6" w14:textId="77777777">
            <w:pPr>
              <w:spacing w:after="0" w:line="240" w:lineRule="auto"/>
              <w:rPr>
                <w:rFonts w:eastAsia="Times New Roman" w:asciiTheme="minorHAnsi" w:hAnsiTheme="minorHAnsi" w:cs="Calibri"/>
                <w:color w:val="000000"/>
                <w:lang w:val="cs-CZ"/>
              </w:rPr>
            </w:pPr>
          </w:p>
        </w:tc>
        <w:tc>
          <w:tcPr>
            <w:tcW w:w="888" w:type="pct"/>
            <w:vMerge/>
            <w:vAlign w:val="center"/>
            <w:hideMark/>
          </w:tcPr>
          <w:p w:rsidR="00E52427" w:rsidRPr="00D02A1C" w:rsidP="00201AA6" w14:paraId="6E595BBD" w14:textId="5037FEC0">
            <w:pPr>
              <w:spacing w:after="0" w:line="240" w:lineRule="auto"/>
              <w:rPr>
                <w:rFonts w:eastAsia="Times New Roman" w:asciiTheme="minorHAnsi" w:hAnsiTheme="minorHAnsi" w:cs="Calibri"/>
                <w:color w:val="000000"/>
                <w:lang w:val="cs-CZ"/>
              </w:rPr>
            </w:pPr>
          </w:p>
        </w:tc>
        <w:tc>
          <w:tcPr>
            <w:tcW w:w="824" w:type="pct"/>
            <w:vAlign w:val="center"/>
            <w:hideMark/>
          </w:tcPr>
          <w:p w:rsidR="00E52427" w:rsidRPr="00D02A1C" w:rsidP="00785996" w14:paraId="75214A2F" w14:textId="47864F38">
            <w:pPr>
              <w:spacing w:after="0" w:line="240" w:lineRule="auto"/>
              <w:jc w:val="right"/>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1,55 mld. Kč</w:t>
            </w:r>
          </w:p>
        </w:tc>
        <w:tc>
          <w:tcPr>
            <w:tcW w:w="1120" w:type="pct"/>
            <w:vAlign w:val="center"/>
            <w:hideMark/>
          </w:tcPr>
          <w:p w:rsidR="00E52427" w:rsidRPr="00D02A1C" w:rsidP="00201AA6" w14:paraId="1927D5E7" w14:textId="0699F1C9">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 xml:space="preserve">Regenerace </w:t>
            </w:r>
            <w:r w:rsidRPr="00D02A1C">
              <w:rPr>
                <w:rFonts w:eastAsia="Times New Roman" w:asciiTheme="minorHAnsi" w:hAnsiTheme="minorHAnsi" w:cs="Calibri"/>
                <w:color w:val="000000"/>
                <w:lang w:val="cs-CZ"/>
              </w:rPr>
              <w:t>brownfields</w:t>
            </w:r>
            <w:r w:rsidRPr="00D02A1C">
              <w:rPr>
                <w:rFonts w:eastAsia="Times New Roman" w:asciiTheme="minorHAnsi" w:hAnsiTheme="minorHAnsi" w:cs="Calibri"/>
                <w:color w:val="000000"/>
                <w:lang w:val="cs-CZ"/>
              </w:rPr>
              <w:t xml:space="preserve"> ÚK/KVK</w:t>
            </w:r>
          </w:p>
        </w:tc>
        <w:tc>
          <w:tcPr>
            <w:tcW w:w="921" w:type="pct"/>
            <w:vAlign w:val="center"/>
            <w:hideMark/>
          </w:tcPr>
          <w:p w:rsidR="00E52427" w:rsidRPr="00D02A1C" w:rsidP="00201AA6" w14:paraId="2845B6E4"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SFŽP</w:t>
            </w:r>
          </w:p>
        </w:tc>
        <w:tc>
          <w:tcPr>
            <w:tcW w:w="707" w:type="pct"/>
            <w:vAlign w:val="center"/>
            <w:hideMark/>
          </w:tcPr>
          <w:p w:rsidR="00E52427" w:rsidRPr="00D02A1C" w:rsidP="00201AA6" w14:paraId="1586169B"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Přímý FN</w:t>
            </w:r>
          </w:p>
        </w:tc>
      </w:tr>
      <w:tr w14:paraId="18C6AF5B" w14:textId="77777777" w:rsidTr="00037BD7">
        <w:tblPrEx>
          <w:tblW w:w="5000" w:type="pct"/>
          <w:tblLook w:val="04A0"/>
        </w:tblPrEx>
        <w:trPr>
          <w:trHeight w:val="449"/>
        </w:trPr>
        <w:tc>
          <w:tcPr>
            <w:tcW w:w="540" w:type="pct"/>
            <w:vMerge/>
            <w:vAlign w:val="center"/>
            <w:hideMark/>
          </w:tcPr>
          <w:p w:rsidR="00B10753" w:rsidRPr="00D02A1C" w14:paraId="5FA355EE" w14:textId="77777777">
            <w:pPr>
              <w:rPr>
                <w:rFonts w:asciiTheme="minorHAnsi" w:hAnsiTheme="minorHAnsi"/>
              </w:rPr>
            </w:pPr>
          </w:p>
        </w:tc>
        <w:tc>
          <w:tcPr>
            <w:tcW w:w="888" w:type="pct"/>
            <w:vAlign w:val="center"/>
            <w:hideMark/>
          </w:tcPr>
          <w:p w:rsidR="00B10753" w:rsidRPr="00D02A1C" w:rsidP="00DF1B6E" w14:paraId="16F5E8B2" w14:textId="0A19771E">
            <w:pPr>
              <w:spacing w:after="0"/>
              <w:rPr>
                <w:rFonts w:asciiTheme="minorHAnsi" w:hAnsiTheme="minorHAnsi"/>
              </w:rPr>
            </w:pPr>
            <w:r w:rsidRPr="00D02A1C">
              <w:rPr>
                <w:rFonts w:eastAsia="Times New Roman" w:asciiTheme="minorHAnsi" w:hAnsiTheme="minorHAnsi" w:cs="Calibri"/>
                <w:color w:val="000000"/>
                <w:lang w:val="cs-CZ"/>
              </w:rPr>
              <w:t>Příprava</w:t>
            </w:r>
          </w:p>
        </w:tc>
        <w:tc>
          <w:tcPr>
            <w:tcW w:w="824" w:type="pct"/>
            <w:vAlign w:val="center"/>
            <w:hideMark/>
          </w:tcPr>
          <w:p w:rsidR="146A8893" w:rsidRPr="00D02A1C" w:rsidP="00DF1B6E" w14:paraId="29CF93D8" w14:textId="69564284">
            <w:pPr>
              <w:spacing w:after="0" w:line="240" w:lineRule="auto"/>
              <w:jc w:val="right"/>
              <w:rPr>
                <w:rFonts w:eastAsia="Times New Roman" w:asciiTheme="minorHAnsi" w:hAnsiTheme="minorHAnsi" w:cs="Calibri"/>
                <w:color w:val="000000" w:themeColor="text1"/>
                <w:lang w:val="cs-CZ"/>
              </w:rPr>
            </w:pPr>
            <w:r w:rsidRPr="00D02A1C">
              <w:rPr>
                <w:rFonts w:eastAsia="Times New Roman" w:asciiTheme="minorHAnsi" w:hAnsiTheme="minorHAnsi" w:cs="Calibri"/>
                <w:color w:val="000000" w:themeColor="text1"/>
                <w:lang w:val="cs-CZ"/>
              </w:rPr>
              <w:t>2</w:t>
            </w:r>
            <w:r w:rsidR="0088456A">
              <w:rPr>
                <w:rFonts w:eastAsia="Times New Roman" w:asciiTheme="minorHAnsi" w:hAnsiTheme="minorHAnsi" w:cs="Calibri"/>
                <w:color w:val="000000" w:themeColor="text1"/>
                <w:lang w:val="cs-CZ"/>
              </w:rPr>
              <w:t>,9</w:t>
            </w:r>
            <w:r w:rsidRPr="00D02A1C">
              <w:rPr>
                <w:rFonts w:eastAsia="Times New Roman" w:asciiTheme="minorHAnsi" w:hAnsiTheme="minorHAnsi" w:cs="Calibri"/>
                <w:color w:val="000000" w:themeColor="text1"/>
                <w:lang w:val="cs-CZ"/>
              </w:rPr>
              <w:t xml:space="preserve"> mld. Kč</w:t>
            </w:r>
          </w:p>
        </w:tc>
        <w:tc>
          <w:tcPr>
            <w:tcW w:w="1120" w:type="pct"/>
            <w:vAlign w:val="center"/>
            <w:hideMark/>
          </w:tcPr>
          <w:p w:rsidR="146A8893" w:rsidRPr="00D02A1C" w:rsidP="00DF1B6E" w14:paraId="1F128265" w14:textId="47B5DFA7">
            <w:pPr>
              <w:spacing w:after="0" w:line="240" w:lineRule="auto"/>
              <w:rPr>
                <w:rFonts w:eastAsia="Times New Roman" w:asciiTheme="minorHAnsi" w:hAnsiTheme="minorHAnsi" w:cs="Calibri"/>
                <w:color w:val="000000" w:themeColor="text1"/>
                <w:lang w:val="cs-CZ"/>
              </w:rPr>
            </w:pPr>
            <w:r w:rsidRPr="00D02A1C">
              <w:rPr>
                <w:rFonts w:eastAsia="Times New Roman" w:asciiTheme="minorHAnsi" w:hAnsiTheme="minorHAnsi" w:cs="Calibri"/>
                <w:color w:val="000000" w:themeColor="text1"/>
                <w:lang w:val="cs-CZ"/>
              </w:rPr>
              <w:t>Dostupné bydlení</w:t>
            </w:r>
          </w:p>
        </w:tc>
        <w:tc>
          <w:tcPr>
            <w:tcW w:w="921" w:type="pct"/>
            <w:vAlign w:val="center"/>
            <w:hideMark/>
          </w:tcPr>
          <w:p w:rsidR="146A8893" w:rsidRPr="00D02A1C" w:rsidP="00DF1B6E" w14:paraId="3999E9EB" w14:textId="4AD2C069">
            <w:pPr>
              <w:spacing w:after="0" w:line="240" w:lineRule="auto"/>
              <w:rPr>
                <w:rFonts w:eastAsia="Times New Roman" w:asciiTheme="minorHAnsi" w:hAnsiTheme="minorHAnsi" w:cs="Calibri"/>
                <w:color w:val="000000" w:themeColor="text1"/>
                <w:lang w:val="cs-CZ"/>
              </w:rPr>
            </w:pPr>
            <w:r w:rsidRPr="00D02A1C">
              <w:rPr>
                <w:rFonts w:eastAsia="Times New Roman" w:asciiTheme="minorHAnsi" w:hAnsiTheme="minorHAnsi" w:cs="Calibri"/>
                <w:color w:val="000000" w:themeColor="text1"/>
                <w:lang w:val="cs-CZ"/>
              </w:rPr>
              <w:t>SFPI</w:t>
            </w:r>
          </w:p>
        </w:tc>
        <w:tc>
          <w:tcPr>
            <w:tcW w:w="707" w:type="pct"/>
            <w:vAlign w:val="center"/>
            <w:hideMark/>
          </w:tcPr>
          <w:p w:rsidR="146A8893" w:rsidRPr="00D02A1C" w:rsidP="00DF1B6E" w14:paraId="6731D748" w14:textId="77777777">
            <w:pPr>
              <w:spacing w:after="0" w:line="240" w:lineRule="auto"/>
              <w:rPr>
                <w:rFonts w:eastAsia="Times New Roman" w:asciiTheme="minorHAnsi" w:hAnsiTheme="minorHAnsi" w:cs="Calibri"/>
                <w:color w:val="000000" w:themeColor="text1"/>
                <w:lang w:val="cs-CZ"/>
              </w:rPr>
            </w:pPr>
            <w:r w:rsidRPr="00D02A1C">
              <w:rPr>
                <w:rFonts w:eastAsia="Times New Roman" w:asciiTheme="minorHAnsi" w:hAnsiTheme="minorHAnsi" w:cs="Calibri"/>
                <w:color w:val="000000" w:themeColor="text1"/>
                <w:lang w:val="cs-CZ"/>
              </w:rPr>
              <w:t>Přímý FN</w:t>
            </w:r>
          </w:p>
          <w:p w:rsidR="53FC02EE" w:rsidRPr="00D02A1C" w:rsidP="00DF1B6E" w14:paraId="617156E5" w14:textId="49756AAB">
            <w:pPr>
              <w:spacing w:after="0" w:line="240" w:lineRule="auto"/>
              <w:rPr>
                <w:rFonts w:eastAsia="Times New Roman" w:asciiTheme="minorHAnsi" w:hAnsiTheme="minorHAnsi" w:cs="Calibri"/>
                <w:color w:val="000000" w:themeColor="text1"/>
                <w:lang w:val="cs-CZ"/>
              </w:rPr>
            </w:pPr>
          </w:p>
        </w:tc>
      </w:tr>
      <w:tr w14:paraId="14AD5485" w14:textId="77777777" w:rsidTr="00037BD7">
        <w:tblPrEx>
          <w:tblW w:w="5000" w:type="pct"/>
          <w:tblLook w:val="04A0"/>
        </w:tblPrEx>
        <w:trPr>
          <w:trHeight w:val="567"/>
        </w:trPr>
        <w:tc>
          <w:tcPr>
            <w:tcW w:w="540" w:type="pct"/>
            <w:vMerge w:val="restart"/>
            <w:vAlign w:val="center"/>
            <w:hideMark/>
          </w:tcPr>
          <w:p w:rsidR="00037BD7" w:rsidRPr="00D02A1C" w:rsidP="00201AA6" w14:paraId="1E0A6BBE" w14:textId="130C1E16">
            <w:pPr>
              <w:spacing w:after="0" w:line="240" w:lineRule="auto"/>
              <w:rPr>
                <w:rFonts w:eastAsia="Times New Roman" w:asciiTheme="minorHAnsi" w:hAnsiTheme="minorHAnsi" w:cs="Calibri"/>
                <w:color w:val="000000"/>
                <w:lang w:val="cs-CZ"/>
              </w:rPr>
            </w:pPr>
            <w:r w:rsidRPr="00D02A1C">
              <w:rPr>
                <w:rFonts w:eastAsia="Calibri" w:asciiTheme="minorHAnsi" w:hAnsiTheme="minorHAnsi" w:cs="Calibri"/>
                <w:color w:val="000000"/>
                <w:lang w:val="cs-CZ"/>
              </w:rPr>
              <w:t>OP ŽP</w:t>
            </w:r>
          </w:p>
        </w:tc>
        <w:tc>
          <w:tcPr>
            <w:tcW w:w="888" w:type="pct"/>
            <w:vAlign w:val="center"/>
            <w:hideMark/>
          </w:tcPr>
          <w:p w:rsidR="00037BD7" w:rsidRPr="00D02A1C" w:rsidP="00201AA6" w14:paraId="10D4104C" w14:textId="2628FE1D">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Implementace</w:t>
            </w:r>
          </w:p>
        </w:tc>
        <w:tc>
          <w:tcPr>
            <w:tcW w:w="824" w:type="pct"/>
            <w:vAlign w:val="center"/>
            <w:hideMark/>
          </w:tcPr>
          <w:p w:rsidR="00037BD7" w:rsidRPr="00D02A1C" w:rsidP="00785996" w14:paraId="3281F6E5" w14:textId="77777777">
            <w:pPr>
              <w:spacing w:after="0" w:line="240" w:lineRule="auto"/>
              <w:jc w:val="right"/>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1 mld. Kč</w:t>
            </w:r>
          </w:p>
        </w:tc>
        <w:tc>
          <w:tcPr>
            <w:tcW w:w="1120" w:type="pct"/>
            <w:vAlign w:val="center"/>
            <w:hideMark/>
          </w:tcPr>
          <w:p w:rsidR="00037BD7" w:rsidRPr="00D02A1C" w:rsidP="00201AA6" w14:paraId="3EE98D60"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Oběhové hospodářství</w:t>
            </w:r>
          </w:p>
        </w:tc>
        <w:tc>
          <w:tcPr>
            <w:tcW w:w="921" w:type="pct"/>
            <w:vAlign w:val="center"/>
            <w:hideMark/>
          </w:tcPr>
          <w:p w:rsidR="00037BD7" w:rsidRPr="00D02A1C" w:rsidP="00201AA6" w14:paraId="20E18214"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SFŽP</w:t>
            </w:r>
          </w:p>
        </w:tc>
        <w:tc>
          <w:tcPr>
            <w:tcW w:w="707" w:type="pct"/>
            <w:vAlign w:val="center"/>
            <w:hideMark/>
          </w:tcPr>
          <w:p w:rsidR="00037BD7" w:rsidRPr="00D02A1C" w:rsidP="00201AA6" w14:paraId="064809D1" w14:textId="77777777">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Přímý FN</w:t>
            </w:r>
          </w:p>
        </w:tc>
      </w:tr>
      <w:tr w14:paraId="598D1736" w14:textId="77777777" w:rsidTr="00037BD7">
        <w:tblPrEx>
          <w:tblW w:w="5000" w:type="pct"/>
          <w:tblLook w:val="04A0"/>
        </w:tblPrEx>
        <w:trPr>
          <w:trHeight w:val="567"/>
        </w:trPr>
        <w:tc>
          <w:tcPr>
            <w:tcW w:w="540" w:type="pct"/>
            <w:vMerge/>
            <w:vAlign w:val="center"/>
          </w:tcPr>
          <w:p w:rsidR="00037BD7" w:rsidRPr="00D02A1C" w:rsidP="00201AA6" w14:paraId="3EDCC1A6" w14:textId="074AAF6F">
            <w:pPr>
              <w:spacing w:after="0" w:line="240" w:lineRule="auto"/>
              <w:rPr>
                <w:rFonts w:eastAsia="Calibri" w:asciiTheme="minorHAnsi" w:hAnsiTheme="minorHAnsi" w:cs="Calibri"/>
                <w:color w:val="000000"/>
                <w:lang w:val="cs-CZ"/>
              </w:rPr>
            </w:pPr>
          </w:p>
        </w:tc>
        <w:tc>
          <w:tcPr>
            <w:tcW w:w="888" w:type="pct"/>
            <w:vAlign w:val="center"/>
          </w:tcPr>
          <w:p w:rsidR="00037BD7" w:rsidRPr="00D02A1C" w:rsidP="00201AA6" w14:paraId="35FDD0C7" w14:textId="0CD5F971">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Příprava</w:t>
            </w:r>
          </w:p>
        </w:tc>
        <w:tc>
          <w:tcPr>
            <w:tcW w:w="824" w:type="pct"/>
            <w:vAlign w:val="center"/>
          </w:tcPr>
          <w:p w:rsidR="00037BD7" w:rsidRPr="00D02A1C" w:rsidP="00785996" w14:paraId="653F231B" w14:textId="74AA6FD9">
            <w:pPr>
              <w:spacing w:after="0" w:line="240" w:lineRule="auto"/>
              <w:jc w:val="right"/>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1,3 mld. Kč</w:t>
            </w:r>
          </w:p>
        </w:tc>
        <w:tc>
          <w:tcPr>
            <w:tcW w:w="1120" w:type="pct"/>
            <w:vAlign w:val="center"/>
          </w:tcPr>
          <w:p w:rsidR="00037BD7" w:rsidRPr="00D02A1C" w:rsidP="008D0BD6" w14:paraId="4232A138" w14:textId="6F8A2D7C">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VHI</w:t>
            </w:r>
            <w:r w:rsidRPr="00D02A1C">
              <w:rPr>
                <w:rFonts w:eastAsia="Times New Roman" w:asciiTheme="minorHAnsi" w:hAnsiTheme="minorHAnsi" w:cs="Calibri"/>
                <w:color w:val="000000"/>
                <w:lang w:val="cs-CZ"/>
              </w:rPr>
              <w:br/>
              <w:t>(modernizace ČOV)</w:t>
            </w:r>
          </w:p>
        </w:tc>
        <w:tc>
          <w:tcPr>
            <w:tcW w:w="921" w:type="pct"/>
            <w:vAlign w:val="center"/>
          </w:tcPr>
          <w:p w:rsidR="00037BD7" w:rsidRPr="00D02A1C" w:rsidP="00B146B1" w14:paraId="2B5FB617" w14:textId="4FA862E4">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SFŽP</w:t>
            </w:r>
          </w:p>
        </w:tc>
        <w:tc>
          <w:tcPr>
            <w:tcW w:w="707" w:type="pct"/>
            <w:vAlign w:val="center"/>
          </w:tcPr>
          <w:p w:rsidR="00037BD7" w:rsidRPr="00D02A1C" w:rsidP="008D0BD6" w14:paraId="11D9548B" w14:textId="03A5BA1C">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Přímý FN</w:t>
            </w:r>
          </w:p>
        </w:tc>
      </w:tr>
      <w:tr w14:paraId="098628FD" w14:textId="77777777" w:rsidTr="00037BD7">
        <w:tblPrEx>
          <w:tblW w:w="5000" w:type="pct"/>
          <w:tblLook w:val="04A0"/>
        </w:tblPrEx>
        <w:trPr>
          <w:trHeight w:val="567"/>
        </w:trPr>
        <w:tc>
          <w:tcPr>
            <w:tcW w:w="540" w:type="pct"/>
            <w:vAlign w:val="center"/>
          </w:tcPr>
          <w:p w:rsidR="00B6630D" w:rsidRPr="00D02A1C" w:rsidP="00201AA6" w14:paraId="2B59E6A8" w14:textId="2A1ABEDB">
            <w:pPr>
              <w:spacing w:after="0" w:line="240" w:lineRule="auto"/>
              <w:rPr>
                <w:rFonts w:eastAsia="Calibri" w:asciiTheme="minorHAnsi" w:hAnsiTheme="minorHAnsi" w:cs="Calibri"/>
                <w:color w:val="000000"/>
                <w:lang w:val="cs-CZ"/>
              </w:rPr>
            </w:pPr>
            <w:r w:rsidRPr="00D02A1C">
              <w:rPr>
                <w:rFonts w:eastAsia="Calibri" w:asciiTheme="minorHAnsi" w:hAnsiTheme="minorHAnsi" w:cs="Calibri"/>
                <w:color w:val="000000"/>
                <w:lang w:val="cs-CZ"/>
              </w:rPr>
              <w:t>IROP</w:t>
            </w:r>
          </w:p>
        </w:tc>
        <w:tc>
          <w:tcPr>
            <w:tcW w:w="888" w:type="pct"/>
            <w:vAlign w:val="center"/>
          </w:tcPr>
          <w:p w:rsidR="00B6630D" w:rsidRPr="00D02A1C" w:rsidP="00201AA6" w14:paraId="32F2886F" w14:textId="25A2C058">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themeColor="text1"/>
                <w:lang w:val="cs-CZ"/>
              </w:rPr>
              <w:t>Příprava</w:t>
            </w:r>
          </w:p>
        </w:tc>
        <w:tc>
          <w:tcPr>
            <w:tcW w:w="824" w:type="pct"/>
            <w:vAlign w:val="center"/>
          </w:tcPr>
          <w:p w:rsidR="00B6630D" w:rsidRPr="00D02A1C" w:rsidP="00785996" w14:paraId="1D68D627" w14:textId="45353565">
            <w:pPr>
              <w:spacing w:after="0" w:line="240" w:lineRule="auto"/>
              <w:jc w:val="right"/>
              <w:rPr>
                <w:rFonts w:eastAsia="Times New Roman" w:asciiTheme="minorHAnsi" w:hAnsiTheme="minorHAnsi" w:cs="Calibri"/>
                <w:color w:val="000000"/>
                <w:lang w:val="cs-CZ"/>
              </w:rPr>
            </w:pPr>
            <w:r>
              <w:rPr>
                <w:rFonts w:eastAsia="Times New Roman" w:asciiTheme="minorHAnsi" w:hAnsiTheme="minorHAnsi" w:cs="Calibri"/>
                <w:color w:val="000000"/>
                <w:lang w:val="cs-CZ"/>
              </w:rPr>
              <w:t>2,8</w:t>
            </w:r>
            <w:r w:rsidRPr="00D02A1C">
              <w:rPr>
                <w:rFonts w:eastAsia="Times New Roman" w:asciiTheme="minorHAnsi" w:hAnsiTheme="minorHAnsi" w:cs="Calibri"/>
                <w:color w:val="000000"/>
                <w:lang w:val="cs-CZ"/>
              </w:rPr>
              <w:t xml:space="preserve"> mld</w:t>
            </w:r>
            <w:r w:rsidRPr="00D02A1C" w:rsidR="000161DA">
              <w:rPr>
                <w:rFonts w:eastAsia="Times New Roman" w:asciiTheme="minorHAnsi" w:hAnsiTheme="minorHAnsi" w:cs="Calibri"/>
                <w:color w:val="000000"/>
                <w:lang w:val="cs-CZ"/>
              </w:rPr>
              <w:t>.</w:t>
            </w:r>
            <w:r w:rsidRPr="00D02A1C">
              <w:rPr>
                <w:rFonts w:eastAsia="Times New Roman" w:asciiTheme="minorHAnsi" w:hAnsiTheme="minorHAnsi" w:cs="Calibri"/>
                <w:color w:val="000000"/>
                <w:lang w:val="cs-CZ"/>
              </w:rPr>
              <w:t xml:space="preserve"> Kč</w:t>
            </w:r>
          </w:p>
        </w:tc>
        <w:tc>
          <w:tcPr>
            <w:tcW w:w="1120" w:type="pct"/>
            <w:vAlign w:val="center"/>
          </w:tcPr>
          <w:p w:rsidR="00B6630D" w:rsidRPr="00D02A1C" w:rsidP="008D0BD6" w14:paraId="59EC691D" w14:textId="5971E0A3">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themeColor="text1"/>
                <w:lang w:val="cs-CZ"/>
              </w:rPr>
              <w:t>Dostupné bydlení</w:t>
            </w:r>
          </w:p>
        </w:tc>
        <w:tc>
          <w:tcPr>
            <w:tcW w:w="921" w:type="pct"/>
            <w:vAlign w:val="center"/>
          </w:tcPr>
          <w:p w:rsidR="00B6630D" w:rsidRPr="00D02A1C" w:rsidP="00B146B1" w14:paraId="5D895A4B" w14:textId="20F44356">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lang w:val="cs-CZ"/>
              </w:rPr>
              <w:t>SFPI</w:t>
            </w:r>
          </w:p>
        </w:tc>
        <w:tc>
          <w:tcPr>
            <w:tcW w:w="707" w:type="pct"/>
            <w:vAlign w:val="center"/>
          </w:tcPr>
          <w:p w:rsidR="00B6630D" w:rsidRPr="00D02A1C" w:rsidP="008D0BD6" w14:paraId="7959EA80" w14:textId="1D65D740">
            <w:pPr>
              <w:spacing w:after="0" w:line="240" w:lineRule="auto"/>
              <w:rPr>
                <w:rFonts w:eastAsia="Times New Roman" w:asciiTheme="minorHAnsi" w:hAnsiTheme="minorHAnsi" w:cs="Calibri"/>
                <w:color w:val="000000"/>
                <w:lang w:val="cs-CZ"/>
              </w:rPr>
            </w:pPr>
            <w:r w:rsidRPr="00D02A1C">
              <w:rPr>
                <w:rFonts w:eastAsia="Times New Roman" w:asciiTheme="minorHAnsi" w:hAnsiTheme="minorHAnsi" w:cs="Calibri"/>
                <w:color w:val="000000" w:themeColor="text1"/>
                <w:lang w:val="cs-CZ"/>
              </w:rPr>
              <w:t>Přímý FN</w:t>
            </w:r>
          </w:p>
        </w:tc>
      </w:tr>
      <w:tr w14:paraId="5CF2090A" w14:textId="77777777" w:rsidTr="004A460C">
        <w:tblPrEx>
          <w:tblW w:w="5000" w:type="pct"/>
          <w:tblLook w:val="04A0"/>
        </w:tblPrEx>
        <w:trPr>
          <w:trHeight w:val="567"/>
        </w:trPr>
        <w:tc>
          <w:tcPr>
            <w:tcW w:w="5000" w:type="pct"/>
            <w:gridSpan w:val="6"/>
            <w:shd w:val="clear" w:color="auto" w:fill="F2F2F2" w:themeFill="background1" w:themeFillShade="F2"/>
            <w:vAlign w:val="center"/>
          </w:tcPr>
          <w:p w:rsidR="000161DA" w:rsidRPr="00D02A1C" w:rsidP="00342BD4" w14:paraId="7B49E563" w14:textId="45536AC2">
            <w:pPr>
              <w:spacing w:after="0" w:line="240" w:lineRule="auto"/>
              <w:rPr>
                <w:rFonts w:eastAsia="Times New Roman" w:asciiTheme="minorHAnsi" w:hAnsiTheme="minorHAnsi" w:cs="Calibri"/>
                <w:b/>
                <w:bCs/>
                <w:color w:val="034EA2"/>
                <w:lang w:val="cs-CZ"/>
              </w:rPr>
            </w:pPr>
            <w:r w:rsidRPr="00D02A1C">
              <w:rPr>
                <w:rFonts w:eastAsia="Calibri" w:asciiTheme="minorHAnsi" w:hAnsiTheme="minorHAnsi" w:cs="Calibri"/>
                <w:b/>
                <w:bCs/>
                <w:color w:val="034EA2"/>
                <w:lang w:val="cs-CZ"/>
              </w:rPr>
              <w:t>Cel</w:t>
            </w:r>
            <w:r w:rsidRPr="00D02A1C" w:rsidR="00390BA9">
              <w:rPr>
                <w:rFonts w:eastAsia="Calibri" w:asciiTheme="minorHAnsi" w:hAnsiTheme="minorHAnsi" w:cs="Calibri"/>
                <w:b/>
                <w:bCs/>
                <w:color w:val="034EA2"/>
                <w:lang w:val="cs-CZ"/>
              </w:rPr>
              <w:t>ková alokace</w:t>
            </w:r>
            <w:r w:rsidRPr="00D02A1C">
              <w:rPr>
                <w:rFonts w:eastAsia="Calibri" w:asciiTheme="minorHAnsi" w:hAnsiTheme="minorHAnsi" w:cs="Calibri"/>
                <w:b/>
                <w:color w:val="034EA2"/>
                <w:lang w:val="cs-CZ"/>
              </w:rPr>
              <w:t xml:space="preserve"> </w:t>
            </w:r>
            <w:r w:rsidRPr="00D02A1C">
              <w:rPr>
                <w:rFonts w:eastAsia="Times New Roman" w:asciiTheme="minorHAnsi" w:hAnsiTheme="minorHAnsi" w:cs="Calibri"/>
                <w:b/>
                <w:bCs/>
                <w:color w:val="034EA2"/>
                <w:lang w:val="cs-CZ"/>
              </w:rPr>
              <w:t>cca 23 mld. Kč</w:t>
            </w:r>
          </w:p>
        </w:tc>
      </w:tr>
    </w:tbl>
    <w:p w:rsidR="00473FBE" w:rsidRPr="00C27C2B" w:rsidP="000E69C2" w14:paraId="78CDED8F" w14:textId="2DC25B31">
      <w:pPr>
        <w:spacing w:before="240" w:after="240"/>
        <w:jc w:val="both"/>
        <w:rPr>
          <w:lang w:val="cs-CZ"/>
        </w:rPr>
      </w:pPr>
      <w:r w:rsidRPr="0A6262E8">
        <w:rPr>
          <w:lang w:val="cs-CZ"/>
        </w:rPr>
        <w:t xml:space="preserve">Zkušenosti s využíváním finančních nástrojů v programovém období </w:t>
      </w:r>
      <w:r w:rsidRPr="0A6262E8">
        <w:rPr>
          <w:b/>
          <w:bCs/>
          <w:lang w:val="cs-CZ"/>
        </w:rPr>
        <w:t>2021–2027 v České republice</w:t>
      </w:r>
      <w:r w:rsidRPr="0A6262E8">
        <w:rPr>
          <w:lang w:val="cs-CZ"/>
        </w:rPr>
        <w:t xml:space="preserve"> potvrzují, že tento typ intervence je již pevnou součástí implementační praxe veřejných politik. Mezi hlavní silné stránky patří zejména </w:t>
      </w:r>
      <w:r w:rsidRPr="0A6262E8">
        <w:rPr>
          <w:b/>
          <w:bCs/>
          <w:lang w:val="cs-CZ"/>
        </w:rPr>
        <w:t xml:space="preserve">institucionální a provozní zkušenosti </w:t>
      </w:r>
      <w:r w:rsidRPr="0A6262E8" w:rsidR="0A52EF22">
        <w:rPr>
          <w:b/>
          <w:bCs/>
          <w:lang w:val="cs-CZ"/>
        </w:rPr>
        <w:t>N</w:t>
      </w:r>
      <w:r w:rsidRPr="0A6262E8" w:rsidR="7117DB66">
        <w:rPr>
          <w:b/>
          <w:bCs/>
          <w:lang w:val="cs-CZ"/>
        </w:rPr>
        <w:t>RB</w:t>
      </w:r>
      <w:r w:rsidRPr="0A6262E8">
        <w:rPr>
          <w:lang w:val="cs-CZ"/>
        </w:rPr>
        <w:t>, která</w:t>
      </w:r>
      <w:r w:rsidR="00F5699E">
        <w:rPr>
          <w:lang w:val="cs-CZ"/>
        </w:rPr>
        <w:t> </w:t>
      </w:r>
      <w:r w:rsidRPr="0A6262E8">
        <w:rPr>
          <w:lang w:val="cs-CZ"/>
        </w:rPr>
        <w:t xml:space="preserve">dlouhodobě realizuje </w:t>
      </w:r>
      <w:r w:rsidRPr="0A6262E8">
        <w:rPr>
          <w:b/>
          <w:bCs/>
          <w:lang w:val="cs-CZ"/>
        </w:rPr>
        <w:t>záruční a úvěrová schémata</w:t>
      </w:r>
      <w:r w:rsidRPr="0A6262E8">
        <w:rPr>
          <w:lang w:val="cs-CZ"/>
        </w:rPr>
        <w:t xml:space="preserve">, a současně se opírá o </w:t>
      </w:r>
      <w:r w:rsidRPr="0A6262E8">
        <w:rPr>
          <w:b/>
          <w:bCs/>
          <w:lang w:val="cs-CZ"/>
        </w:rPr>
        <w:t>funkční spolupráci s komerčním bankovním sektorem</w:t>
      </w:r>
      <w:r w:rsidRPr="0A6262E8">
        <w:rPr>
          <w:lang w:val="cs-CZ"/>
        </w:rPr>
        <w:t xml:space="preserve">, zejména v oblasti implementace záruk. Pozitivní vývoj je patrný také u dalších veřejných institucí, zejména </w:t>
      </w:r>
      <w:r w:rsidRPr="0A6262E8" w:rsidR="0A52EF22">
        <w:rPr>
          <w:b/>
          <w:bCs/>
          <w:lang w:val="cs-CZ"/>
        </w:rPr>
        <w:t>S</w:t>
      </w:r>
      <w:r w:rsidRPr="0A6262E8" w:rsidR="141DF432">
        <w:rPr>
          <w:b/>
          <w:bCs/>
          <w:lang w:val="cs-CZ"/>
        </w:rPr>
        <w:t>FŽP</w:t>
      </w:r>
      <w:r w:rsidRPr="0A6262E8">
        <w:rPr>
          <w:b/>
          <w:bCs/>
          <w:lang w:val="cs-CZ"/>
        </w:rPr>
        <w:t xml:space="preserve"> a </w:t>
      </w:r>
      <w:r w:rsidRPr="0A6262E8" w:rsidR="0A52EF22">
        <w:rPr>
          <w:b/>
          <w:bCs/>
          <w:lang w:val="cs-CZ"/>
        </w:rPr>
        <w:t>S</w:t>
      </w:r>
      <w:r w:rsidRPr="0A6262E8" w:rsidR="0A61E457">
        <w:rPr>
          <w:b/>
          <w:bCs/>
          <w:lang w:val="cs-CZ"/>
        </w:rPr>
        <w:t>FPI</w:t>
      </w:r>
      <w:r w:rsidRPr="0A6262E8">
        <w:rPr>
          <w:lang w:val="cs-CZ"/>
        </w:rPr>
        <w:t>,</w:t>
      </w:r>
      <w:r w:rsidRPr="00F921A8">
        <w:rPr>
          <w:lang w:val="cs-CZ"/>
        </w:rPr>
        <w:t xml:space="preserve"> které</w:t>
      </w:r>
      <w:r w:rsidRPr="00F921A8" w:rsidR="00DF3DC4">
        <w:rPr>
          <w:lang w:val="cs-CZ"/>
        </w:rPr>
        <w:t> </w:t>
      </w:r>
      <w:r w:rsidRPr="00F921A8">
        <w:rPr>
          <w:lang w:val="cs-CZ"/>
        </w:rPr>
        <w:t>si</w:t>
      </w:r>
      <w:r w:rsidRPr="00F921A8" w:rsidR="00DF3DC4">
        <w:rPr>
          <w:lang w:val="cs-CZ"/>
        </w:rPr>
        <w:t> </w:t>
      </w:r>
      <w:r w:rsidRPr="00F921A8">
        <w:rPr>
          <w:lang w:val="cs-CZ"/>
        </w:rPr>
        <w:t>v</w:t>
      </w:r>
      <w:r w:rsidRPr="00F921A8" w:rsidR="00F5699E">
        <w:rPr>
          <w:lang w:val="cs-CZ"/>
        </w:rPr>
        <w:t> </w:t>
      </w:r>
      <w:r w:rsidRPr="00F921A8">
        <w:rPr>
          <w:lang w:val="cs-CZ"/>
        </w:rPr>
        <w:t>aktuálním období postupně</w:t>
      </w:r>
      <w:r w:rsidRPr="00F921A8" w:rsidR="01D80B91">
        <w:rPr>
          <w:lang w:val="cs-CZ"/>
        </w:rPr>
        <w:t xml:space="preserve"> </w:t>
      </w:r>
      <w:r w:rsidRPr="00F921A8" w:rsidR="4AFA1108">
        <w:rPr>
          <w:lang w:val="cs-CZ"/>
        </w:rPr>
        <w:t>vy</w:t>
      </w:r>
      <w:r w:rsidRPr="00F921A8" w:rsidR="7AF034CF">
        <w:rPr>
          <w:lang w:val="cs-CZ"/>
        </w:rPr>
        <w:t>budovaly</w:t>
      </w:r>
      <w:r w:rsidRPr="00F921A8" w:rsidR="01D80B91">
        <w:rPr>
          <w:lang w:val="cs-CZ"/>
        </w:rPr>
        <w:t xml:space="preserve"> </w:t>
      </w:r>
      <w:r w:rsidRPr="00F921A8">
        <w:rPr>
          <w:lang w:val="cs-CZ"/>
        </w:rPr>
        <w:t>kapa</w:t>
      </w:r>
      <w:r w:rsidRPr="0A6262E8">
        <w:rPr>
          <w:lang w:val="cs-CZ"/>
        </w:rPr>
        <w:t>city pro</w:t>
      </w:r>
      <w:r w:rsidRPr="0A6262E8" w:rsidR="650C50B4">
        <w:rPr>
          <w:lang w:val="cs-CZ"/>
        </w:rPr>
        <w:t xml:space="preserve"> </w:t>
      </w:r>
      <w:r w:rsidRPr="0A6262E8" w:rsidR="24E57E65">
        <w:rPr>
          <w:lang w:val="cs-CZ"/>
        </w:rPr>
        <w:t>již implement</w:t>
      </w:r>
      <w:r w:rsidRPr="0A6262E8" w:rsidR="118CEC8B">
        <w:rPr>
          <w:lang w:val="cs-CZ"/>
        </w:rPr>
        <w:t>ované</w:t>
      </w:r>
      <w:r w:rsidRPr="0A6262E8">
        <w:rPr>
          <w:lang w:val="cs-CZ"/>
        </w:rPr>
        <w:t xml:space="preserve"> </w:t>
      </w:r>
      <w:r w:rsidRPr="4F9EFA73">
        <w:rPr>
          <w:lang w:val="cs-CZ"/>
        </w:rPr>
        <w:t>vybran</w:t>
      </w:r>
      <w:r w:rsidRPr="4F9EFA73" w:rsidR="372878DA">
        <w:rPr>
          <w:lang w:val="cs-CZ"/>
        </w:rPr>
        <w:t>é</w:t>
      </w:r>
      <w:r w:rsidRPr="4F9EFA73">
        <w:rPr>
          <w:lang w:val="cs-CZ"/>
        </w:rPr>
        <w:t xml:space="preserve"> finanční nástroj</w:t>
      </w:r>
      <w:r w:rsidRPr="4F9EFA73" w:rsidR="6DBE7F54">
        <w:rPr>
          <w:lang w:val="cs-CZ"/>
        </w:rPr>
        <w:t>e</w:t>
      </w:r>
      <w:r w:rsidRPr="0A6262E8" w:rsidR="001258C4">
        <w:rPr>
          <w:lang w:val="cs-CZ"/>
        </w:rPr>
        <w:t xml:space="preserve">, avšak není </w:t>
      </w:r>
      <w:r w:rsidRPr="0A6262E8" w:rsidR="00E73963">
        <w:rPr>
          <w:lang w:val="cs-CZ"/>
        </w:rPr>
        <w:t>dostatečně nastavena synergie a doplňkovost partnerů a nástrojů</w:t>
      </w:r>
      <w:r w:rsidRPr="6D387690" w:rsidR="5A8AFD3F">
        <w:rPr>
          <w:lang w:val="cs-CZ"/>
        </w:rPr>
        <w:t>.</w:t>
      </w:r>
      <w:r w:rsidRPr="0A6262E8">
        <w:rPr>
          <w:lang w:val="cs-CZ"/>
        </w:rPr>
        <w:t xml:space="preserve"> </w:t>
      </w:r>
      <w:r w:rsidRPr="0A6262E8">
        <w:rPr>
          <w:lang w:val="cs-CZ"/>
        </w:rPr>
        <w:t xml:space="preserve">Důležitým potvrzením relevance finančních nástrojů je rovněž </w:t>
      </w:r>
      <w:r w:rsidRPr="0A6262E8">
        <w:rPr>
          <w:b/>
          <w:bCs/>
          <w:lang w:val="cs-CZ"/>
        </w:rPr>
        <w:t>trvale vysoká poptávka ze strany malých a</w:t>
      </w:r>
      <w:r w:rsidR="00F5699E">
        <w:rPr>
          <w:b/>
          <w:bCs/>
          <w:lang w:val="cs-CZ"/>
        </w:rPr>
        <w:t> </w:t>
      </w:r>
      <w:r w:rsidRPr="0A6262E8">
        <w:rPr>
          <w:b/>
          <w:bCs/>
          <w:lang w:val="cs-CZ"/>
        </w:rPr>
        <w:t>středních podniků</w:t>
      </w:r>
      <w:r w:rsidRPr="0A6262E8">
        <w:rPr>
          <w:lang w:val="cs-CZ"/>
        </w:rPr>
        <w:t>, zejména po záručních a úvěrových produktech.</w:t>
      </w:r>
      <w:r w:rsidRPr="0A6262E8" w:rsidR="29BA8071">
        <w:rPr>
          <w:lang w:val="cs-CZ"/>
        </w:rPr>
        <w:t xml:space="preserve"> Velký zájem o</w:t>
      </w:r>
      <w:r w:rsidR="003277E3">
        <w:rPr>
          <w:lang w:val="cs-CZ"/>
        </w:rPr>
        <w:t> </w:t>
      </w:r>
      <w:r w:rsidRPr="0A6262E8" w:rsidR="73F47BC0">
        <w:rPr>
          <w:lang w:val="cs-CZ"/>
        </w:rPr>
        <w:t xml:space="preserve">úvěrový </w:t>
      </w:r>
      <w:r w:rsidRPr="0A6262E8" w:rsidR="29BA8071">
        <w:rPr>
          <w:lang w:val="cs-CZ"/>
        </w:rPr>
        <w:t>program Dostupné nájemn</w:t>
      </w:r>
      <w:r w:rsidR="008E4334">
        <w:rPr>
          <w:lang w:val="cs-CZ"/>
        </w:rPr>
        <w:t>í</w:t>
      </w:r>
      <w:r w:rsidRPr="0A6262E8" w:rsidR="29BA8071">
        <w:rPr>
          <w:lang w:val="cs-CZ"/>
        </w:rPr>
        <w:t xml:space="preserve"> bydlení</w:t>
      </w:r>
      <w:r w:rsidR="009C12A1">
        <w:rPr>
          <w:lang w:val="cs-CZ"/>
        </w:rPr>
        <w:t>, financovaného z Národního plánu obnovy,</w:t>
      </w:r>
      <w:r w:rsidRPr="0A6262E8" w:rsidR="0BA00CDC">
        <w:rPr>
          <w:lang w:val="cs-CZ"/>
        </w:rPr>
        <w:t xml:space="preserve"> ukazuje, že </w:t>
      </w:r>
      <w:r w:rsidRPr="0A6262E8" w:rsidR="42C48FE0">
        <w:rPr>
          <w:lang w:val="cs-CZ"/>
        </w:rPr>
        <w:t xml:space="preserve">o </w:t>
      </w:r>
      <w:r w:rsidRPr="6D387690" w:rsidR="48960E9F">
        <w:rPr>
          <w:lang w:val="cs-CZ"/>
        </w:rPr>
        <w:t>finanční nástroje</w:t>
      </w:r>
      <w:r w:rsidRPr="4F9EFA73" w:rsidR="0BA00CDC">
        <w:rPr>
          <w:lang w:val="cs-CZ"/>
        </w:rPr>
        <w:t xml:space="preserve"> je zájem i mimo podnikatelský sektor. </w:t>
      </w:r>
    </w:p>
    <w:p w:rsidR="00C71AC7" w:rsidP="00C24D1B" w14:paraId="3829DE3C" w14:textId="61AA134B">
      <w:pPr>
        <w:spacing w:before="240" w:after="240"/>
        <w:jc w:val="both"/>
        <w:rPr>
          <w:lang w:val="cs-CZ"/>
        </w:rPr>
      </w:pPr>
      <w:r w:rsidRPr="000F2C87">
        <w:rPr>
          <w:lang w:val="cs-CZ"/>
        </w:rPr>
        <w:t xml:space="preserve">Z hlediska struktury portfolia finančních nástrojů zůstává slabinou zejména </w:t>
      </w:r>
      <w:r w:rsidRPr="000F2C87">
        <w:rPr>
          <w:b/>
          <w:bCs/>
          <w:lang w:val="cs-CZ"/>
        </w:rPr>
        <w:t>nízký podíl finančních nástrojů</w:t>
      </w:r>
      <w:r w:rsidRPr="000F2C87">
        <w:rPr>
          <w:lang w:val="cs-CZ"/>
        </w:rPr>
        <w:t xml:space="preserve"> na celkové alokaci </w:t>
      </w:r>
      <w:r w:rsidR="006429EB">
        <w:rPr>
          <w:lang w:val="cs-CZ"/>
        </w:rPr>
        <w:t xml:space="preserve">fondů EU v ČR </w:t>
      </w:r>
      <w:r w:rsidRPr="000F2C87">
        <w:rPr>
          <w:lang w:val="cs-CZ"/>
        </w:rPr>
        <w:t>(přibližně 4 % v období 2021</w:t>
      </w:r>
      <w:r w:rsidRPr="003C1EB2" w:rsidR="003C1EB2">
        <w:rPr>
          <w:lang w:val="cs-CZ"/>
        </w:rPr>
        <w:t>–</w:t>
      </w:r>
      <w:r w:rsidRPr="000F2C87">
        <w:rPr>
          <w:lang w:val="cs-CZ"/>
        </w:rPr>
        <w:t xml:space="preserve">2027) a s tím související </w:t>
      </w:r>
      <w:r w:rsidRPr="000F2C87">
        <w:rPr>
          <w:b/>
          <w:bCs/>
          <w:lang w:val="cs-CZ"/>
        </w:rPr>
        <w:t>omezená mobilizace soukromého kapitálu</w:t>
      </w:r>
      <w:r w:rsidRPr="000F2C87">
        <w:rPr>
          <w:lang w:val="cs-CZ"/>
        </w:rPr>
        <w:t>. V porovnání s</w:t>
      </w:r>
      <w:r w:rsidRPr="000F2C87" w:rsidR="5BA50256">
        <w:rPr>
          <w:lang w:val="cs-CZ"/>
        </w:rPr>
        <w:t>e</w:t>
      </w:r>
      <w:r w:rsidRPr="000F2C87">
        <w:rPr>
          <w:lang w:val="cs-CZ"/>
        </w:rPr>
        <w:t xml:space="preserve"> zahraniční pra</w:t>
      </w:r>
      <w:r w:rsidRPr="000F2C87" w:rsidR="2F769B22">
        <w:rPr>
          <w:lang w:val="cs-CZ"/>
        </w:rPr>
        <w:t>xí</w:t>
      </w:r>
      <w:r w:rsidRPr="000F2C87">
        <w:rPr>
          <w:lang w:val="cs-CZ"/>
        </w:rPr>
        <w:t xml:space="preserve"> jsou finanční nástroje v ČR stále orientovány převážně na </w:t>
      </w:r>
      <w:r w:rsidRPr="000F2C87" w:rsidR="0C769898">
        <w:rPr>
          <w:lang w:val="cs-CZ"/>
        </w:rPr>
        <w:t xml:space="preserve">přímé poskytování </w:t>
      </w:r>
      <w:r w:rsidRPr="000F2C87">
        <w:rPr>
          <w:b/>
          <w:bCs/>
          <w:lang w:val="cs-CZ"/>
        </w:rPr>
        <w:t>dluhov</w:t>
      </w:r>
      <w:r w:rsidRPr="000F2C87" w:rsidR="00FD63D3">
        <w:rPr>
          <w:b/>
          <w:bCs/>
          <w:lang w:val="cs-CZ"/>
        </w:rPr>
        <w:t>ých</w:t>
      </w:r>
      <w:r w:rsidRPr="000F2C87">
        <w:rPr>
          <w:b/>
          <w:bCs/>
          <w:lang w:val="cs-CZ"/>
        </w:rPr>
        <w:t xml:space="preserve"> produkt</w:t>
      </w:r>
      <w:r w:rsidRPr="000F2C87" w:rsidR="5A31E9BD">
        <w:rPr>
          <w:b/>
          <w:bCs/>
          <w:lang w:val="cs-CZ"/>
        </w:rPr>
        <w:t>ů</w:t>
      </w:r>
      <w:r w:rsidRPr="000F2C87">
        <w:rPr>
          <w:lang w:val="cs-CZ"/>
        </w:rPr>
        <w:t xml:space="preserve">, zapojení soukromých investorů a tržních mechanismů </w:t>
      </w:r>
      <w:r w:rsidRPr="000F2C87" w:rsidR="74D33728">
        <w:rPr>
          <w:lang w:val="cs-CZ"/>
        </w:rPr>
        <w:t>není dostatečně využíváno</w:t>
      </w:r>
      <w:r w:rsidRPr="000F2C87">
        <w:rPr>
          <w:lang w:val="cs-CZ"/>
        </w:rPr>
        <w:t xml:space="preserve">. Tyto zkušenosti ukazují na potřebu </w:t>
      </w:r>
      <w:r w:rsidRPr="000F2C87">
        <w:rPr>
          <w:b/>
          <w:bCs/>
          <w:lang w:val="cs-CZ"/>
        </w:rPr>
        <w:t>strategičtějšího, centralizovanějšího a dlouhodobě stabilního přístupu k</w:t>
      </w:r>
      <w:r w:rsidR="00F5699E">
        <w:rPr>
          <w:b/>
          <w:bCs/>
          <w:lang w:val="cs-CZ"/>
        </w:rPr>
        <w:t> </w:t>
      </w:r>
      <w:r w:rsidRPr="000F2C87">
        <w:rPr>
          <w:b/>
          <w:bCs/>
          <w:lang w:val="cs-CZ"/>
        </w:rPr>
        <w:t>finančním nástrojům</w:t>
      </w:r>
      <w:r w:rsidRPr="000F2C87">
        <w:rPr>
          <w:lang w:val="cs-CZ"/>
        </w:rPr>
        <w:t xml:space="preserve"> v období po roce 2027.</w:t>
      </w:r>
    </w:p>
    <w:p w:rsidR="00A622AF" w:rsidRPr="00A622AF" w:rsidP="00C24D1B" w14:paraId="5AD1D1B5" w14:textId="6297AD10">
      <w:pPr>
        <w:spacing w:before="240" w:after="240"/>
        <w:jc w:val="both"/>
      </w:pPr>
      <w:r w:rsidRPr="2735ECE6">
        <w:rPr>
          <w:lang w:val="cs-CZ"/>
        </w:rPr>
        <w:t>Nad rámec EU fondů ve smyslu Nařízení (EU) 2021/1060 o společných ustanoveních, existují v</w:t>
      </w:r>
      <w:r>
        <w:rPr>
          <w:lang w:val="cs-CZ"/>
        </w:rPr>
        <w:t> </w:t>
      </w:r>
      <w:r w:rsidRPr="2735ECE6">
        <w:rPr>
          <w:lang w:val="cs-CZ"/>
        </w:rPr>
        <w:t>ČR i zkušenosti s prováděním FN čerpající</w:t>
      </w:r>
      <w:r>
        <w:rPr>
          <w:lang w:val="cs-CZ"/>
        </w:rPr>
        <w:t>ch</w:t>
      </w:r>
      <w:r w:rsidRPr="2735ECE6">
        <w:rPr>
          <w:lang w:val="cs-CZ"/>
        </w:rPr>
        <w:t xml:space="preserve"> evropské prostředky v rámci NPO (</w:t>
      </w:r>
      <w:r w:rsidRPr="2735ECE6">
        <w:rPr>
          <w:lang w:val="cs-CZ"/>
        </w:rPr>
        <w:t>Recovery</w:t>
      </w:r>
      <w:r w:rsidRPr="2735ECE6">
        <w:rPr>
          <w:lang w:val="cs-CZ"/>
        </w:rPr>
        <w:t xml:space="preserve"> and</w:t>
      </w:r>
      <w:r>
        <w:rPr>
          <w:lang w:val="cs-CZ"/>
        </w:rPr>
        <w:t> </w:t>
      </w:r>
      <w:r w:rsidRPr="2735ECE6">
        <w:rPr>
          <w:lang w:val="cs-CZ"/>
        </w:rPr>
        <w:t>Resilience</w:t>
      </w:r>
      <w:r w:rsidRPr="2735ECE6">
        <w:rPr>
          <w:lang w:val="cs-CZ"/>
        </w:rPr>
        <w:t xml:space="preserve"> Facility</w:t>
      </w:r>
      <w:r w:rsidRPr="035825B8">
        <w:rPr>
          <w:lang w:val="cs-CZ"/>
        </w:rPr>
        <w:t>)</w:t>
      </w:r>
      <w:r w:rsidRPr="2735ECE6">
        <w:rPr>
          <w:lang w:val="cs-CZ"/>
        </w:rPr>
        <w:t xml:space="preserve"> na základě </w:t>
      </w:r>
      <w:hyperlink r:id="rId25" w:history="1">
        <w:r w:rsidRPr="2735ECE6">
          <w:rPr>
            <w:rStyle w:val="Hyperlink"/>
            <w:lang w:val="cs-CZ"/>
          </w:rPr>
          <w:t>Nařízení EP a Rady (EU) 2021/241</w:t>
        </w:r>
      </w:hyperlink>
      <w:r w:rsidRPr="2735ECE6">
        <w:rPr>
          <w:lang w:val="cs-CZ"/>
        </w:rPr>
        <w:t xml:space="preserve"> o RRF. </w:t>
      </w:r>
    </w:p>
    <w:p w:rsidR="00906E55" w:rsidP="006446B8" w14:paraId="4836A696" w14:textId="30A9D0FD">
      <w:pPr>
        <w:pStyle w:val="Heading2"/>
      </w:pPr>
      <w:bookmarkStart w:id="12" w:name="_Toc256000005"/>
      <w:r>
        <w:t xml:space="preserve">Období </w:t>
      </w:r>
      <w:r w:rsidRPr="00C82EBC">
        <w:t>2014–2020</w:t>
      </w:r>
      <w:bookmarkEnd w:id="12"/>
    </w:p>
    <w:p w:rsidR="00DB6DC8" w:rsidRPr="00DB6DC8" w:rsidP="00DB6DC8" w14:paraId="1BAC21F3" w14:textId="4D58E5EC">
      <w:pPr>
        <w:spacing w:before="240" w:after="240"/>
        <w:jc w:val="both"/>
        <w:rPr>
          <w:lang w:val="cs-CZ"/>
        </w:rPr>
      </w:pPr>
      <w:r w:rsidRPr="00DB6DC8">
        <w:rPr>
          <w:lang w:val="cs-CZ"/>
        </w:rPr>
        <w:t xml:space="preserve">V programovém období 2014–2020 bylo těžiště implementace finančních nástrojů soustředěno zejména na Ministerstvu průmyslu a obchodu, kde byly v rámci </w:t>
      </w:r>
      <w:r w:rsidRPr="00DB6DC8">
        <w:rPr>
          <w:b/>
          <w:bCs/>
          <w:lang w:val="cs-CZ"/>
        </w:rPr>
        <w:t>OP PIK</w:t>
      </w:r>
      <w:r w:rsidRPr="00DB6DC8">
        <w:rPr>
          <w:lang w:val="cs-CZ"/>
        </w:rPr>
        <w:t xml:space="preserve"> realizovány prakticky </w:t>
      </w:r>
      <w:r w:rsidRPr="00DB6DC8">
        <w:rPr>
          <w:b/>
          <w:bCs/>
          <w:lang w:val="cs-CZ"/>
        </w:rPr>
        <w:t xml:space="preserve">všechny základní typy </w:t>
      </w:r>
      <w:r w:rsidRPr="00DB6DC8">
        <w:rPr>
          <w:lang w:val="cs-CZ"/>
        </w:rPr>
        <w:t>finančních nástrojů</w:t>
      </w:r>
      <w:r w:rsidRPr="00546BE4">
        <w:rPr>
          <w:lang w:val="cs-CZ"/>
        </w:rPr>
        <w:t>.</w:t>
      </w:r>
      <w:r>
        <w:rPr>
          <w:lang w:val="cs-CZ"/>
        </w:rPr>
        <w:t xml:space="preserve"> </w:t>
      </w:r>
      <w:r w:rsidRPr="00DB6DC8">
        <w:rPr>
          <w:lang w:val="cs-CZ"/>
        </w:rPr>
        <w:t xml:space="preserve">Ostatní řídicí orgány zpravidla spravovaly </w:t>
      </w:r>
      <w:r w:rsidR="009E6867">
        <w:rPr>
          <w:lang w:val="cs-CZ"/>
        </w:rPr>
        <w:t>spíše</w:t>
      </w:r>
      <w:r w:rsidRPr="00DB6DC8">
        <w:rPr>
          <w:lang w:val="cs-CZ"/>
        </w:rPr>
        <w:t xml:space="preserve"> </w:t>
      </w:r>
      <w:r w:rsidRPr="00DB6DC8">
        <w:rPr>
          <w:b/>
          <w:bCs/>
          <w:lang w:val="cs-CZ"/>
        </w:rPr>
        <w:t>jednotlivé, typicky úvěrové nástroje</w:t>
      </w:r>
      <w:r w:rsidRPr="00DB6DC8">
        <w:rPr>
          <w:lang w:val="cs-CZ"/>
        </w:rPr>
        <w:t xml:space="preserve">, a to v relativně omezeném rozsahu. Původně plánovaná alokace na finanční nástroje v období 2014–2020 se pohybovala přibližně kolem </w:t>
      </w:r>
      <w:r w:rsidRPr="00DB6DC8">
        <w:rPr>
          <w:b/>
          <w:bCs/>
          <w:lang w:val="cs-CZ"/>
        </w:rPr>
        <w:t>13 mld. Kč</w:t>
      </w:r>
      <w:r w:rsidR="001625F1">
        <w:rPr>
          <w:lang w:val="cs-CZ"/>
        </w:rPr>
        <w:t xml:space="preserve"> </w:t>
      </w:r>
      <w:r w:rsidRPr="00DB6DC8" w:rsidR="001625F1">
        <w:rPr>
          <w:lang w:val="cs-CZ"/>
        </w:rPr>
        <w:t>a</w:t>
      </w:r>
      <w:r w:rsidR="000F6599">
        <w:rPr>
          <w:lang w:val="cs-CZ"/>
        </w:rPr>
        <w:t> </w:t>
      </w:r>
      <w:r w:rsidRPr="009E6867" w:rsidR="001625F1">
        <w:rPr>
          <w:lang w:val="cs-CZ"/>
        </w:rPr>
        <w:t xml:space="preserve">tato forma podpory ve fondech EU byla jako </w:t>
      </w:r>
      <w:r w:rsidRPr="00DB6DC8" w:rsidR="001625F1">
        <w:rPr>
          <w:b/>
          <w:bCs/>
          <w:lang w:val="cs-CZ"/>
        </w:rPr>
        <w:t>doplňkov</w:t>
      </w:r>
      <w:r w:rsidRPr="009E6867" w:rsidR="001625F1">
        <w:rPr>
          <w:b/>
          <w:bCs/>
          <w:lang w:val="cs-CZ"/>
        </w:rPr>
        <w:t>á</w:t>
      </w:r>
      <w:r w:rsidR="001625F1">
        <w:rPr>
          <w:b/>
          <w:bCs/>
          <w:lang w:val="cs-CZ"/>
        </w:rPr>
        <w:t>.</w:t>
      </w:r>
    </w:p>
    <w:p w:rsidR="00DB6DC8" w:rsidRPr="00DB6DC8" w:rsidP="00DB6DC8" w14:paraId="359F20F9" w14:textId="56D5DDE2">
      <w:pPr>
        <w:spacing w:before="240" w:after="240"/>
        <w:jc w:val="both"/>
        <w:rPr>
          <w:lang w:val="cs-CZ"/>
        </w:rPr>
      </w:pPr>
      <w:r w:rsidRPr="00DB6DC8">
        <w:rPr>
          <w:lang w:val="cs-CZ"/>
        </w:rPr>
        <w:t xml:space="preserve">Po roce 2020 však došlo k </w:t>
      </w:r>
      <w:r w:rsidRPr="00DB6DC8">
        <w:rPr>
          <w:b/>
          <w:bCs/>
          <w:lang w:val="cs-CZ"/>
        </w:rPr>
        <w:t xml:space="preserve">výraznému navýšení objemů </w:t>
      </w:r>
      <w:r w:rsidRPr="00DB6DC8">
        <w:rPr>
          <w:lang w:val="cs-CZ"/>
        </w:rPr>
        <w:t xml:space="preserve">prostředků směřujících do </w:t>
      </w:r>
      <w:r w:rsidRPr="001976B1" w:rsidR="001976B1">
        <w:rPr>
          <w:lang w:val="cs-CZ"/>
        </w:rPr>
        <w:t>této formy podpory</w:t>
      </w:r>
      <w:r w:rsidR="001976B1">
        <w:rPr>
          <w:b/>
          <w:bCs/>
          <w:lang w:val="cs-CZ"/>
        </w:rPr>
        <w:t xml:space="preserve"> </w:t>
      </w:r>
      <w:r w:rsidRPr="00DB6DC8">
        <w:rPr>
          <w:lang w:val="cs-CZ"/>
        </w:rPr>
        <w:t>a celkový objem realizovaných finančních nástrojů v období 2014–2020 tak</w:t>
      </w:r>
      <w:r w:rsidR="00DC3541">
        <w:rPr>
          <w:lang w:val="cs-CZ"/>
        </w:rPr>
        <w:t xml:space="preserve"> ve výsledku</w:t>
      </w:r>
      <w:r w:rsidRPr="00DB6DC8">
        <w:rPr>
          <w:lang w:val="cs-CZ"/>
        </w:rPr>
        <w:t xml:space="preserve"> </w:t>
      </w:r>
      <w:r w:rsidRPr="00DB6DC8">
        <w:rPr>
          <w:b/>
          <w:bCs/>
          <w:lang w:val="cs-CZ"/>
        </w:rPr>
        <w:t>přesáhl 23 mld. Kč</w:t>
      </w:r>
      <w:r w:rsidRPr="00DB6DC8">
        <w:rPr>
          <w:lang w:val="cs-CZ"/>
        </w:rPr>
        <w:t xml:space="preserve">. Tento objemový nárůst byl způsoben především </w:t>
      </w:r>
      <w:r w:rsidRPr="00DB6DC8">
        <w:rPr>
          <w:b/>
          <w:bCs/>
          <w:lang w:val="cs-CZ"/>
        </w:rPr>
        <w:t>zavedením mimořádných covidových finančních nástrojů v rámci OP PIK</w:t>
      </w:r>
      <w:r w:rsidRPr="00DB6DC8">
        <w:rPr>
          <w:lang w:val="cs-CZ"/>
        </w:rPr>
        <w:t xml:space="preserve">, </w:t>
      </w:r>
      <w:r w:rsidR="00A549EF">
        <w:rPr>
          <w:lang w:val="cs-CZ"/>
        </w:rPr>
        <w:t xml:space="preserve">na jejichž půdorysu </w:t>
      </w:r>
      <w:r w:rsidRPr="00DB6DC8">
        <w:rPr>
          <w:lang w:val="cs-CZ"/>
        </w:rPr>
        <w:t xml:space="preserve">bylo rozhodnuto o </w:t>
      </w:r>
      <w:r w:rsidRPr="00DB6DC8">
        <w:rPr>
          <w:b/>
          <w:bCs/>
          <w:lang w:val="cs-CZ"/>
        </w:rPr>
        <w:t>plošné a masivní podpoře malých a středních podniků</w:t>
      </w:r>
      <w:r w:rsidRPr="00DB6DC8">
        <w:rPr>
          <w:lang w:val="cs-CZ"/>
        </w:rPr>
        <w:t xml:space="preserve">. </w:t>
      </w:r>
      <w:r w:rsidRPr="00FF6091" w:rsidR="00FF6091">
        <w:rPr>
          <w:lang w:val="cs-CZ"/>
        </w:rPr>
        <w:t>Tímto nástrojem byl</w:t>
      </w:r>
      <w:r w:rsidR="005362D9">
        <w:rPr>
          <w:lang w:val="cs-CZ"/>
        </w:rPr>
        <w:t xml:space="preserve">a </w:t>
      </w:r>
      <w:r w:rsidRPr="00DB6DC8">
        <w:rPr>
          <w:b/>
          <w:bCs/>
          <w:lang w:val="cs-CZ"/>
        </w:rPr>
        <w:t>Expanze</w:t>
      </w:r>
      <w:r w:rsidRPr="00DB6DC8">
        <w:rPr>
          <w:lang w:val="cs-CZ"/>
        </w:rPr>
        <w:t xml:space="preserve">, </w:t>
      </w:r>
      <w:r w:rsidR="00DA38F4">
        <w:rPr>
          <w:lang w:val="cs-CZ"/>
        </w:rPr>
        <w:t>kde</w:t>
      </w:r>
      <w:r w:rsidRPr="00DB6DC8">
        <w:rPr>
          <w:lang w:val="cs-CZ"/>
        </w:rPr>
        <w:t xml:space="preserve"> původně plánovaná alokace ve výši </w:t>
      </w:r>
      <w:r w:rsidRPr="00DB6DC8">
        <w:rPr>
          <w:b/>
          <w:bCs/>
          <w:lang w:val="cs-CZ"/>
        </w:rPr>
        <w:t>8,8 mld. Kč</w:t>
      </w:r>
      <w:r w:rsidRPr="00DB6DC8">
        <w:rPr>
          <w:lang w:val="cs-CZ"/>
        </w:rPr>
        <w:t xml:space="preserve"> byla skokově navýšena až na </w:t>
      </w:r>
      <w:r w:rsidRPr="00DB6DC8">
        <w:rPr>
          <w:b/>
          <w:bCs/>
          <w:lang w:val="cs-CZ"/>
        </w:rPr>
        <w:t>rekordních 18,8 mld. Kč</w:t>
      </w:r>
      <w:r w:rsidR="00DA43E6">
        <w:rPr>
          <w:b/>
          <w:bCs/>
          <w:lang w:val="cs-CZ"/>
        </w:rPr>
        <w:t>.</w:t>
      </w:r>
    </w:p>
    <w:p w:rsidR="00DB6DC8" w:rsidRPr="00DB6DC8" w:rsidP="00DB6DC8" w14:paraId="34C0C50D" w14:textId="6B8992BC">
      <w:pPr>
        <w:spacing w:before="240" w:after="240"/>
        <w:jc w:val="both"/>
        <w:rPr>
          <w:lang w:val="cs-CZ"/>
        </w:rPr>
      </w:pPr>
      <w:r w:rsidRPr="00DB6DC8">
        <w:rPr>
          <w:lang w:val="cs-CZ"/>
        </w:rPr>
        <w:t xml:space="preserve">Tento nárůst však </w:t>
      </w:r>
      <w:r w:rsidRPr="00DB6DC8">
        <w:rPr>
          <w:b/>
          <w:bCs/>
          <w:lang w:val="cs-CZ"/>
        </w:rPr>
        <w:t xml:space="preserve">nevycházel z dlouhodobé a systematické strategie rozvoje </w:t>
      </w:r>
      <w:r w:rsidR="00DA43E6">
        <w:rPr>
          <w:b/>
          <w:bCs/>
          <w:lang w:val="cs-CZ"/>
        </w:rPr>
        <w:t>návratné formy podpory</w:t>
      </w:r>
      <w:r w:rsidRPr="00DB6DC8">
        <w:rPr>
          <w:lang w:val="cs-CZ"/>
        </w:rPr>
        <w:t xml:space="preserve">, ale byl vyvolán </w:t>
      </w:r>
      <w:r w:rsidRPr="00DB6DC8">
        <w:rPr>
          <w:b/>
          <w:bCs/>
          <w:lang w:val="cs-CZ"/>
        </w:rPr>
        <w:t>akutní ekonomickou potřebou</w:t>
      </w:r>
      <w:r w:rsidRPr="00DB6DC8">
        <w:rPr>
          <w:lang w:val="cs-CZ"/>
        </w:rPr>
        <w:t xml:space="preserve">, na jejímž řešení panovala široká politická shoda. Současně byla dosažena shoda s klíčovými aktéry trhu, zejména s </w:t>
      </w:r>
      <w:r w:rsidRPr="00DB6DC8">
        <w:rPr>
          <w:b/>
          <w:bCs/>
          <w:lang w:val="cs-CZ"/>
        </w:rPr>
        <w:t>Českou bankovní asociací</w:t>
      </w:r>
      <w:r w:rsidRPr="00DB6DC8">
        <w:rPr>
          <w:lang w:val="cs-CZ"/>
        </w:rPr>
        <w:t xml:space="preserve"> a </w:t>
      </w:r>
      <w:r w:rsidRPr="00DB6DC8">
        <w:rPr>
          <w:b/>
          <w:bCs/>
          <w:lang w:val="cs-CZ"/>
        </w:rPr>
        <w:t>Národní rozvojovou bankou</w:t>
      </w:r>
      <w:r w:rsidRPr="00DB6DC8">
        <w:rPr>
          <w:lang w:val="cs-CZ"/>
        </w:rPr>
        <w:t xml:space="preserve">, což umožnilo rychlé zapojení bankovního sektoru do implementace podpory. </w:t>
      </w:r>
      <w:r w:rsidRPr="008D49E3" w:rsidR="008D49E3">
        <w:rPr>
          <w:lang w:val="cs-CZ"/>
        </w:rPr>
        <w:t xml:space="preserve">Významnou roli sehrálo rovněž </w:t>
      </w:r>
      <w:r w:rsidRPr="008D49E3" w:rsidR="008D49E3">
        <w:rPr>
          <w:b/>
          <w:bCs/>
          <w:lang w:val="cs-CZ"/>
        </w:rPr>
        <w:t>dočasné rozvolnění pravidel veřejné podpory</w:t>
      </w:r>
      <w:r w:rsidRPr="008D49E3" w:rsidR="008D49E3">
        <w:rPr>
          <w:lang w:val="cs-CZ"/>
        </w:rPr>
        <w:t xml:space="preserve"> na úrovni EU, které umožnilo notifikaci programů za dočasně zmírněných podmínek, oproti jinak standardně přísným pravidlům veřejné podpory.</w:t>
      </w:r>
      <w:r w:rsidR="008D49E3">
        <w:rPr>
          <w:lang w:val="cs-CZ"/>
        </w:rPr>
        <w:t xml:space="preserve"> </w:t>
      </w:r>
      <w:r w:rsidRPr="00DB6DC8">
        <w:rPr>
          <w:lang w:val="cs-CZ"/>
        </w:rPr>
        <w:t xml:space="preserve">Tento souběh faktorů vytvořil prostor pro </w:t>
      </w:r>
      <w:r w:rsidRPr="00DB6DC8">
        <w:rPr>
          <w:b/>
          <w:bCs/>
          <w:lang w:val="cs-CZ"/>
        </w:rPr>
        <w:t>bezprecedentní rozsah podpory realizované prostřednictvím finančních nástrojů</w:t>
      </w:r>
      <w:r w:rsidRPr="00DB6DC8">
        <w:rPr>
          <w:lang w:val="cs-CZ"/>
        </w:rPr>
        <w:t>.</w:t>
      </w:r>
    </w:p>
    <w:p w:rsidR="00874979" w:rsidRPr="00874979" w:rsidP="00874979" w14:paraId="12DE9BFF" w14:textId="28B8EBB0">
      <w:pPr>
        <w:spacing w:before="240" w:after="240"/>
        <w:jc w:val="both"/>
        <w:rPr>
          <w:lang w:val="cs-CZ"/>
        </w:rPr>
      </w:pPr>
      <w:r w:rsidRPr="00874979">
        <w:rPr>
          <w:lang w:val="cs-CZ"/>
        </w:rPr>
        <w:t xml:space="preserve">Hlavní zkušeností z tohoto období je skutečnost, že </w:t>
      </w:r>
      <w:r w:rsidRPr="00874979">
        <w:rPr>
          <w:b/>
          <w:bCs/>
          <w:lang w:val="cs-CZ"/>
        </w:rPr>
        <w:t>pokud existuje jasná politická shoda, jednoduché a srozumitelné nastavení podmínek a funkční spolupráce s trhem</w:t>
      </w:r>
      <w:r w:rsidRPr="00874979">
        <w:rPr>
          <w:lang w:val="cs-CZ"/>
        </w:rPr>
        <w:t xml:space="preserve">, mohou finanční nástroje vykazovat </w:t>
      </w:r>
      <w:r w:rsidRPr="00874979">
        <w:rPr>
          <w:b/>
          <w:bCs/>
          <w:lang w:val="cs-CZ"/>
        </w:rPr>
        <w:t>velmi vysoký reakční potenciál</w:t>
      </w:r>
      <w:r w:rsidR="00AB2F33">
        <w:rPr>
          <w:lang w:val="cs-CZ"/>
        </w:rPr>
        <w:t xml:space="preserve">, doprovázený </w:t>
      </w:r>
      <w:r w:rsidRPr="00874979">
        <w:rPr>
          <w:b/>
          <w:bCs/>
          <w:lang w:val="cs-CZ"/>
        </w:rPr>
        <w:t>výrazn</w:t>
      </w:r>
      <w:r w:rsidR="00AB2F33">
        <w:rPr>
          <w:b/>
          <w:bCs/>
          <w:lang w:val="cs-CZ"/>
        </w:rPr>
        <w:t>ým</w:t>
      </w:r>
      <w:r w:rsidRPr="00874979">
        <w:rPr>
          <w:b/>
          <w:bCs/>
          <w:lang w:val="cs-CZ"/>
        </w:rPr>
        <w:t xml:space="preserve"> pákov</w:t>
      </w:r>
      <w:r w:rsidR="00AB2F33">
        <w:rPr>
          <w:b/>
          <w:bCs/>
          <w:lang w:val="cs-CZ"/>
        </w:rPr>
        <w:t xml:space="preserve">ým </w:t>
      </w:r>
      <w:r w:rsidRPr="00874979">
        <w:rPr>
          <w:b/>
          <w:bCs/>
          <w:lang w:val="cs-CZ"/>
        </w:rPr>
        <w:t>efekt</w:t>
      </w:r>
      <w:r w:rsidR="00AB2F33">
        <w:rPr>
          <w:b/>
          <w:bCs/>
          <w:lang w:val="cs-CZ"/>
        </w:rPr>
        <w:t>em</w:t>
      </w:r>
      <w:r w:rsidRPr="00874979">
        <w:rPr>
          <w:lang w:val="cs-CZ"/>
        </w:rPr>
        <w:t xml:space="preserve"> a </w:t>
      </w:r>
      <w:r w:rsidR="00D20948">
        <w:rPr>
          <w:lang w:val="cs-CZ"/>
        </w:rPr>
        <w:t xml:space="preserve">mohou také </w:t>
      </w:r>
      <w:r w:rsidRPr="00874979">
        <w:rPr>
          <w:lang w:val="cs-CZ"/>
        </w:rPr>
        <w:t>rychle a</w:t>
      </w:r>
      <w:r w:rsidR="00E82AD3">
        <w:rPr>
          <w:b/>
          <w:bCs/>
          <w:lang w:val="cs-CZ"/>
        </w:rPr>
        <w:t xml:space="preserve"> </w:t>
      </w:r>
      <w:r w:rsidRPr="00874979">
        <w:rPr>
          <w:lang w:val="cs-CZ"/>
        </w:rPr>
        <w:t>objemově významně</w:t>
      </w:r>
      <w:r w:rsidR="00E82AD3">
        <w:rPr>
          <w:lang w:val="cs-CZ"/>
        </w:rPr>
        <w:t xml:space="preserve"> </w:t>
      </w:r>
      <w:r w:rsidRPr="00874979">
        <w:rPr>
          <w:lang w:val="cs-CZ"/>
        </w:rPr>
        <w:t>reagovat na systémové šoky.</w:t>
      </w:r>
    </w:p>
    <w:p w:rsidR="00DB6DC8" w:rsidRPr="004F0A4B" w:rsidP="00C53FC5" w14:paraId="7F667247" w14:textId="77777777">
      <w:pPr>
        <w:spacing w:before="240" w:after="240"/>
        <w:jc w:val="both"/>
        <w:rPr>
          <w:lang w:val="cs-CZ"/>
        </w:rPr>
      </w:pPr>
    </w:p>
    <w:p w:rsidR="00FE4F49" w:rsidP="00FE4F49" w14:paraId="0B8F0701" w14:textId="35B6199E">
      <w:pPr>
        <w:pStyle w:val="Caption"/>
        <w:keepNext/>
      </w:pPr>
      <w:r>
        <w:t xml:space="preserve">Tabulka </w:t>
      </w:r>
      <w:r w:rsidR="00F04DE7">
        <w:fldChar w:fldCharType="begin"/>
      </w:r>
      <w:r w:rsidR="00F04DE7">
        <w:instrText xml:space="preserve"> SEQ Tabulka \* ARABIC </w:instrText>
      </w:r>
      <w:r w:rsidR="00F04DE7">
        <w:fldChar w:fldCharType="separate"/>
      </w:r>
      <w:r w:rsidR="00F04DE7">
        <w:t>2</w:t>
      </w:r>
      <w:r w:rsidR="00F04DE7">
        <w:rPr>
          <w:noProof/>
        </w:rPr>
        <w:fldChar w:fldCharType="end"/>
      </w:r>
      <w:r>
        <w:t xml:space="preserve">: </w:t>
      </w:r>
      <w:r w:rsidRPr="00FE4F49">
        <w:t>Finanční nástroje implementované v Česku v rámci provádění EU fondů 20</w:t>
      </w:r>
      <w:r>
        <w:t>14</w:t>
      </w:r>
      <w:r w:rsidRPr="00FE4F49">
        <w:t>–202</w:t>
      </w:r>
      <w:r>
        <w:t>0</w:t>
      </w:r>
      <w:r w:rsidRPr="00FE4F49">
        <w:t>, zdroj: MMR-NOK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1563"/>
        <w:gridCol w:w="3249"/>
        <w:gridCol w:w="1661"/>
        <w:gridCol w:w="1558"/>
      </w:tblGrid>
      <w:tr w14:paraId="768B97A1" w14:textId="77777777" w:rsidTr="00FB38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41"/>
          <w:tblHeader/>
        </w:trPr>
        <w:tc>
          <w:tcPr>
            <w:tcW w:w="546" w:type="pct"/>
            <w:shd w:val="clear" w:color="auto" w:fill="034EA2"/>
            <w:vAlign w:val="center"/>
            <w:hideMark/>
          </w:tcPr>
          <w:p w:rsidR="00AE43A3" w:rsidRPr="00D02A1C" w:rsidP="00663CC0" w14:paraId="72FD97BA" w14:textId="77777777">
            <w:pPr>
              <w:spacing w:after="0" w:line="240" w:lineRule="auto"/>
              <w:rPr>
                <w:rFonts w:eastAsia="Times New Roman" w:asciiTheme="minorHAnsi" w:hAnsiTheme="minorHAnsi" w:cs="Times New Roman"/>
                <w:color w:val="FFFFFF"/>
                <w:lang w:val="cs-CZ"/>
              </w:rPr>
            </w:pPr>
            <w:r w:rsidRPr="00D02A1C">
              <w:rPr>
                <w:rFonts w:eastAsia="Times New Roman" w:asciiTheme="minorHAnsi" w:hAnsiTheme="minorHAnsi" w:cs="Times New Roman"/>
                <w:color w:val="FFFFFF"/>
                <w:lang w:val="cs-CZ"/>
              </w:rPr>
              <w:t>OP</w:t>
            </w:r>
          </w:p>
        </w:tc>
        <w:tc>
          <w:tcPr>
            <w:tcW w:w="867" w:type="pct"/>
            <w:shd w:val="clear" w:color="auto" w:fill="034EA2"/>
            <w:vAlign w:val="center"/>
            <w:hideMark/>
          </w:tcPr>
          <w:p w:rsidR="00AE43A3" w:rsidRPr="00D02A1C" w:rsidP="00663CC0" w14:paraId="35AB448E" w14:textId="77777777">
            <w:pPr>
              <w:spacing w:after="0" w:line="240" w:lineRule="auto"/>
              <w:rPr>
                <w:rFonts w:eastAsia="Times New Roman" w:asciiTheme="minorHAnsi" w:hAnsiTheme="minorHAnsi" w:cs="Times New Roman"/>
                <w:color w:val="FFFFFF"/>
                <w:lang w:val="cs-CZ"/>
              </w:rPr>
            </w:pPr>
            <w:r w:rsidRPr="00D02A1C">
              <w:rPr>
                <w:rFonts w:eastAsia="Times New Roman" w:asciiTheme="minorHAnsi" w:hAnsiTheme="minorHAnsi" w:cs="Times New Roman"/>
                <w:color w:val="FFFFFF"/>
                <w:lang w:val="cs-CZ"/>
              </w:rPr>
              <w:t>Alokace FN</w:t>
            </w:r>
          </w:p>
        </w:tc>
        <w:tc>
          <w:tcPr>
            <w:tcW w:w="1802" w:type="pct"/>
            <w:shd w:val="clear" w:color="auto" w:fill="034EA2"/>
            <w:vAlign w:val="center"/>
            <w:hideMark/>
          </w:tcPr>
          <w:p w:rsidR="00AE43A3" w:rsidRPr="00D02A1C" w:rsidP="00663CC0" w14:paraId="0671D2CE" w14:textId="77777777">
            <w:pPr>
              <w:spacing w:after="0" w:line="240" w:lineRule="auto"/>
              <w:rPr>
                <w:rFonts w:eastAsia="Times New Roman" w:asciiTheme="minorHAnsi" w:hAnsiTheme="minorHAnsi" w:cs="Times New Roman"/>
                <w:color w:val="FFFFFF"/>
                <w:lang w:val="cs-CZ"/>
              </w:rPr>
            </w:pPr>
            <w:r w:rsidRPr="00D02A1C">
              <w:rPr>
                <w:rFonts w:eastAsia="Times New Roman" w:asciiTheme="minorHAnsi" w:hAnsiTheme="minorHAnsi" w:cs="Times New Roman"/>
                <w:color w:val="FFFFFF"/>
                <w:lang w:val="cs-CZ"/>
              </w:rPr>
              <w:t>Oblasti podpory</w:t>
            </w:r>
          </w:p>
        </w:tc>
        <w:tc>
          <w:tcPr>
            <w:tcW w:w="921" w:type="pct"/>
            <w:shd w:val="clear" w:color="auto" w:fill="034EA2"/>
            <w:vAlign w:val="center"/>
            <w:hideMark/>
          </w:tcPr>
          <w:p w:rsidR="00AE43A3" w:rsidRPr="00D02A1C" w:rsidP="00663CC0" w14:paraId="57B0ECCB" w14:textId="77777777">
            <w:pPr>
              <w:spacing w:after="0" w:line="240" w:lineRule="auto"/>
              <w:rPr>
                <w:rFonts w:eastAsia="Times New Roman" w:asciiTheme="minorHAnsi" w:hAnsiTheme="minorHAnsi" w:cs="Times New Roman"/>
                <w:color w:val="FFFFFF"/>
                <w:lang w:val="cs-CZ"/>
              </w:rPr>
            </w:pPr>
            <w:r w:rsidRPr="00D02A1C">
              <w:rPr>
                <w:rFonts w:eastAsia="Times New Roman" w:asciiTheme="minorHAnsi" w:hAnsiTheme="minorHAnsi" w:cs="Times New Roman"/>
                <w:color w:val="FFFFFF"/>
                <w:lang w:val="cs-CZ"/>
              </w:rPr>
              <w:t>Implementační subjekt</w:t>
            </w:r>
          </w:p>
        </w:tc>
        <w:tc>
          <w:tcPr>
            <w:tcW w:w="865" w:type="pct"/>
            <w:shd w:val="clear" w:color="auto" w:fill="034EA2"/>
            <w:vAlign w:val="center"/>
            <w:hideMark/>
          </w:tcPr>
          <w:p w:rsidR="00AE43A3" w:rsidRPr="00D02A1C" w:rsidP="00663CC0" w14:paraId="39791E49" w14:textId="77777777">
            <w:pPr>
              <w:spacing w:after="0" w:line="240" w:lineRule="auto"/>
              <w:rPr>
                <w:rFonts w:eastAsia="Times New Roman" w:asciiTheme="minorHAnsi" w:hAnsiTheme="minorHAnsi" w:cs="Times New Roman"/>
                <w:color w:val="FFFFFF"/>
                <w:lang w:val="cs-CZ"/>
              </w:rPr>
            </w:pPr>
            <w:r w:rsidRPr="00D02A1C">
              <w:rPr>
                <w:rFonts w:eastAsia="Times New Roman" w:asciiTheme="minorHAnsi" w:hAnsiTheme="minorHAnsi" w:cs="Times New Roman"/>
                <w:color w:val="FFFFFF"/>
                <w:lang w:val="cs-CZ"/>
              </w:rPr>
              <w:t>Model</w:t>
            </w:r>
          </w:p>
        </w:tc>
      </w:tr>
      <w:tr w14:paraId="569D2054" w14:textId="77777777" w:rsidTr="00FB388C">
        <w:tblPrEx>
          <w:tblW w:w="5000" w:type="pct"/>
          <w:tblLook w:val="04A0"/>
        </w:tblPrEx>
        <w:trPr>
          <w:trHeight w:val="567"/>
        </w:trPr>
        <w:tc>
          <w:tcPr>
            <w:tcW w:w="546" w:type="pct"/>
            <w:vMerge w:val="restart"/>
            <w:vAlign w:val="center"/>
          </w:tcPr>
          <w:p w:rsidR="002E6332" w:rsidRPr="00D02A1C" w:rsidP="002E6332" w14:paraId="6444F5C5" w14:textId="57195884">
            <w:pPr>
              <w:spacing w:after="0" w:line="240" w:lineRule="auto"/>
              <w:rPr>
                <w:rFonts w:eastAsia="Times New Roman" w:asciiTheme="minorHAnsi" w:hAnsiTheme="minorHAnsi" w:cs="Times New Roman"/>
                <w:color w:val="000000"/>
                <w:lang w:val="cs-CZ"/>
              </w:rPr>
            </w:pPr>
            <w:r>
              <w:rPr>
                <w:rFonts w:eastAsia="Times New Roman" w:asciiTheme="minorHAnsi" w:hAnsiTheme="minorHAnsi" w:cs="Times New Roman"/>
                <w:color w:val="000000"/>
                <w:lang w:val="cs-CZ"/>
              </w:rPr>
              <w:t>OP PIK</w:t>
            </w:r>
          </w:p>
        </w:tc>
        <w:tc>
          <w:tcPr>
            <w:tcW w:w="867" w:type="pct"/>
            <w:vAlign w:val="center"/>
          </w:tcPr>
          <w:p w:rsidR="002E6332" w:rsidRPr="00D02A1C" w:rsidP="00CE7D5A" w14:paraId="34242A7C" w14:textId="48F9D075">
            <w:pPr>
              <w:spacing w:after="0" w:line="240" w:lineRule="auto"/>
              <w:jc w:val="right"/>
              <w:rPr>
                <w:rFonts w:eastAsia="Times New Roman" w:asciiTheme="minorHAnsi" w:hAnsiTheme="minorHAnsi" w:cs="Calibri"/>
                <w:color w:val="000000"/>
                <w:lang w:val="cs-CZ"/>
              </w:rPr>
            </w:pPr>
            <w:r w:rsidRPr="002D51E4">
              <w:t>10,5</w:t>
            </w:r>
            <w:r w:rsidR="00CE7D5A">
              <w:t xml:space="preserve"> mld. Kč</w:t>
            </w:r>
          </w:p>
        </w:tc>
        <w:tc>
          <w:tcPr>
            <w:tcW w:w="1802" w:type="pct"/>
            <w:vAlign w:val="center"/>
          </w:tcPr>
          <w:p w:rsidR="002E6332" w:rsidRPr="00D02A1C" w:rsidP="002E6332" w14:paraId="6A7EAE09" w14:textId="4CC11AB9">
            <w:pPr>
              <w:spacing w:after="0" w:line="240" w:lineRule="auto"/>
              <w:rPr>
                <w:rFonts w:eastAsia="Times New Roman" w:asciiTheme="minorHAnsi" w:hAnsiTheme="minorHAnsi" w:cs="Calibri"/>
                <w:color w:val="000000"/>
                <w:lang w:val="cs-CZ"/>
              </w:rPr>
            </w:pPr>
            <w:r w:rsidRPr="002D51E4">
              <w:t>Expanze úvěry (podpora MSP)</w:t>
            </w:r>
          </w:p>
        </w:tc>
        <w:tc>
          <w:tcPr>
            <w:tcW w:w="921" w:type="pct"/>
            <w:vAlign w:val="center"/>
          </w:tcPr>
          <w:p w:rsidR="002E6332" w:rsidRPr="00D02A1C" w:rsidP="002E6332" w14:paraId="18E78B0E" w14:textId="272B0C3E">
            <w:pPr>
              <w:spacing w:after="0" w:line="240" w:lineRule="auto"/>
              <w:rPr>
                <w:rFonts w:eastAsia="Times New Roman" w:asciiTheme="minorHAnsi" w:hAnsiTheme="minorHAnsi" w:cs="Calibri"/>
                <w:color w:val="000000"/>
                <w:lang w:val="cs-CZ"/>
              </w:rPr>
            </w:pPr>
            <w:r w:rsidRPr="002D51E4">
              <w:t>NRB</w:t>
            </w:r>
          </w:p>
        </w:tc>
        <w:tc>
          <w:tcPr>
            <w:tcW w:w="865" w:type="pct"/>
            <w:vAlign w:val="center"/>
          </w:tcPr>
          <w:p w:rsidR="002E6332" w:rsidRPr="00D02A1C" w:rsidP="002E6332" w14:paraId="05CE4E43" w14:textId="3981629E">
            <w:pPr>
              <w:spacing w:after="0" w:line="240" w:lineRule="auto"/>
              <w:rPr>
                <w:rFonts w:eastAsia="Times New Roman" w:asciiTheme="minorHAnsi" w:hAnsiTheme="minorHAnsi" w:cs="Calibri"/>
                <w:color w:val="000000"/>
                <w:lang w:val="cs-CZ"/>
              </w:rPr>
            </w:pPr>
            <w:r w:rsidRPr="002D51E4">
              <w:t>Přímý FN</w:t>
            </w:r>
          </w:p>
        </w:tc>
      </w:tr>
      <w:tr w14:paraId="46AA1AB5" w14:textId="77777777" w:rsidTr="00FB388C">
        <w:tblPrEx>
          <w:tblW w:w="5000" w:type="pct"/>
          <w:tblLook w:val="04A0"/>
        </w:tblPrEx>
        <w:trPr>
          <w:trHeight w:val="567"/>
        </w:trPr>
        <w:tc>
          <w:tcPr>
            <w:tcW w:w="546" w:type="pct"/>
            <w:vMerge/>
            <w:vAlign w:val="center"/>
          </w:tcPr>
          <w:p w:rsidR="002E6332" w:rsidRPr="00D02A1C" w:rsidP="002E6332" w14:paraId="64EE1500" w14:textId="77777777">
            <w:pPr>
              <w:spacing w:after="0" w:line="240" w:lineRule="auto"/>
              <w:rPr>
                <w:rFonts w:eastAsia="Times New Roman" w:asciiTheme="minorHAnsi" w:hAnsiTheme="minorHAnsi" w:cs="Times New Roman"/>
                <w:color w:val="000000"/>
                <w:lang w:val="cs-CZ"/>
              </w:rPr>
            </w:pPr>
          </w:p>
        </w:tc>
        <w:tc>
          <w:tcPr>
            <w:tcW w:w="867" w:type="pct"/>
            <w:vAlign w:val="center"/>
          </w:tcPr>
          <w:p w:rsidR="002E6332" w:rsidRPr="00D02A1C" w:rsidP="00CE7D5A" w14:paraId="06C5388C" w14:textId="394E1098">
            <w:pPr>
              <w:spacing w:after="0" w:line="240" w:lineRule="auto"/>
              <w:jc w:val="right"/>
              <w:rPr>
                <w:rFonts w:eastAsia="Times New Roman" w:asciiTheme="minorHAnsi" w:hAnsiTheme="minorHAnsi" w:cs="Calibri"/>
                <w:color w:val="262626"/>
                <w:lang w:val="cs-CZ"/>
              </w:rPr>
            </w:pPr>
            <w:r w:rsidRPr="002D51E4">
              <w:t>8,3</w:t>
            </w:r>
            <w:r w:rsidR="00CE7D5A">
              <w:t xml:space="preserve"> mld. Kč</w:t>
            </w:r>
          </w:p>
        </w:tc>
        <w:tc>
          <w:tcPr>
            <w:tcW w:w="1802" w:type="pct"/>
            <w:vAlign w:val="center"/>
          </w:tcPr>
          <w:p w:rsidR="002E6332" w:rsidRPr="00D02A1C" w:rsidP="002E6332" w14:paraId="571711F3" w14:textId="2B77C84D">
            <w:pPr>
              <w:spacing w:after="0" w:line="240" w:lineRule="auto"/>
              <w:rPr>
                <w:rFonts w:eastAsia="Times New Roman" w:asciiTheme="minorHAnsi" w:hAnsiTheme="minorHAnsi" w:cs="Calibri"/>
                <w:color w:val="262626"/>
                <w:lang w:val="cs-CZ"/>
              </w:rPr>
            </w:pPr>
            <w:r w:rsidRPr="002D51E4">
              <w:t>Expanze záruky (podpora MSP)</w:t>
            </w:r>
          </w:p>
        </w:tc>
        <w:tc>
          <w:tcPr>
            <w:tcW w:w="921" w:type="pct"/>
            <w:vAlign w:val="center"/>
          </w:tcPr>
          <w:p w:rsidR="002E6332" w:rsidRPr="00D02A1C" w:rsidP="002E6332" w14:paraId="2B186EDF" w14:textId="2D4C04EB">
            <w:pPr>
              <w:spacing w:after="0" w:line="240" w:lineRule="auto"/>
              <w:rPr>
                <w:rFonts w:eastAsia="Times New Roman" w:asciiTheme="minorHAnsi" w:hAnsiTheme="minorHAnsi" w:cs="Calibri"/>
                <w:color w:val="262626"/>
                <w:lang w:val="cs-CZ"/>
              </w:rPr>
            </w:pPr>
            <w:r w:rsidRPr="002D51E4">
              <w:t>NRB</w:t>
            </w:r>
          </w:p>
        </w:tc>
        <w:tc>
          <w:tcPr>
            <w:tcW w:w="865" w:type="pct"/>
            <w:vAlign w:val="center"/>
          </w:tcPr>
          <w:p w:rsidR="002E6332" w:rsidRPr="00D02A1C" w:rsidP="002E6332" w14:paraId="63622173" w14:textId="58658822">
            <w:pPr>
              <w:spacing w:after="0" w:line="240" w:lineRule="auto"/>
              <w:rPr>
                <w:rFonts w:eastAsia="Times New Roman" w:asciiTheme="minorHAnsi" w:hAnsiTheme="minorHAnsi" w:cs="Calibri"/>
                <w:color w:val="262626"/>
                <w:lang w:val="cs-CZ"/>
              </w:rPr>
            </w:pPr>
            <w:r w:rsidRPr="002D51E4">
              <w:t>Přímý FN</w:t>
            </w:r>
          </w:p>
        </w:tc>
      </w:tr>
      <w:tr w14:paraId="694529E0" w14:textId="77777777" w:rsidTr="00FB388C">
        <w:tblPrEx>
          <w:tblW w:w="5000" w:type="pct"/>
          <w:tblLook w:val="04A0"/>
        </w:tblPrEx>
        <w:trPr>
          <w:trHeight w:val="567"/>
        </w:trPr>
        <w:tc>
          <w:tcPr>
            <w:tcW w:w="546" w:type="pct"/>
            <w:vMerge/>
            <w:vAlign w:val="center"/>
          </w:tcPr>
          <w:p w:rsidR="002E6332" w:rsidRPr="00D02A1C" w:rsidP="002E6332" w14:paraId="06CF7B1B" w14:textId="77777777">
            <w:pPr>
              <w:spacing w:after="0" w:line="240" w:lineRule="auto"/>
              <w:rPr>
                <w:rFonts w:eastAsia="Times New Roman" w:asciiTheme="minorHAnsi" w:hAnsiTheme="minorHAnsi" w:cs="Times New Roman"/>
                <w:color w:val="000000"/>
                <w:lang w:val="cs-CZ"/>
              </w:rPr>
            </w:pPr>
          </w:p>
        </w:tc>
        <w:tc>
          <w:tcPr>
            <w:tcW w:w="867" w:type="pct"/>
            <w:vAlign w:val="center"/>
          </w:tcPr>
          <w:p w:rsidR="002E6332" w:rsidRPr="00D02A1C" w:rsidP="00CE7D5A" w14:paraId="3A76DE96" w14:textId="3B2CA5FB">
            <w:pPr>
              <w:spacing w:after="0" w:line="240" w:lineRule="auto"/>
              <w:jc w:val="right"/>
              <w:rPr>
                <w:rFonts w:eastAsia="Times New Roman" w:asciiTheme="minorHAnsi" w:hAnsiTheme="minorHAnsi" w:cs="Calibri"/>
                <w:color w:val="262626"/>
                <w:lang w:val="cs-CZ"/>
              </w:rPr>
            </w:pPr>
            <w:r w:rsidRPr="002D51E4">
              <w:t>0,1</w:t>
            </w:r>
            <w:r w:rsidR="00CE7D5A">
              <w:t xml:space="preserve"> mld. Kč</w:t>
            </w:r>
          </w:p>
        </w:tc>
        <w:tc>
          <w:tcPr>
            <w:tcW w:w="1802" w:type="pct"/>
            <w:vAlign w:val="center"/>
          </w:tcPr>
          <w:p w:rsidR="002E6332" w:rsidRPr="00D02A1C" w:rsidP="002E6332" w14:paraId="7D45EF8A" w14:textId="6EE72401">
            <w:pPr>
              <w:spacing w:after="0" w:line="240" w:lineRule="auto"/>
              <w:rPr>
                <w:rFonts w:eastAsia="Times New Roman" w:asciiTheme="minorHAnsi" w:hAnsiTheme="minorHAnsi" w:cs="Calibri"/>
                <w:color w:val="262626"/>
                <w:lang w:val="cs-CZ"/>
              </w:rPr>
            </w:pPr>
            <w:r w:rsidRPr="002D51E4">
              <w:t>IPO fond (podpora MSP)</w:t>
            </w:r>
          </w:p>
        </w:tc>
        <w:tc>
          <w:tcPr>
            <w:tcW w:w="921" w:type="pct"/>
            <w:vAlign w:val="center"/>
          </w:tcPr>
          <w:p w:rsidR="002E6332" w:rsidRPr="00D02A1C" w:rsidP="002E6332" w14:paraId="7F03732C" w14:textId="345D3D90">
            <w:pPr>
              <w:spacing w:after="0" w:line="240" w:lineRule="auto"/>
              <w:rPr>
                <w:rFonts w:eastAsia="Times New Roman" w:asciiTheme="minorHAnsi" w:hAnsiTheme="minorHAnsi" w:cs="Calibri"/>
                <w:color w:val="262626"/>
                <w:lang w:val="cs-CZ"/>
              </w:rPr>
            </w:pPr>
            <w:r w:rsidRPr="002D51E4">
              <w:t>NRI</w:t>
            </w:r>
          </w:p>
        </w:tc>
        <w:tc>
          <w:tcPr>
            <w:tcW w:w="865" w:type="pct"/>
            <w:vAlign w:val="center"/>
          </w:tcPr>
          <w:p w:rsidR="002E6332" w:rsidRPr="00D02A1C" w:rsidP="002E6332" w14:paraId="42664A82" w14:textId="780F993F">
            <w:pPr>
              <w:spacing w:after="0" w:line="240" w:lineRule="auto"/>
              <w:rPr>
                <w:rFonts w:eastAsia="Times New Roman" w:asciiTheme="minorHAnsi" w:hAnsiTheme="minorHAnsi" w:cs="Calibri"/>
                <w:color w:val="262626"/>
                <w:lang w:val="cs-CZ"/>
              </w:rPr>
            </w:pPr>
            <w:r w:rsidRPr="002D51E4">
              <w:t>Fond fondů</w:t>
            </w:r>
          </w:p>
        </w:tc>
      </w:tr>
      <w:tr w14:paraId="7F550E55" w14:textId="77777777" w:rsidTr="00FB388C">
        <w:tblPrEx>
          <w:tblW w:w="5000" w:type="pct"/>
          <w:tblLook w:val="04A0"/>
        </w:tblPrEx>
        <w:trPr>
          <w:trHeight w:val="550"/>
        </w:trPr>
        <w:tc>
          <w:tcPr>
            <w:tcW w:w="546" w:type="pct"/>
            <w:vMerge/>
            <w:vAlign w:val="center"/>
          </w:tcPr>
          <w:p w:rsidR="002E6332" w:rsidRPr="00D02A1C" w:rsidP="002E6332" w14:paraId="1D646F9D" w14:textId="77777777">
            <w:pPr>
              <w:spacing w:after="0" w:line="240" w:lineRule="auto"/>
              <w:rPr>
                <w:rFonts w:eastAsia="Times New Roman" w:asciiTheme="minorHAnsi" w:hAnsiTheme="minorHAnsi" w:cs="Times New Roman"/>
                <w:color w:val="000000"/>
                <w:lang w:val="cs-CZ"/>
              </w:rPr>
            </w:pPr>
          </w:p>
        </w:tc>
        <w:tc>
          <w:tcPr>
            <w:tcW w:w="867" w:type="pct"/>
            <w:vAlign w:val="center"/>
          </w:tcPr>
          <w:p w:rsidR="002E6332" w:rsidRPr="00D02A1C" w:rsidP="00CE7D5A" w14:paraId="6218733E" w14:textId="37609EC3">
            <w:pPr>
              <w:spacing w:after="0" w:line="240" w:lineRule="auto"/>
              <w:jc w:val="right"/>
              <w:rPr>
                <w:rFonts w:eastAsia="Times New Roman" w:asciiTheme="minorHAnsi" w:hAnsiTheme="minorHAnsi" w:cs="Calibri"/>
                <w:color w:val="262626"/>
                <w:lang w:val="cs-CZ"/>
              </w:rPr>
            </w:pPr>
            <w:r w:rsidRPr="002D51E4">
              <w:t>1,1</w:t>
            </w:r>
            <w:r w:rsidR="00CE7D5A">
              <w:t xml:space="preserve"> mld. Kč</w:t>
            </w:r>
          </w:p>
        </w:tc>
        <w:tc>
          <w:tcPr>
            <w:tcW w:w="1802" w:type="pct"/>
            <w:vAlign w:val="center"/>
          </w:tcPr>
          <w:p w:rsidR="002E6332" w:rsidRPr="00D02A1C" w:rsidP="002E6332" w14:paraId="5F0A09A2" w14:textId="35769A96">
            <w:pPr>
              <w:spacing w:after="0" w:line="240" w:lineRule="auto"/>
              <w:rPr>
                <w:rFonts w:eastAsia="Times New Roman" w:asciiTheme="minorHAnsi" w:hAnsiTheme="minorHAnsi" w:cs="Calibri"/>
                <w:color w:val="262626"/>
                <w:lang w:val="cs-CZ"/>
              </w:rPr>
            </w:pPr>
            <w:r w:rsidRPr="002D51E4">
              <w:t>Fond Fondů – rizikový kapitál (podpora MSP)</w:t>
            </w:r>
          </w:p>
        </w:tc>
        <w:tc>
          <w:tcPr>
            <w:tcW w:w="921" w:type="pct"/>
            <w:vAlign w:val="center"/>
          </w:tcPr>
          <w:p w:rsidR="002E6332" w:rsidRPr="00D02A1C" w:rsidP="002E6332" w14:paraId="1F206C36" w14:textId="22152CC8">
            <w:pPr>
              <w:spacing w:after="0" w:line="240" w:lineRule="auto"/>
              <w:rPr>
                <w:rFonts w:eastAsia="Times New Roman" w:asciiTheme="minorHAnsi" w:hAnsiTheme="minorHAnsi" w:cs="Calibri"/>
                <w:color w:val="262626"/>
                <w:lang w:val="cs-CZ"/>
              </w:rPr>
            </w:pPr>
            <w:r w:rsidRPr="002D51E4">
              <w:t>EIF</w:t>
            </w:r>
          </w:p>
        </w:tc>
        <w:tc>
          <w:tcPr>
            <w:tcW w:w="865" w:type="pct"/>
            <w:vAlign w:val="center"/>
          </w:tcPr>
          <w:p w:rsidR="002E6332" w:rsidRPr="00D02A1C" w:rsidP="002E6332" w14:paraId="39E41DB9" w14:textId="2163C8A7">
            <w:pPr>
              <w:spacing w:after="0" w:line="240" w:lineRule="auto"/>
              <w:rPr>
                <w:rFonts w:eastAsia="Times New Roman" w:asciiTheme="minorHAnsi" w:hAnsiTheme="minorHAnsi" w:cs="Calibri"/>
                <w:color w:val="262626"/>
                <w:lang w:val="cs-CZ"/>
              </w:rPr>
            </w:pPr>
            <w:r w:rsidRPr="002D51E4">
              <w:t>Fond fondů</w:t>
            </w:r>
          </w:p>
        </w:tc>
      </w:tr>
      <w:tr w14:paraId="3AAC76D2" w14:textId="77777777" w:rsidTr="00FB388C">
        <w:tblPrEx>
          <w:tblW w:w="5000" w:type="pct"/>
          <w:tblLook w:val="04A0"/>
        </w:tblPrEx>
        <w:trPr>
          <w:trHeight w:val="567"/>
        </w:trPr>
        <w:tc>
          <w:tcPr>
            <w:tcW w:w="546" w:type="pct"/>
            <w:vMerge/>
            <w:vAlign w:val="center"/>
          </w:tcPr>
          <w:p w:rsidR="002E6332" w:rsidRPr="00D02A1C" w:rsidP="002E6332" w14:paraId="0C313AB9" w14:textId="77777777">
            <w:pPr>
              <w:spacing w:after="0" w:line="240" w:lineRule="auto"/>
              <w:rPr>
                <w:rFonts w:eastAsia="Times New Roman" w:asciiTheme="minorHAnsi" w:hAnsiTheme="minorHAnsi" w:cs="Times New Roman"/>
                <w:color w:val="000000"/>
                <w:lang w:val="cs-CZ"/>
              </w:rPr>
            </w:pPr>
          </w:p>
        </w:tc>
        <w:tc>
          <w:tcPr>
            <w:tcW w:w="867" w:type="pct"/>
            <w:vAlign w:val="center"/>
          </w:tcPr>
          <w:p w:rsidR="002E6332" w:rsidRPr="00D02A1C" w:rsidP="00CE7D5A" w14:paraId="57A6916A" w14:textId="4527A1B5">
            <w:pPr>
              <w:spacing w:after="0" w:line="240" w:lineRule="auto"/>
              <w:jc w:val="right"/>
              <w:rPr>
                <w:rFonts w:eastAsia="Times New Roman" w:asciiTheme="minorHAnsi" w:hAnsiTheme="minorHAnsi" w:cs="Calibri"/>
                <w:color w:val="262626"/>
                <w:lang w:val="cs-CZ"/>
              </w:rPr>
            </w:pPr>
            <w:r w:rsidRPr="002D51E4">
              <w:t>0,15</w:t>
            </w:r>
            <w:r w:rsidR="00CE7D5A">
              <w:t xml:space="preserve"> mld. Kč</w:t>
            </w:r>
          </w:p>
        </w:tc>
        <w:tc>
          <w:tcPr>
            <w:tcW w:w="1802" w:type="pct"/>
            <w:vAlign w:val="center"/>
          </w:tcPr>
          <w:p w:rsidR="002E6332" w:rsidRPr="00D02A1C" w:rsidP="002E6332" w14:paraId="2C2570EB" w14:textId="2EF22E1E">
            <w:pPr>
              <w:spacing w:after="0" w:line="240" w:lineRule="auto"/>
              <w:rPr>
                <w:rFonts w:eastAsia="Times New Roman" w:asciiTheme="minorHAnsi" w:hAnsiTheme="minorHAnsi" w:cs="Calibri"/>
                <w:color w:val="262626"/>
                <w:lang w:val="cs-CZ"/>
              </w:rPr>
            </w:pPr>
            <w:r w:rsidRPr="002D51E4">
              <w:t>Brownfield fond</w:t>
            </w:r>
          </w:p>
        </w:tc>
        <w:tc>
          <w:tcPr>
            <w:tcW w:w="921" w:type="pct"/>
            <w:vAlign w:val="center"/>
          </w:tcPr>
          <w:p w:rsidR="002E6332" w:rsidRPr="00D02A1C" w:rsidP="002E6332" w14:paraId="33699FF1" w14:textId="1BE00C44">
            <w:pPr>
              <w:spacing w:after="0" w:line="240" w:lineRule="auto"/>
              <w:rPr>
                <w:rFonts w:eastAsia="Times New Roman" w:asciiTheme="minorHAnsi" w:hAnsiTheme="minorHAnsi" w:cs="Calibri"/>
                <w:color w:val="262626"/>
                <w:lang w:val="cs-CZ"/>
              </w:rPr>
            </w:pPr>
            <w:r w:rsidRPr="002D51E4">
              <w:t>NRI</w:t>
            </w:r>
          </w:p>
        </w:tc>
        <w:tc>
          <w:tcPr>
            <w:tcW w:w="865" w:type="pct"/>
            <w:vAlign w:val="center"/>
          </w:tcPr>
          <w:p w:rsidR="002E6332" w:rsidRPr="00D02A1C" w:rsidP="002E6332" w14:paraId="7629BFB5" w14:textId="7D435E99">
            <w:pPr>
              <w:spacing w:after="0" w:line="240" w:lineRule="auto"/>
              <w:rPr>
                <w:rFonts w:eastAsia="Times New Roman" w:asciiTheme="minorHAnsi" w:hAnsiTheme="minorHAnsi" w:cs="Calibri"/>
                <w:color w:val="262626"/>
                <w:lang w:val="cs-CZ"/>
              </w:rPr>
            </w:pPr>
            <w:r w:rsidRPr="002D51E4">
              <w:t>Fond fondů</w:t>
            </w:r>
          </w:p>
        </w:tc>
      </w:tr>
      <w:tr w14:paraId="2BB1FBF1" w14:textId="77777777" w:rsidTr="00FB388C">
        <w:tblPrEx>
          <w:tblW w:w="5000" w:type="pct"/>
          <w:tblLook w:val="04A0"/>
        </w:tblPrEx>
        <w:trPr>
          <w:trHeight w:val="567"/>
        </w:trPr>
        <w:tc>
          <w:tcPr>
            <w:tcW w:w="546" w:type="pct"/>
            <w:vMerge/>
            <w:vAlign w:val="center"/>
          </w:tcPr>
          <w:p w:rsidR="002E6332" w:rsidRPr="00D02A1C" w:rsidP="002E6332" w14:paraId="7D13C1B2" w14:textId="77777777">
            <w:pPr>
              <w:spacing w:after="0" w:line="240" w:lineRule="auto"/>
              <w:rPr>
                <w:rFonts w:eastAsia="Times New Roman" w:asciiTheme="minorHAnsi" w:hAnsiTheme="minorHAnsi" w:cs="Times New Roman"/>
                <w:color w:val="000000"/>
                <w:lang w:val="cs-CZ"/>
              </w:rPr>
            </w:pPr>
          </w:p>
        </w:tc>
        <w:tc>
          <w:tcPr>
            <w:tcW w:w="867" w:type="pct"/>
            <w:vAlign w:val="center"/>
          </w:tcPr>
          <w:p w:rsidR="002E6332" w:rsidRPr="00D02A1C" w:rsidP="00CE7D5A" w14:paraId="2319B2AD" w14:textId="42CCD8C1">
            <w:pPr>
              <w:spacing w:after="0" w:line="240" w:lineRule="auto"/>
              <w:jc w:val="right"/>
              <w:rPr>
                <w:rFonts w:eastAsia="Times New Roman" w:asciiTheme="minorHAnsi" w:hAnsiTheme="minorHAnsi" w:cs="Calibri"/>
                <w:color w:val="262626"/>
                <w:lang w:val="cs-CZ"/>
              </w:rPr>
            </w:pPr>
            <w:r w:rsidRPr="002D51E4">
              <w:t>0,71</w:t>
            </w:r>
            <w:r w:rsidR="00CE7D5A">
              <w:t xml:space="preserve"> mld. Kč</w:t>
            </w:r>
          </w:p>
        </w:tc>
        <w:tc>
          <w:tcPr>
            <w:tcW w:w="1802" w:type="pct"/>
            <w:vAlign w:val="center"/>
          </w:tcPr>
          <w:p w:rsidR="002E6332" w:rsidRPr="00D02A1C" w:rsidP="002E6332" w14:paraId="2BE85DCE" w14:textId="31E394C0">
            <w:pPr>
              <w:spacing w:after="0" w:line="240" w:lineRule="auto"/>
              <w:rPr>
                <w:rFonts w:eastAsia="Times New Roman" w:asciiTheme="minorHAnsi" w:hAnsiTheme="minorHAnsi" w:cs="Calibri"/>
                <w:color w:val="262626"/>
                <w:lang w:val="cs-CZ"/>
              </w:rPr>
            </w:pPr>
            <w:r w:rsidRPr="002D51E4">
              <w:t xml:space="preserve">Úspory </w:t>
            </w:r>
            <w:r w:rsidRPr="002D51E4" w:rsidR="00CE7D5A">
              <w:t>energií – úvěry</w:t>
            </w:r>
          </w:p>
        </w:tc>
        <w:tc>
          <w:tcPr>
            <w:tcW w:w="921" w:type="pct"/>
            <w:vAlign w:val="center"/>
          </w:tcPr>
          <w:p w:rsidR="002E6332" w:rsidRPr="00D02A1C" w:rsidP="002E6332" w14:paraId="0C638234" w14:textId="1B929ED3">
            <w:pPr>
              <w:spacing w:after="0" w:line="240" w:lineRule="auto"/>
              <w:rPr>
                <w:rFonts w:eastAsia="Times New Roman" w:asciiTheme="minorHAnsi" w:hAnsiTheme="minorHAnsi" w:cs="Calibri"/>
                <w:color w:val="262626"/>
                <w:lang w:val="cs-CZ"/>
              </w:rPr>
            </w:pPr>
            <w:r w:rsidRPr="002D51E4">
              <w:t>NRB</w:t>
            </w:r>
          </w:p>
        </w:tc>
        <w:tc>
          <w:tcPr>
            <w:tcW w:w="865" w:type="pct"/>
            <w:vAlign w:val="center"/>
          </w:tcPr>
          <w:p w:rsidR="002E6332" w:rsidRPr="00D02A1C" w:rsidP="002E6332" w14:paraId="6086BA9D" w14:textId="62E3C611">
            <w:pPr>
              <w:spacing w:after="0" w:line="240" w:lineRule="auto"/>
              <w:rPr>
                <w:rFonts w:eastAsia="Times New Roman" w:asciiTheme="minorHAnsi" w:hAnsiTheme="minorHAnsi" w:cs="Calibri"/>
                <w:color w:val="262626"/>
                <w:lang w:val="cs-CZ"/>
              </w:rPr>
            </w:pPr>
            <w:r w:rsidRPr="002D51E4">
              <w:t>Přímý FN</w:t>
            </w:r>
          </w:p>
        </w:tc>
      </w:tr>
      <w:tr w14:paraId="23E4F57A" w14:textId="77777777" w:rsidTr="00FB388C">
        <w:tblPrEx>
          <w:tblW w:w="5000" w:type="pct"/>
          <w:tblLook w:val="04A0"/>
        </w:tblPrEx>
        <w:trPr>
          <w:trHeight w:val="567"/>
        </w:trPr>
        <w:tc>
          <w:tcPr>
            <w:tcW w:w="546" w:type="pct"/>
            <w:vAlign w:val="center"/>
          </w:tcPr>
          <w:p w:rsidR="002E6332" w:rsidRPr="00D02A1C" w:rsidP="002E6332" w14:paraId="661B1D65" w14:textId="4900ED4B">
            <w:pPr>
              <w:spacing w:after="0" w:line="240" w:lineRule="auto"/>
              <w:rPr>
                <w:rFonts w:eastAsia="Times New Roman" w:asciiTheme="minorHAnsi" w:hAnsiTheme="minorHAnsi" w:cs="Calibri"/>
                <w:color w:val="000000"/>
                <w:lang w:val="cs-CZ"/>
              </w:rPr>
            </w:pPr>
            <w:r>
              <w:rPr>
                <w:rFonts w:eastAsia="Times New Roman" w:asciiTheme="minorHAnsi" w:hAnsiTheme="minorHAnsi" w:cs="Calibri"/>
                <w:color w:val="000000"/>
                <w:lang w:val="cs-CZ"/>
              </w:rPr>
              <w:t>OP ŽP</w:t>
            </w:r>
          </w:p>
        </w:tc>
        <w:tc>
          <w:tcPr>
            <w:tcW w:w="867" w:type="pct"/>
            <w:vAlign w:val="center"/>
          </w:tcPr>
          <w:p w:rsidR="002E6332" w:rsidRPr="00D02A1C" w:rsidP="00CE7D5A" w14:paraId="7417E282" w14:textId="3684B430">
            <w:pPr>
              <w:spacing w:after="0" w:line="240" w:lineRule="auto"/>
              <w:jc w:val="right"/>
              <w:rPr>
                <w:rFonts w:eastAsia="Times New Roman" w:asciiTheme="minorHAnsi" w:hAnsiTheme="minorHAnsi" w:cs="Calibri"/>
                <w:color w:val="000000"/>
                <w:lang w:val="cs-CZ"/>
              </w:rPr>
            </w:pPr>
            <w:r w:rsidRPr="002D51E4">
              <w:t>0,37</w:t>
            </w:r>
            <w:r w:rsidR="00CE7D5A">
              <w:t xml:space="preserve"> mld. Kč</w:t>
            </w:r>
          </w:p>
        </w:tc>
        <w:tc>
          <w:tcPr>
            <w:tcW w:w="1802" w:type="pct"/>
            <w:vAlign w:val="center"/>
          </w:tcPr>
          <w:p w:rsidR="002E6332" w:rsidRPr="00D02A1C" w:rsidP="002E6332" w14:paraId="53598338" w14:textId="73C4EB8F">
            <w:pPr>
              <w:spacing w:after="0" w:line="240" w:lineRule="auto"/>
              <w:rPr>
                <w:rFonts w:eastAsia="Times New Roman" w:asciiTheme="minorHAnsi" w:hAnsiTheme="minorHAnsi" w:cs="Calibri"/>
                <w:color w:val="000000"/>
                <w:lang w:val="cs-CZ"/>
              </w:rPr>
            </w:pPr>
            <w:r w:rsidRPr="002D51E4">
              <w:t xml:space="preserve">Řízení </w:t>
            </w:r>
            <w:r w:rsidRPr="002D51E4">
              <w:t>environ</w:t>
            </w:r>
            <w:r w:rsidRPr="002D51E4">
              <w:t xml:space="preserve">. </w:t>
            </w:r>
            <w:r w:rsidRPr="002D51E4" w:rsidR="00CE7D5A">
              <w:t>rizik – úvěry</w:t>
            </w:r>
          </w:p>
        </w:tc>
        <w:tc>
          <w:tcPr>
            <w:tcW w:w="921" w:type="pct"/>
            <w:vAlign w:val="center"/>
          </w:tcPr>
          <w:p w:rsidR="002E6332" w:rsidRPr="00D02A1C" w:rsidP="002E6332" w14:paraId="2C0BEE0F" w14:textId="1F8FDE65">
            <w:pPr>
              <w:spacing w:after="0" w:line="240" w:lineRule="auto"/>
              <w:rPr>
                <w:rFonts w:eastAsia="Times New Roman" w:asciiTheme="minorHAnsi" w:hAnsiTheme="minorHAnsi" w:cs="Calibri"/>
                <w:color w:val="000000"/>
                <w:lang w:val="cs-CZ"/>
              </w:rPr>
            </w:pPr>
            <w:r w:rsidRPr="002D51E4">
              <w:t>SFŽP</w:t>
            </w:r>
          </w:p>
        </w:tc>
        <w:tc>
          <w:tcPr>
            <w:tcW w:w="865" w:type="pct"/>
            <w:vAlign w:val="center"/>
          </w:tcPr>
          <w:p w:rsidR="002E6332" w:rsidRPr="00D02A1C" w:rsidP="002E6332" w14:paraId="60B892CF" w14:textId="6D539185">
            <w:pPr>
              <w:spacing w:after="0" w:line="240" w:lineRule="auto"/>
              <w:rPr>
                <w:rFonts w:eastAsia="Times New Roman" w:asciiTheme="minorHAnsi" w:hAnsiTheme="minorHAnsi" w:cs="Calibri"/>
                <w:color w:val="000000"/>
                <w:lang w:val="cs-CZ"/>
              </w:rPr>
            </w:pPr>
            <w:r w:rsidRPr="002D51E4">
              <w:t>Přímý FN</w:t>
            </w:r>
          </w:p>
        </w:tc>
      </w:tr>
      <w:tr w14:paraId="2344F358" w14:textId="77777777" w:rsidTr="00FB388C">
        <w:tblPrEx>
          <w:tblW w:w="5000" w:type="pct"/>
          <w:tblLook w:val="04A0"/>
        </w:tblPrEx>
        <w:trPr>
          <w:trHeight w:val="567"/>
        </w:trPr>
        <w:tc>
          <w:tcPr>
            <w:tcW w:w="546" w:type="pct"/>
            <w:vAlign w:val="center"/>
          </w:tcPr>
          <w:p w:rsidR="002E6332" w:rsidP="002E6332" w14:paraId="1E00E8C2" w14:textId="3B9B3E9C">
            <w:pPr>
              <w:spacing w:after="0" w:line="240" w:lineRule="auto"/>
              <w:rPr>
                <w:rFonts w:eastAsia="Times New Roman" w:asciiTheme="minorHAnsi" w:hAnsiTheme="minorHAnsi" w:cs="Calibri"/>
                <w:color w:val="000000"/>
                <w:lang w:val="cs-CZ"/>
              </w:rPr>
            </w:pPr>
            <w:r>
              <w:rPr>
                <w:rFonts w:eastAsia="Times New Roman" w:asciiTheme="minorHAnsi" w:hAnsiTheme="minorHAnsi" w:cs="Calibri"/>
                <w:color w:val="000000"/>
                <w:lang w:val="cs-CZ"/>
              </w:rPr>
              <w:t>OP Z</w:t>
            </w:r>
          </w:p>
        </w:tc>
        <w:tc>
          <w:tcPr>
            <w:tcW w:w="867" w:type="pct"/>
            <w:vAlign w:val="center"/>
          </w:tcPr>
          <w:p w:rsidR="002E6332" w:rsidRPr="00D02A1C" w:rsidP="00CE7D5A" w14:paraId="23EE1047" w14:textId="5D10D4BE">
            <w:pPr>
              <w:spacing w:after="0" w:line="240" w:lineRule="auto"/>
              <w:jc w:val="right"/>
              <w:rPr>
                <w:rFonts w:eastAsia="Times New Roman" w:asciiTheme="minorHAnsi" w:hAnsiTheme="minorHAnsi" w:cs="Calibri"/>
                <w:color w:val="000000"/>
                <w:lang w:val="cs-CZ"/>
              </w:rPr>
            </w:pPr>
            <w:r w:rsidRPr="002D51E4">
              <w:t>0,4</w:t>
            </w:r>
            <w:r w:rsidR="00CE7D5A">
              <w:t xml:space="preserve"> mld. Kč</w:t>
            </w:r>
          </w:p>
        </w:tc>
        <w:tc>
          <w:tcPr>
            <w:tcW w:w="1802" w:type="pct"/>
            <w:vAlign w:val="center"/>
          </w:tcPr>
          <w:p w:rsidR="002E6332" w:rsidRPr="00D02A1C" w:rsidP="002E6332" w14:paraId="7EF3374D" w14:textId="2D5EB3AE">
            <w:pPr>
              <w:spacing w:after="0" w:line="240" w:lineRule="auto"/>
              <w:rPr>
                <w:rFonts w:eastAsia="Times New Roman" w:asciiTheme="minorHAnsi" w:hAnsiTheme="minorHAnsi" w:cs="Calibri"/>
                <w:color w:val="000000"/>
                <w:lang w:val="cs-CZ"/>
              </w:rPr>
            </w:pPr>
            <w:r w:rsidRPr="002D51E4">
              <w:t>Sociá</w:t>
            </w:r>
            <w:r w:rsidR="00BA16F8">
              <w:t>l</w:t>
            </w:r>
            <w:r w:rsidRPr="002D51E4">
              <w:t xml:space="preserve">ní </w:t>
            </w:r>
            <w:r w:rsidRPr="002D51E4" w:rsidR="00CE7D5A">
              <w:t>podnik – úvěry</w:t>
            </w:r>
          </w:p>
        </w:tc>
        <w:tc>
          <w:tcPr>
            <w:tcW w:w="921" w:type="pct"/>
            <w:vAlign w:val="center"/>
          </w:tcPr>
          <w:p w:rsidR="002E6332" w:rsidRPr="00D02A1C" w:rsidP="002E6332" w14:paraId="539D7810" w14:textId="39396A1A">
            <w:pPr>
              <w:spacing w:after="0" w:line="240" w:lineRule="auto"/>
              <w:rPr>
                <w:rFonts w:eastAsia="Times New Roman" w:asciiTheme="minorHAnsi" w:hAnsiTheme="minorHAnsi" w:cs="Calibri"/>
                <w:color w:val="000000"/>
                <w:lang w:val="cs-CZ"/>
              </w:rPr>
            </w:pPr>
            <w:r w:rsidRPr="002D51E4">
              <w:t>NRB</w:t>
            </w:r>
          </w:p>
        </w:tc>
        <w:tc>
          <w:tcPr>
            <w:tcW w:w="865" w:type="pct"/>
            <w:vAlign w:val="center"/>
          </w:tcPr>
          <w:p w:rsidR="002E6332" w:rsidRPr="00D02A1C" w:rsidP="002E6332" w14:paraId="5B13D7A6" w14:textId="6AA828DB">
            <w:pPr>
              <w:spacing w:after="0" w:line="240" w:lineRule="auto"/>
              <w:rPr>
                <w:rFonts w:eastAsia="Times New Roman" w:asciiTheme="minorHAnsi" w:hAnsiTheme="minorHAnsi" w:cs="Calibri"/>
                <w:color w:val="000000"/>
                <w:lang w:val="cs-CZ"/>
              </w:rPr>
            </w:pPr>
            <w:r w:rsidRPr="002D51E4">
              <w:t>Přímý FN</w:t>
            </w:r>
          </w:p>
        </w:tc>
      </w:tr>
      <w:tr w14:paraId="2C58C628" w14:textId="77777777" w:rsidTr="00FB388C">
        <w:tblPrEx>
          <w:tblW w:w="5000" w:type="pct"/>
          <w:tblLook w:val="04A0"/>
        </w:tblPrEx>
        <w:trPr>
          <w:trHeight w:val="567"/>
        </w:trPr>
        <w:tc>
          <w:tcPr>
            <w:tcW w:w="546" w:type="pct"/>
            <w:vMerge w:val="restart"/>
            <w:vAlign w:val="center"/>
          </w:tcPr>
          <w:p w:rsidR="002E6332" w:rsidRPr="00D02A1C" w:rsidP="002E6332" w14:paraId="21AA20D7" w14:textId="646438C5">
            <w:pPr>
              <w:spacing w:after="0" w:line="240" w:lineRule="auto"/>
              <w:rPr>
                <w:rFonts w:eastAsia="Times New Roman" w:asciiTheme="minorHAnsi" w:hAnsiTheme="minorHAnsi" w:cs="Calibri"/>
                <w:color w:val="000000"/>
                <w:lang w:val="cs-CZ"/>
              </w:rPr>
            </w:pPr>
            <w:r>
              <w:rPr>
                <w:rFonts w:eastAsia="Times New Roman" w:asciiTheme="minorHAnsi" w:hAnsiTheme="minorHAnsi" w:cs="Calibri"/>
                <w:color w:val="000000"/>
                <w:lang w:val="cs-CZ"/>
              </w:rPr>
              <w:t>OP PPR</w:t>
            </w:r>
          </w:p>
        </w:tc>
        <w:tc>
          <w:tcPr>
            <w:tcW w:w="867" w:type="pct"/>
            <w:vAlign w:val="center"/>
          </w:tcPr>
          <w:p w:rsidR="002E6332" w:rsidRPr="00D02A1C" w:rsidP="00CE7D5A" w14:paraId="6A853D1D" w14:textId="08C4F4C2">
            <w:pPr>
              <w:spacing w:after="0" w:line="240" w:lineRule="auto"/>
              <w:jc w:val="right"/>
              <w:rPr>
                <w:rFonts w:eastAsia="Times New Roman" w:asciiTheme="minorHAnsi" w:hAnsiTheme="minorHAnsi" w:cs="Calibri"/>
                <w:color w:val="000000"/>
                <w:lang w:val="cs-CZ"/>
              </w:rPr>
            </w:pPr>
            <w:r w:rsidRPr="002D51E4">
              <w:t>0,021</w:t>
            </w:r>
            <w:r w:rsidR="00CE7D5A">
              <w:t xml:space="preserve"> mld. Kč</w:t>
            </w:r>
          </w:p>
        </w:tc>
        <w:tc>
          <w:tcPr>
            <w:tcW w:w="1802" w:type="pct"/>
            <w:vAlign w:val="center"/>
          </w:tcPr>
          <w:p w:rsidR="002E6332" w:rsidRPr="00D02A1C" w:rsidP="002E6332" w14:paraId="14866DBC" w14:textId="42C41225">
            <w:pPr>
              <w:spacing w:after="0" w:line="240" w:lineRule="auto"/>
              <w:rPr>
                <w:rFonts w:eastAsia="Times New Roman" w:asciiTheme="minorHAnsi" w:hAnsiTheme="minorHAnsi" w:cs="Calibri"/>
                <w:color w:val="000000"/>
                <w:lang w:val="cs-CZ"/>
              </w:rPr>
            </w:pPr>
            <w:r w:rsidRPr="002D51E4">
              <w:t xml:space="preserve">FN </w:t>
            </w:r>
            <w:r w:rsidRPr="002D51E4" w:rsidR="00CE7D5A">
              <w:t>Infin</w:t>
            </w:r>
            <w:r w:rsidRPr="002D51E4" w:rsidR="00CE7D5A">
              <w:t xml:space="preserve"> – úvěry</w:t>
            </w:r>
            <w:r w:rsidRPr="002D51E4">
              <w:t xml:space="preserve"> (podpora MSP)</w:t>
            </w:r>
          </w:p>
        </w:tc>
        <w:tc>
          <w:tcPr>
            <w:tcW w:w="921" w:type="pct"/>
            <w:vAlign w:val="center"/>
          </w:tcPr>
          <w:p w:rsidR="002E6332" w:rsidRPr="00D02A1C" w:rsidP="002E6332" w14:paraId="042C83DE" w14:textId="667467EC">
            <w:pPr>
              <w:spacing w:after="0" w:line="240" w:lineRule="auto"/>
              <w:rPr>
                <w:rFonts w:eastAsia="Times New Roman" w:asciiTheme="minorHAnsi" w:hAnsiTheme="minorHAnsi" w:cs="Calibri"/>
                <w:color w:val="000000"/>
                <w:lang w:val="cs-CZ"/>
              </w:rPr>
            </w:pPr>
            <w:r w:rsidRPr="002D51E4">
              <w:t>NRB</w:t>
            </w:r>
          </w:p>
        </w:tc>
        <w:tc>
          <w:tcPr>
            <w:tcW w:w="865" w:type="pct"/>
            <w:vAlign w:val="center"/>
          </w:tcPr>
          <w:p w:rsidR="002E6332" w:rsidRPr="00D02A1C" w:rsidP="002E6332" w14:paraId="3ACB8276" w14:textId="1AC3B802">
            <w:pPr>
              <w:spacing w:after="0" w:line="240" w:lineRule="auto"/>
              <w:rPr>
                <w:rFonts w:eastAsia="Times New Roman" w:asciiTheme="minorHAnsi" w:hAnsiTheme="minorHAnsi" w:cs="Calibri"/>
                <w:color w:val="000000"/>
                <w:lang w:val="cs-CZ"/>
              </w:rPr>
            </w:pPr>
            <w:r w:rsidRPr="002D51E4">
              <w:t>Přímý FN</w:t>
            </w:r>
          </w:p>
        </w:tc>
      </w:tr>
      <w:tr w14:paraId="359F13B8" w14:textId="77777777" w:rsidTr="00FB388C">
        <w:tblPrEx>
          <w:tblW w:w="5000" w:type="pct"/>
          <w:tblLook w:val="04A0"/>
        </w:tblPrEx>
        <w:trPr>
          <w:trHeight w:val="567"/>
        </w:trPr>
        <w:tc>
          <w:tcPr>
            <w:tcW w:w="546" w:type="pct"/>
            <w:vMerge/>
            <w:vAlign w:val="center"/>
          </w:tcPr>
          <w:p w:rsidR="002E6332" w:rsidRPr="00D02A1C" w:rsidP="002E6332" w14:paraId="64B6A57A" w14:textId="77777777">
            <w:pPr>
              <w:spacing w:after="0" w:line="240" w:lineRule="auto"/>
              <w:rPr>
                <w:rFonts w:eastAsia="Times New Roman" w:asciiTheme="minorHAnsi" w:hAnsiTheme="minorHAnsi" w:cs="Calibri"/>
                <w:color w:val="000000"/>
                <w:lang w:val="cs-CZ"/>
              </w:rPr>
            </w:pPr>
          </w:p>
        </w:tc>
        <w:tc>
          <w:tcPr>
            <w:tcW w:w="867" w:type="pct"/>
            <w:vAlign w:val="center"/>
          </w:tcPr>
          <w:p w:rsidR="002E6332" w:rsidRPr="00D02A1C" w:rsidP="00CE7D5A" w14:paraId="1AEBDA77" w14:textId="520089C5">
            <w:pPr>
              <w:spacing w:after="0" w:line="240" w:lineRule="auto"/>
              <w:jc w:val="right"/>
              <w:rPr>
                <w:rFonts w:eastAsia="Times New Roman" w:asciiTheme="minorHAnsi" w:hAnsiTheme="minorHAnsi" w:cs="Calibri"/>
                <w:color w:val="000000"/>
                <w:lang w:val="cs-CZ"/>
              </w:rPr>
            </w:pPr>
            <w:r w:rsidRPr="002D51E4">
              <w:t>0,61</w:t>
            </w:r>
            <w:r w:rsidR="00CE7D5A">
              <w:t xml:space="preserve"> mld. Kč</w:t>
            </w:r>
          </w:p>
        </w:tc>
        <w:tc>
          <w:tcPr>
            <w:tcW w:w="1802" w:type="pct"/>
            <w:vAlign w:val="center"/>
          </w:tcPr>
          <w:p w:rsidR="002E6332" w:rsidRPr="00D02A1C" w:rsidP="002E6332" w14:paraId="6528CA70" w14:textId="14E99E3D">
            <w:pPr>
              <w:spacing w:after="0" w:line="240" w:lineRule="auto"/>
              <w:rPr>
                <w:rFonts w:eastAsia="Times New Roman" w:asciiTheme="minorHAnsi" w:hAnsiTheme="minorHAnsi" w:cs="Calibri"/>
                <w:color w:val="000000"/>
                <w:lang w:val="cs-CZ"/>
              </w:rPr>
            </w:pPr>
            <w:r w:rsidRPr="002D51E4">
              <w:t xml:space="preserve">Covid </w:t>
            </w:r>
            <w:r w:rsidRPr="002D51E4" w:rsidR="00CE7D5A">
              <w:t>Praha – záruky</w:t>
            </w:r>
            <w:r w:rsidRPr="002D51E4">
              <w:t xml:space="preserve"> (podpora MSP)</w:t>
            </w:r>
          </w:p>
        </w:tc>
        <w:tc>
          <w:tcPr>
            <w:tcW w:w="921" w:type="pct"/>
            <w:vAlign w:val="center"/>
          </w:tcPr>
          <w:p w:rsidR="002E6332" w:rsidRPr="00D02A1C" w:rsidP="002E6332" w14:paraId="68EB2844" w14:textId="2D8223BC">
            <w:pPr>
              <w:spacing w:after="0" w:line="240" w:lineRule="auto"/>
              <w:rPr>
                <w:rFonts w:eastAsia="Times New Roman" w:asciiTheme="minorHAnsi" w:hAnsiTheme="minorHAnsi" w:cs="Calibri"/>
                <w:color w:val="000000"/>
                <w:lang w:val="cs-CZ"/>
              </w:rPr>
            </w:pPr>
            <w:r w:rsidRPr="002D51E4">
              <w:t>NRB</w:t>
            </w:r>
          </w:p>
        </w:tc>
        <w:tc>
          <w:tcPr>
            <w:tcW w:w="865" w:type="pct"/>
            <w:vAlign w:val="center"/>
          </w:tcPr>
          <w:p w:rsidR="002E6332" w:rsidRPr="00D02A1C" w:rsidP="002E6332" w14:paraId="2074A307" w14:textId="74A1B843">
            <w:pPr>
              <w:spacing w:after="0" w:line="240" w:lineRule="auto"/>
              <w:rPr>
                <w:rFonts w:eastAsia="Times New Roman" w:asciiTheme="minorHAnsi" w:hAnsiTheme="minorHAnsi" w:cs="Calibri"/>
                <w:color w:val="000000"/>
                <w:lang w:val="cs-CZ"/>
              </w:rPr>
            </w:pPr>
            <w:r w:rsidRPr="002D51E4">
              <w:t>Přímý FN</w:t>
            </w:r>
          </w:p>
        </w:tc>
      </w:tr>
      <w:tr w14:paraId="08F5098D" w14:textId="77777777" w:rsidTr="00FB388C">
        <w:tblPrEx>
          <w:tblW w:w="5000" w:type="pct"/>
          <w:tblLook w:val="04A0"/>
        </w:tblPrEx>
        <w:trPr>
          <w:trHeight w:val="567"/>
        </w:trPr>
        <w:tc>
          <w:tcPr>
            <w:tcW w:w="546" w:type="pct"/>
            <w:vAlign w:val="center"/>
          </w:tcPr>
          <w:p w:rsidR="002E6332" w:rsidRPr="00D02A1C" w:rsidP="002E6332" w14:paraId="7F084728" w14:textId="1E037877">
            <w:pPr>
              <w:spacing w:after="0" w:line="240" w:lineRule="auto"/>
              <w:rPr>
                <w:rFonts w:eastAsia="Calibri" w:asciiTheme="minorHAnsi" w:hAnsiTheme="minorHAnsi" w:cs="Calibri"/>
                <w:color w:val="000000"/>
                <w:lang w:val="cs-CZ"/>
              </w:rPr>
            </w:pPr>
            <w:r>
              <w:rPr>
                <w:rFonts w:eastAsia="Calibri" w:asciiTheme="minorHAnsi" w:hAnsiTheme="minorHAnsi" w:cs="Calibri"/>
                <w:color w:val="000000"/>
                <w:lang w:val="cs-CZ"/>
              </w:rPr>
              <w:t>IROP</w:t>
            </w:r>
          </w:p>
        </w:tc>
        <w:tc>
          <w:tcPr>
            <w:tcW w:w="867" w:type="pct"/>
            <w:vAlign w:val="center"/>
          </w:tcPr>
          <w:p w:rsidR="002E6332" w:rsidRPr="00D02A1C" w:rsidP="00CE7D5A" w14:paraId="165D5B15" w14:textId="45EC2886">
            <w:pPr>
              <w:spacing w:after="0" w:line="240" w:lineRule="auto"/>
              <w:jc w:val="right"/>
              <w:rPr>
                <w:rFonts w:eastAsia="Times New Roman" w:asciiTheme="minorHAnsi" w:hAnsiTheme="minorHAnsi" w:cs="Calibri"/>
                <w:color w:val="000000"/>
                <w:lang w:val="cs-CZ"/>
              </w:rPr>
            </w:pPr>
            <w:r w:rsidRPr="002D51E4">
              <w:t>1</w:t>
            </w:r>
            <w:r w:rsidR="00CE7D5A">
              <w:t xml:space="preserve"> mld. Kč</w:t>
            </w:r>
          </w:p>
        </w:tc>
        <w:tc>
          <w:tcPr>
            <w:tcW w:w="1802" w:type="pct"/>
            <w:vAlign w:val="center"/>
          </w:tcPr>
          <w:p w:rsidR="002E6332" w:rsidRPr="00D02A1C" w:rsidP="002E6332" w14:paraId="167BF8E4" w14:textId="3395E03B">
            <w:pPr>
              <w:spacing w:after="0" w:line="240" w:lineRule="auto"/>
              <w:rPr>
                <w:rFonts w:eastAsia="Times New Roman" w:asciiTheme="minorHAnsi" w:hAnsiTheme="minorHAnsi" w:cs="Calibri"/>
                <w:color w:val="000000"/>
                <w:lang w:val="cs-CZ"/>
              </w:rPr>
            </w:pPr>
            <w:r w:rsidRPr="002D51E4">
              <w:t>Zateplování – úvěry</w:t>
            </w:r>
          </w:p>
        </w:tc>
        <w:tc>
          <w:tcPr>
            <w:tcW w:w="921" w:type="pct"/>
            <w:vAlign w:val="center"/>
          </w:tcPr>
          <w:p w:rsidR="002E6332" w:rsidRPr="00D02A1C" w:rsidP="002E6332" w14:paraId="2D080883" w14:textId="2A94C80D">
            <w:pPr>
              <w:spacing w:after="0" w:line="240" w:lineRule="auto"/>
              <w:rPr>
                <w:rFonts w:eastAsia="Times New Roman" w:asciiTheme="minorHAnsi" w:hAnsiTheme="minorHAnsi" w:cs="Calibri"/>
                <w:color w:val="000000"/>
                <w:lang w:val="cs-CZ"/>
              </w:rPr>
            </w:pPr>
            <w:r w:rsidRPr="002D51E4">
              <w:t>SFPI</w:t>
            </w:r>
          </w:p>
        </w:tc>
        <w:tc>
          <w:tcPr>
            <w:tcW w:w="865" w:type="pct"/>
            <w:vAlign w:val="center"/>
          </w:tcPr>
          <w:p w:rsidR="002E6332" w:rsidRPr="00D02A1C" w:rsidP="002E6332" w14:paraId="283B6095" w14:textId="28CB680D">
            <w:pPr>
              <w:spacing w:after="0" w:line="240" w:lineRule="auto"/>
              <w:rPr>
                <w:rFonts w:eastAsia="Times New Roman" w:asciiTheme="minorHAnsi" w:hAnsiTheme="minorHAnsi" w:cs="Calibri"/>
                <w:color w:val="000000"/>
                <w:lang w:val="cs-CZ"/>
              </w:rPr>
            </w:pPr>
            <w:r w:rsidRPr="002D51E4">
              <w:t>Přímý FN</w:t>
            </w:r>
          </w:p>
        </w:tc>
      </w:tr>
      <w:tr w14:paraId="5F899E06" w14:textId="77777777" w:rsidTr="004A460C">
        <w:tblPrEx>
          <w:tblW w:w="5000" w:type="pct"/>
          <w:tblLook w:val="04A0"/>
        </w:tblPrEx>
        <w:trPr>
          <w:trHeight w:val="567"/>
        </w:trPr>
        <w:tc>
          <w:tcPr>
            <w:tcW w:w="5000" w:type="pct"/>
            <w:gridSpan w:val="5"/>
            <w:shd w:val="clear" w:color="auto" w:fill="F2F2F2" w:themeFill="background1" w:themeFillShade="F2"/>
            <w:vAlign w:val="center"/>
          </w:tcPr>
          <w:p w:rsidR="004A460C" w:rsidRPr="00D02A1C" w:rsidP="00663CC0" w14:paraId="0B29D97F" w14:textId="011B7D1F">
            <w:pPr>
              <w:spacing w:after="0" w:line="240" w:lineRule="auto"/>
              <w:rPr>
                <w:rFonts w:eastAsia="Times New Roman" w:asciiTheme="minorHAnsi" w:hAnsiTheme="minorHAnsi" w:cs="Calibri"/>
                <w:b/>
                <w:bCs/>
                <w:color w:val="034EA2"/>
                <w:lang w:val="cs-CZ"/>
              </w:rPr>
            </w:pPr>
            <w:r w:rsidRPr="00D02A1C">
              <w:rPr>
                <w:rFonts w:eastAsia="Calibri" w:asciiTheme="minorHAnsi" w:hAnsiTheme="minorHAnsi" w:cs="Calibri"/>
                <w:b/>
                <w:bCs/>
                <w:color w:val="034EA2"/>
                <w:lang w:val="cs-CZ"/>
              </w:rPr>
              <w:t>Celková alokace</w:t>
            </w:r>
            <w:r w:rsidRPr="00D02A1C">
              <w:rPr>
                <w:rFonts w:eastAsia="Calibri" w:asciiTheme="minorHAnsi" w:hAnsiTheme="minorHAnsi" w:cs="Calibri"/>
                <w:b/>
                <w:color w:val="034EA2"/>
                <w:lang w:val="cs-CZ"/>
              </w:rPr>
              <w:t xml:space="preserve"> </w:t>
            </w:r>
            <w:r w:rsidRPr="00D02A1C">
              <w:rPr>
                <w:rFonts w:eastAsia="Times New Roman" w:asciiTheme="minorHAnsi" w:hAnsiTheme="minorHAnsi" w:cs="Calibri"/>
                <w:b/>
                <w:bCs/>
                <w:color w:val="034EA2"/>
                <w:lang w:val="cs-CZ"/>
              </w:rPr>
              <w:t>cca 23</w:t>
            </w:r>
            <w:r>
              <w:rPr>
                <w:rFonts w:eastAsia="Times New Roman" w:asciiTheme="minorHAnsi" w:hAnsiTheme="minorHAnsi" w:cs="Calibri"/>
                <w:b/>
                <w:bCs/>
                <w:color w:val="034EA2"/>
                <w:lang w:val="cs-CZ"/>
              </w:rPr>
              <w:t>,3</w:t>
            </w:r>
            <w:r w:rsidRPr="00D02A1C">
              <w:rPr>
                <w:rFonts w:eastAsia="Times New Roman" w:asciiTheme="minorHAnsi" w:hAnsiTheme="minorHAnsi" w:cs="Calibri"/>
                <w:b/>
                <w:bCs/>
                <w:color w:val="034EA2"/>
                <w:lang w:val="cs-CZ"/>
              </w:rPr>
              <w:t xml:space="preserve"> mld. Kč</w:t>
            </w:r>
          </w:p>
        </w:tc>
      </w:tr>
    </w:tbl>
    <w:p w:rsidR="00473FBE" w:rsidRPr="000F2C87" w:rsidP="00C24D1B" w14:paraId="687AA294" w14:textId="56945C8D">
      <w:pPr>
        <w:spacing w:before="240" w:after="240"/>
        <w:jc w:val="both"/>
        <w:rPr>
          <w:b/>
          <w:bCs/>
          <w:sz w:val="24"/>
          <w:szCs w:val="24"/>
          <w:lang w:val="cs-CZ"/>
        </w:rPr>
      </w:pPr>
      <w:r w:rsidRPr="000F2C87">
        <w:rPr>
          <w:lang w:val="cs-CZ"/>
        </w:rPr>
        <w:br w:type="page"/>
      </w:r>
    </w:p>
    <w:p w:rsidR="00067B3F" w:rsidRPr="000F2C87" w:rsidP="00794716" w14:paraId="00000148" w14:textId="6C1BC757">
      <w:pPr>
        <w:pStyle w:val="Heading1"/>
      </w:pPr>
      <w:bookmarkStart w:id="13" w:name="_Toc256000006"/>
      <w:r>
        <w:t xml:space="preserve">PRAVIDLA </w:t>
      </w:r>
      <w:r w:rsidR="007A6C7E">
        <w:t xml:space="preserve">PRO </w:t>
      </w:r>
      <w:r w:rsidR="004C2585">
        <w:t>FINANČNÍ NÁSTROJE</w:t>
      </w:r>
      <w:r w:rsidR="007A6C7E">
        <w:t xml:space="preserve"> V EU</w:t>
      </w:r>
      <w:bookmarkEnd w:id="13"/>
    </w:p>
    <w:p w:rsidR="002171B7" w:rsidRPr="007A6C7E" w:rsidP="006446B8" w14:paraId="2E792DF6" w14:textId="301052D1">
      <w:pPr>
        <w:pStyle w:val="Heading2"/>
      </w:pPr>
      <w:bookmarkStart w:id="14" w:name="_Toc256000007"/>
      <w:r w:rsidRPr="009D6474">
        <w:t>NRPP a výkonnos</w:t>
      </w:r>
      <w:r w:rsidR="00534292">
        <w:t>tní rám</w:t>
      </w:r>
      <w:r w:rsidR="00FC6CF4">
        <w:t>ec</w:t>
      </w:r>
      <w:bookmarkEnd w:id="14"/>
    </w:p>
    <w:p w:rsidR="000A5064" w:rsidRPr="000F2C87" w:rsidP="00ED7ECA" w14:paraId="49C6F1A2" w14:textId="1C70E0C2">
      <w:pPr>
        <w:spacing w:before="240" w:after="240"/>
        <w:jc w:val="both"/>
        <w:rPr>
          <w:rFonts w:asciiTheme="minorHAnsi" w:hAnsiTheme="minorHAnsi"/>
          <w:lang w:val="cs-CZ"/>
        </w:rPr>
      </w:pPr>
      <w:r w:rsidRPr="000F2C87">
        <w:rPr>
          <w:rFonts w:asciiTheme="minorHAnsi" w:hAnsiTheme="minorHAnsi"/>
          <w:lang w:val="cs-CZ"/>
        </w:rPr>
        <w:t>Poskytování finančních nástrojů z fondů EU podléhá pravidlům a požadavkům evropské legislativy</w:t>
      </w:r>
      <w:r>
        <w:rPr>
          <w:rStyle w:val="FootnoteReference"/>
          <w:rFonts w:asciiTheme="minorHAnsi" w:hAnsiTheme="minorHAnsi"/>
          <w:lang w:val="cs-CZ"/>
        </w:rPr>
        <w:footnoteReference w:id="5"/>
      </w:r>
      <w:r w:rsidRPr="000F2C87">
        <w:rPr>
          <w:rFonts w:asciiTheme="minorHAnsi" w:hAnsiTheme="minorHAnsi"/>
          <w:lang w:val="cs-CZ"/>
        </w:rPr>
        <w:t>, přičemž v</w:t>
      </w:r>
      <w:r w:rsidRPr="000F2C87">
        <w:rPr>
          <w:rFonts w:ascii="Arial" w:hAnsi="Arial" w:cs="Arial"/>
          <w:lang w:val="cs-CZ"/>
        </w:rPr>
        <w:t> </w:t>
      </w:r>
      <w:r w:rsidRPr="000F2C87">
        <w:rPr>
          <w:rFonts w:asciiTheme="minorHAnsi" w:hAnsiTheme="minorHAnsi"/>
          <w:lang w:val="cs-CZ"/>
        </w:rPr>
        <w:t xml:space="preserve">novém programovém období budou tyto nástroje realizovány v rámci NRPP – Národního </w:t>
      </w:r>
      <w:r w:rsidRPr="000F2C87" w:rsidR="00346A76">
        <w:rPr>
          <w:rFonts w:asciiTheme="minorHAnsi" w:hAnsiTheme="minorHAnsi"/>
          <w:lang w:val="cs-CZ"/>
        </w:rPr>
        <w:t>a regionálního partnerského plánu</w:t>
      </w:r>
      <w:r w:rsidRPr="000F2C87">
        <w:rPr>
          <w:rFonts w:asciiTheme="minorHAnsi" w:hAnsiTheme="minorHAnsi"/>
          <w:lang w:val="cs-CZ"/>
        </w:rPr>
        <w:t xml:space="preserve"> (</w:t>
      </w:r>
      <w:r w:rsidRPr="00C72BA4" w:rsidR="001D0BCC">
        <w:rPr>
          <w:rFonts w:asciiTheme="minorHAnsi" w:hAnsiTheme="minorHAnsi"/>
        </w:rPr>
        <w:t>National</w:t>
      </w:r>
      <w:r w:rsidRPr="00C72BA4" w:rsidR="001D0BCC">
        <w:rPr>
          <w:rFonts w:asciiTheme="minorHAnsi" w:hAnsiTheme="minorHAnsi"/>
        </w:rPr>
        <w:t xml:space="preserve"> and </w:t>
      </w:r>
      <w:r w:rsidRPr="00C72BA4" w:rsidR="001D0BCC">
        <w:rPr>
          <w:rFonts w:asciiTheme="minorHAnsi" w:hAnsiTheme="minorHAnsi"/>
        </w:rPr>
        <w:t>Regional</w:t>
      </w:r>
      <w:r w:rsidRPr="00C72BA4" w:rsidR="001D0BCC">
        <w:rPr>
          <w:rFonts w:asciiTheme="minorHAnsi" w:hAnsiTheme="minorHAnsi"/>
        </w:rPr>
        <w:t xml:space="preserve"> </w:t>
      </w:r>
      <w:r w:rsidRPr="00C72BA4" w:rsidR="001D0BCC">
        <w:rPr>
          <w:rFonts w:asciiTheme="minorHAnsi" w:hAnsiTheme="minorHAnsi"/>
        </w:rPr>
        <w:t>Partnership</w:t>
      </w:r>
      <w:r w:rsidRPr="00C72BA4" w:rsidR="001D0BCC">
        <w:rPr>
          <w:rFonts w:asciiTheme="minorHAnsi" w:hAnsiTheme="minorHAnsi"/>
        </w:rPr>
        <w:t xml:space="preserve"> </w:t>
      </w:r>
      <w:r w:rsidRPr="00C72BA4" w:rsidR="001D0BCC">
        <w:rPr>
          <w:rFonts w:asciiTheme="minorHAnsi" w:hAnsiTheme="minorHAnsi"/>
        </w:rPr>
        <w:t>Plan</w:t>
      </w:r>
      <w:r w:rsidRPr="000F2C87">
        <w:rPr>
          <w:rFonts w:asciiTheme="minorHAnsi" w:hAnsiTheme="minorHAnsi"/>
          <w:lang w:val="cs-CZ"/>
        </w:rPr>
        <w:t>).</w:t>
      </w:r>
    </w:p>
    <w:p w:rsidR="00AC77ED" w:rsidRPr="00F04DE7" w:rsidP="00ED7ECA" w14:paraId="221DDC2E" w14:textId="39CBF731">
      <w:pPr>
        <w:spacing w:before="240" w:after="240"/>
        <w:jc w:val="both"/>
        <w:rPr>
          <w:rFonts w:asciiTheme="minorHAnsi" w:hAnsiTheme="minorHAnsi"/>
          <w:lang w:val="cs-CZ"/>
        </w:rPr>
      </w:pPr>
      <w:r w:rsidRPr="000F2C87">
        <w:rPr>
          <w:rFonts w:asciiTheme="minorHAnsi" w:hAnsiTheme="minorHAnsi"/>
          <w:lang w:val="cs-CZ"/>
        </w:rPr>
        <w:t>V době přípravy tohoto materiálu vyjednávání evropské legislativy stále probíhá, přičemž její finální podoba bude dokončena až v</w:t>
      </w:r>
      <w:r w:rsidRPr="000F2C87">
        <w:rPr>
          <w:rFonts w:ascii="Arial" w:hAnsi="Arial" w:cs="Arial"/>
          <w:lang w:val="cs-CZ"/>
        </w:rPr>
        <w:t> </w:t>
      </w:r>
      <w:r w:rsidRPr="000F2C87">
        <w:rPr>
          <w:rFonts w:asciiTheme="minorHAnsi" w:hAnsiTheme="minorHAnsi"/>
          <w:lang w:val="cs-CZ"/>
        </w:rPr>
        <w:t xml:space="preserve">roce 2027. </w:t>
      </w:r>
      <w:r w:rsidRPr="000F2C87" w:rsidR="0041166F">
        <w:rPr>
          <w:rFonts w:asciiTheme="minorHAnsi" w:hAnsiTheme="minorHAnsi"/>
          <w:lang w:val="cs-CZ"/>
        </w:rPr>
        <w:t>EK navržené podmínky</w:t>
      </w:r>
      <w:r w:rsidRPr="000F2C87">
        <w:rPr>
          <w:rFonts w:asciiTheme="minorHAnsi" w:hAnsiTheme="minorHAnsi"/>
          <w:lang w:val="cs-CZ"/>
        </w:rPr>
        <w:t xml:space="preserve"> t</w:t>
      </w:r>
      <w:r w:rsidRPr="000F2C87">
        <w:rPr>
          <w:lang w:val="cs-CZ"/>
        </w:rPr>
        <w:t>ý</w:t>
      </w:r>
      <w:r w:rsidRPr="000F2C87">
        <w:rPr>
          <w:rFonts w:asciiTheme="minorHAnsi" w:hAnsiTheme="minorHAnsi"/>
          <w:lang w:val="cs-CZ"/>
        </w:rPr>
        <w:t>kaj</w:t>
      </w:r>
      <w:r w:rsidRPr="000F2C87">
        <w:rPr>
          <w:lang w:val="cs-CZ"/>
        </w:rPr>
        <w:t>í</w:t>
      </w:r>
      <w:r w:rsidRPr="000F2C87">
        <w:rPr>
          <w:rFonts w:asciiTheme="minorHAnsi" w:hAnsiTheme="minorHAnsi"/>
          <w:lang w:val="cs-CZ"/>
        </w:rPr>
        <w:t>c</w:t>
      </w:r>
      <w:r w:rsidRPr="000F2C87">
        <w:rPr>
          <w:lang w:val="cs-CZ"/>
        </w:rPr>
        <w:t>í</w:t>
      </w:r>
      <w:r w:rsidRPr="000F2C87">
        <w:rPr>
          <w:rFonts w:asciiTheme="minorHAnsi" w:hAnsiTheme="minorHAnsi"/>
          <w:lang w:val="cs-CZ"/>
        </w:rPr>
        <w:t>ch se finan</w:t>
      </w:r>
      <w:r w:rsidRPr="000F2C87">
        <w:rPr>
          <w:lang w:val="cs-CZ"/>
        </w:rPr>
        <w:t>č</w:t>
      </w:r>
      <w:r w:rsidRPr="000F2C87">
        <w:rPr>
          <w:rFonts w:asciiTheme="minorHAnsi" w:hAnsiTheme="minorHAnsi"/>
          <w:lang w:val="cs-CZ"/>
        </w:rPr>
        <w:t>n</w:t>
      </w:r>
      <w:r w:rsidRPr="000F2C87">
        <w:rPr>
          <w:lang w:val="cs-CZ"/>
        </w:rPr>
        <w:t>í</w:t>
      </w:r>
      <w:r w:rsidRPr="000F2C87">
        <w:rPr>
          <w:rFonts w:asciiTheme="minorHAnsi" w:hAnsiTheme="minorHAnsi"/>
          <w:lang w:val="cs-CZ"/>
        </w:rPr>
        <w:t>ch n</w:t>
      </w:r>
      <w:r w:rsidRPr="000F2C87">
        <w:rPr>
          <w:lang w:val="cs-CZ"/>
        </w:rPr>
        <w:t>á</w:t>
      </w:r>
      <w:r w:rsidRPr="000F2C87">
        <w:rPr>
          <w:rFonts w:asciiTheme="minorHAnsi" w:hAnsiTheme="minorHAnsi"/>
          <w:lang w:val="cs-CZ"/>
        </w:rPr>
        <w:t>stroj</w:t>
      </w:r>
      <w:r w:rsidRPr="000F2C87">
        <w:rPr>
          <w:lang w:val="cs-CZ"/>
        </w:rPr>
        <w:t>ů</w:t>
      </w:r>
      <w:r w:rsidRPr="000F2C87">
        <w:rPr>
          <w:rFonts w:asciiTheme="minorHAnsi" w:hAnsiTheme="minorHAnsi"/>
          <w:lang w:val="cs-CZ"/>
        </w:rPr>
        <w:t xml:space="preserve"> v</w:t>
      </w:r>
      <w:r w:rsidRPr="000F2C87">
        <w:rPr>
          <w:lang w:val="cs-CZ"/>
        </w:rPr>
        <w:t>š</w:t>
      </w:r>
      <w:r w:rsidRPr="000F2C87">
        <w:rPr>
          <w:rFonts w:asciiTheme="minorHAnsi" w:hAnsiTheme="minorHAnsi"/>
          <w:lang w:val="cs-CZ"/>
        </w:rPr>
        <w:t>ak nenazna</w:t>
      </w:r>
      <w:r w:rsidRPr="000F2C87">
        <w:rPr>
          <w:lang w:val="cs-CZ"/>
        </w:rPr>
        <w:t>č</w:t>
      </w:r>
      <w:r w:rsidRPr="000F2C87">
        <w:rPr>
          <w:rFonts w:asciiTheme="minorHAnsi" w:hAnsiTheme="minorHAnsi"/>
          <w:lang w:val="cs-CZ"/>
        </w:rPr>
        <w:t>uj</w:t>
      </w:r>
      <w:r w:rsidRPr="000F2C87" w:rsidR="0041166F">
        <w:rPr>
          <w:rFonts w:asciiTheme="minorHAnsi" w:hAnsiTheme="minorHAnsi"/>
          <w:lang w:val="cs-CZ"/>
        </w:rPr>
        <w:t>í</w:t>
      </w:r>
      <w:r w:rsidRPr="000F2C87">
        <w:rPr>
          <w:rFonts w:asciiTheme="minorHAnsi" w:hAnsiTheme="minorHAnsi"/>
          <w:lang w:val="cs-CZ"/>
        </w:rPr>
        <w:t xml:space="preserve"> z</w:t>
      </w:r>
      <w:r w:rsidRPr="000F2C87">
        <w:rPr>
          <w:lang w:val="cs-CZ"/>
        </w:rPr>
        <w:t>á</w:t>
      </w:r>
      <w:r w:rsidRPr="000F2C87">
        <w:rPr>
          <w:rFonts w:asciiTheme="minorHAnsi" w:hAnsiTheme="minorHAnsi"/>
          <w:lang w:val="cs-CZ"/>
        </w:rPr>
        <w:t>sadn</w:t>
      </w:r>
      <w:r w:rsidRPr="000F2C87">
        <w:rPr>
          <w:lang w:val="cs-CZ"/>
        </w:rPr>
        <w:t>ě</w:t>
      </w:r>
      <w:r w:rsidRPr="000F2C87">
        <w:rPr>
          <w:rFonts w:asciiTheme="minorHAnsi" w:hAnsiTheme="minorHAnsi"/>
          <w:lang w:val="cs-CZ"/>
        </w:rPr>
        <w:t>j</w:t>
      </w:r>
      <w:r w:rsidRPr="000F2C87">
        <w:rPr>
          <w:lang w:val="cs-CZ"/>
        </w:rPr>
        <w:t>ší</w:t>
      </w:r>
      <w:r w:rsidRPr="000F2C87">
        <w:rPr>
          <w:rFonts w:asciiTheme="minorHAnsi" w:hAnsiTheme="minorHAnsi"/>
          <w:lang w:val="cs-CZ"/>
        </w:rPr>
        <w:t xml:space="preserve"> odchylky od sou</w:t>
      </w:r>
      <w:r w:rsidRPr="000F2C87">
        <w:rPr>
          <w:lang w:val="cs-CZ"/>
        </w:rPr>
        <w:t>č</w:t>
      </w:r>
      <w:r w:rsidRPr="000F2C87">
        <w:rPr>
          <w:rFonts w:asciiTheme="minorHAnsi" w:hAnsiTheme="minorHAnsi"/>
          <w:lang w:val="cs-CZ"/>
        </w:rPr>
        <w:t>asn</w:t>
      </w:r>
      <w:r w:rsidRPr="000F2C87">
        <w:rPr>
          <w:lang w:val="cs-CZ"/>
        </w:rPr>
        <w:t>é</w:t>
      </w:r>
      <w:r w:rsidRPr="000F2C87">
        <w:rPr>
          <w:rFonts w:asciiTheme="minorHAnsi" w:hAnsiTheme="minorHAnsi"/>
          <w:lang w:val="cs-CZ"/>
        </w:rPr>
        <w:t xml:space="preserve"> praxe.</w:t>
      </w:r>
      <w:r w:rsidRPr="000F2C87" w:rsidR="00A8027E">
        <w:rPr>
          <w:rFonts w:asciiTheme="minorHAnsi" w:hAnsiTheme="minorHAnsi"/>
          <w:lang w:val="cs-CZ"/>
        </w:rPr>
        <w:t xml:space="preserve"> </w:t>
      </w:r>
    </w:p>
    <w:p w:rsidR="00F04DE7" w:rsidP="00037BD7" w14:paraId="2D7DD619" w14:textId="6F858E14">
      <w:pPr>
        <w:pStyle w:val="Caption"/>
        <w:keepNext/>
        <w:spacing w:before="360"/>
      </w:pPr>
      <w:r>
        <w:t xml:space="preserve">Tabulka </w:t>
      </w:r>
      <w:r>
        <w:fldChar w:fldCharType="begin"/>
      </w:r>
      <w:r>
        <w:instrText xml:space="preserve"> SEQ Tabulka \* ARABIC </w:instrText>
      </w:r>
      <w:r>
        <w:fldChar w:fldCharType="separate"/>
      </w:r>
      <w:r>
        <w:t>3</w:t>
      </w:r>
      <w:r>
        <w:rPr>
          <w:noProof/>
        </w:rPr>
        <w:fldChar w:fldCharType="end"/>
      </w:r>
      <w:r>
        <w:t xml:space="preserve">: Souhrn hlavních změn </w:t>
      </w:r>
      <w:r w:rsidR="006D6164">
        <w:t xml:space="preserve">týkající se finančních nástrojů </w:t>
      </w:r>
      <w:r>
        <w:t xml:space="preserve">v podmínkách EU, </w:t>
      </w:r>
      <w:r w:rsidRPr="00F60F43">
        <w:t>zdroj</w:t>
      </w:r>
      <w:r>
        <w:t>:</w:t>
      </w:r>
      <w:r w:rsidRPr="00F60F43" w:rsidR="00F60F43">
        <w:t xml:space="preserve"> </w:t>
      </w:r>
      <w:r w:rsidR="00F60F43">
        <w:t xml:space="preserve">Návrh </w:t>
      </w:r>
      <w:r w:rsidRPr="00F60F43" w:rsidR="00F60F43">
        <w:t>Nařízení o Evropském fondu a NRPP</w:t>
      </w:r>
      <w:r w:rsidR="008F294F">
        <w:t xml:space="preserve">, výstupy </w:t>
      </w:r>
      <w:r w:rsidR="002411AA">
        <w:t>z pracovních skupin</w:t>
      </w:r>
      <w:r w:rsidR="00CF764F">
        <w:t xml:space="preserve"> k</w:t>
      </w:r>
      <w:r w:rsidR="002C7792">
        <w:t> </w:t>
      </w:r>
      <w:r w:rsidR="00CF764F">
        <w:t>vyjednávání</w:t>
      </w:r>
      <w:r w:rsidR="002C7792">
        <w:t xml:space="preserve"> legislativy</w:t>
      </w:r>
    </w:p>
    <w:tbl>
      <w:tblPr>
        <w:tblW w:w="0" w:type="auto"/>
        <w:tblBorders>
          <w:top w:val="single" w:sz="4" w:space="0" w:color="D1D1D1"/>
          <w:left w:val="single" w:sz="4" w:space="0" w:color="D1D1D1"/>
          <w:bottom w:val="single" w:sz="4" w:space="0" w:color="D1D1D1"/>
          <w:right w:val="single" w:sz="4" w:space="0" w:color="D1D1D1"/>
          <w:insideH w:val="single" w:sz="4" w:space="0" w:color="D1D1D1"/>
          <w:insideV w:val="single" w:sz="4" w:space="0" w:color="D1D1D1"/>
        </w:tblBorders>
        <w:tblLook w:val="04A0"/>
      </w:tblPr>
      <w:tblGrid>
        <w:gridCol w:w="9016"/>
      </w:tblGrid>
      <w:tr w14:paraId="640965B4" w14:textId="77777777" w:rsidTr="00A83666">
        <w:tblPrEx>
          <w:tblW w:w="0" w:type="auto"/>
          <w:tblBorders>
            <w:top w:val="single" w:sz="4" w:space="0" w:color="D1D1D1"/>
            <w:left w:val="single" w:sz="4" w:space="0" w:color="D1D1D1"/>
            <w:bottom w:val="single" w:sz="4" w:space="0" w:color="D1D1D1"/>
            <w:right w:val="single" w:sz="4" w:space="0" w:color="D1D1D1"/>
            <w:insideH w:val="single" w:sz="4" w:space="0" w:color="D1D1D1"/>
            <w:insideV w:val="single" w:sz="4" w:space="0" w:color="D1D1D1"/>
          </w:tblBorders>
          <w:tblLook w:val="04A0"/>
        </w:tblPrEx>
        <w:tc>
          <w:tcPr>
            <w:tcW w:w="9016" w:type="dxa"/>
            <w:shd w:val="clear" w:color="auto" w:fill="034EA2"/>
          </w:tcPr>
          <w:p w:rsidR="00A83666" w:rsidRPr="00A83666" w:rsidP="00A83666" w14:paraId="1F24DB9A" w14:textId="7243DDAA">
            <w:pPr>
              <w:spacing w:before="40" w:after="40"/>
              <w:jc w:val="both"/>
              <w:rPr>
                <w:rFonts w:asciiTheme="minorHAnsi" w:hAnsiTheme="minorHAnsi"/>
                <w:b/>
                <w:bCs/>
                <w:color w:val="FFFFFF" w:themeColor="background1"/>
                <w:lang w:val="cs-CZ"/>
              </w:rPr>
            </w:pPr>
            <w:r w:rsidRPr="00A83666">
              <w:rPr>
                <w:rFonts w:asciiTheme="minorHAnsi" w:hAnsiTheme="minorHAnsi"/>
                <w:b/>
                <w:bCs/>
                <w:color w:val="FFFFFF" w:themeColor="background1"/>
                <w:lang w:val="cs-CZ"/>
              </w:rPr>
              <w:t xml:space="preserve">Navrhované změny pro období 2028+ </w:t>
            </w:r>
            <w:r>
              <w:rPr>
                <w:rFonts w:asciiTheme="minorHAnsi" w:hAnsiTheme="minorHAnsi"/>
                <w:b/>
                <w:bCs/>
                <w:color w:val="FFFFFF" w:themeColor="background1"/>
                <w:lang w:val="cs-CZ"/>
              </w:rPr>
              <w:t>ve srovnání s obdobím 2021</w:t>
            </w:r>
            <w:r w:rsidRPr="00A83666">
              <w:rPr>
                <w:rFonts w:asciiTheme="minorHAnsi" w:hAnsiTheme="minorHAnsi"/>
                <w:b/>
                <w:bCs/>
                <w:color w:val="FFFFFF" w:themeColor="background1"/>
                <w:lang w:val="cs-CZ"/>
              </w:rPr>
              <w:t>–</w:t>
            </w:r>
            <w:r>
              <w:rPr>
                <w:rFonts w:asciiTheme="minorHAnsi" w:hAnsiTheme="minorHAnsi"/>
                <w:b/>
                <w:bCs/>
                <w:color w:val="FFFFFF" w:themeColor="background1"/>
                <w:lang w:val="cs-CZ"/>
              </w:rPr>
              <w:t>2027</w:t>
            </w:r>
          </w:p>
        </w:tc>
      </w:tr>
      <w:tr w14:paraId="0FA8C0C0" w14:textId="77777777" w:rsidTr="00144CC3">
        <w:tblPrEx>
          <w:tblW w:w="0" w:type="auto"/>
          <w:tblLook w:val="04A0"/>
        </w:tblPrEx>
        <w:tc>
          <w:tcPr>
            <w:tcW w:w="9016" w:type="dxa"/>
          </w:tcPr>
          <w:p w:rsidR="00C00432" w:rsidRPr="000F2C87" w:rsidP="001311E2" w14:paraId="0395E11A" w14:textId="6F57A2FA">
            <w:pPr>
              <w:pStyle w:val="ListParagraph"/>
              <w:numPr>
                <w:ilvl w:val="0"/>
                <w:numId w:val="4"/>
              </w:numPr>
              <w:spacing w:before="40" w:after="40"/>
              <w:ind w:left="447"/>
              <w:jc w:val="both"/>
              <w:rPr>
                <w:rFonts w:asciiTheme="minorHAnsi" w:hAnsiTheme="minorHAnsi"/>
                <w:lang w:val="cs-CZ"/>
              </w:rPr>
            </w:pPr>
            <w:r w:rsidRPr="000F2C87">
              <w:rPr>
                <w:rFonts w:asciiTheme="minorHAnsi" w:hAnsiTheme="minorHAnsi"/>
                <w:lang w:val="cs-CZ"/>
              </w:rPr>
              <w:t>e</w:t>
            </w:r>
            <w:r w:rsidRPr="000F2C87">
              <w:rPr>
                <w:rFonts w:asciiTheme="minorHAnsi" w:hAnsiTheme="minorHAnsi"/>
                <w:lang w:val="cs-CZ"/>
              </w:rPr>
              <w:t>x-ante –</w:t>
            </w:r>
            <w:r w:rsidRPr="000F2C87" w:rsidR="005C06AD">
              <w:rPr>
                <w:rFonts w:asciiTheme="minorHAnsi" w:hAnsiTheme="minorHAnsi"/>
                <w:lang w:val="cs-CZ"/>
              </w:rPr>
              <w:t xml:space="preserve"> </w:t>
            </w:r>
            <w:r w:rsidRPr="000F2C87">
              <w:rPr>
                <w:rFonts w:asciiTheme="minorHAnsi" w:hAnsiTheme="minorHAnsi"/>
                <w:lang w:val="cs-CZ"/>
              </w:rPr>
              <w:t>nebude povinností vypracovat předběžné posouzení</w:t>
            </w:r>
          </w:p>
          <w:p w:rsidR="00A76DAE" w:rsidRPr="000F2C87" w:rsidP="007B4CFE" w14:paraId="23911393" w14:textId="6BB2AA84">
            <w:pPr>
              <w:pStyle w:val="ListParagraph"/>
              <w:spacing w:before="40" w:after="40"/>
              <w:ind w:left="447"/>
              <w:jc w:val="both"/>
              <w:rPr>
                <w:rFonts w:asciiTheme="minorHAnsi" w:hAnsiTheme="minorHAnsi"/>
                <w:lang w:val="cs-CZ"/>
              </w:rPr>
            </w:pPr>
            <w:r w:rsidRPr="000F2C87">
              <w:rPr>
                <w:rFonts w:asciiTheme="minorHAnsi" w:hAnsiTheme="minorHAnsi"/>
                <w:lang w:val="cs-CZ"/>
              </w:rPr>
              <w:t>(</w:t>
            </w:r>
            <w:r w:rsidRPr="000F2C87" w:rsidR="00C00432">
              <w:rPr>
                <w:rFonts w:asciiTheme="minorHAnsi" w:hAnsiTheme="minorHAnsi"/>
                <w:lang w:val="cs-CZ"/>
              </w:rPr>
              <w:t xml:space="preserve">dostačujícím bude odůvodnění </w:t>
            </w:r>
            <w:r w:rsidRPr="00C72BA4" w:rsidR="00C00432">
              <w:rPr>
                <w:lang w:val="cs-CZ"/>
              </w:rPr>
              <w:t>s ohledem na příslušné potřeby trhu a jejich schopnost snížit riziko a mobilizovat soukromý kapitál</w:t>
            </w:r>
            <w:r w:rsidRPr="00C72BA4">
              <w:rPr>
                <w:lang w:val="cs-CZ"/>
              </w:rPr>
              <w:t>)</w:t>
            </w:r>
          </w:p>
        </w:tc>
      </w:tr>
      <w:tr w14:paraId="45F02E7D" w14:textId="77777777" w:rsidTr="00144CC3">
        <w:tblPrEx>
          <w:tblW w:w="0" w:type="auto"/>
          <w:tblLook w:val="04A0"/>
        </w:tblPrEx>
        <w:tc>
          <w:tcPr>
            <w:tcW w:w="9016" w:type="dxa"/>
          </w:tcPr>
          <w:p w:rsidR="00A76DAE" w:rsidRPr="000F2C87" w:rsidP="001311E2" w14:paraId="57F75120" w14:textId="101439A6">
            <w:pPr>
              <w:pStyle w:val="ListParagraph"/>
              <w:numPr>
                <w:ilvl w:val="0"/>
                <w:numId w:val="4"/>
              </w:numPr>
              <w:spacing w:before="40" w:after="40"/>
              <w:ind w:left="447"/>
              <w:jc w:val="both"/>
              <w:rPr>
                <w:rFonts w:asciiTheme="minorHAnsi" w:hAnsiTheme="minorHAnsi"/>
                <w:lang w:val="cs-CZ"/>
              </w:rPr>
            </w:pPr>
            <w:r w:rsidRPr="000F2C87">
              <w:rPr>
                <w:rFonts w:asciiTheme="minorHAnsi" w:hAnsiTheme="minorHAnsi"/>
                <w:lang w:val="cs-CZ"/>
              </w:rPr>
              <w:t>d</w:t>
            </w:r>
            <w:r w:rsidRPr="000F2C87" w:rsidR="005034B2">
              <w:rPr>
                <w:rFonts w:asciiTheme="minorHAnsi" w:hAnsiTheme="minorHAnsi"/>
                <w:lang w:val="cs-CZ"/>
              </w:rPr>
              <w:t>ohoda o financování –</w:t>
            </w:r>
            <w:r w:rsidRPr="000F2C87" w:rsidR="005C06AD">
              <w:rPr>
                <w:rFonts w:asciiTheme="minorHAnsi" w:hAnsiTheme="minorHAnsi"/>
                <w:lang w:val="cs-CZ"/>
              </w:rPr>
              <w:t xml:space="preserve"> </w:t>
            </w:r>
            <w:r w:rsidRPr="000F2C87" w:rsidR="005034B2">
              <w:rPr>
                <w:rFonts w:asciiTheme="minorHAnsi" w:hAnsiTheme="minorHAnsi"/>
                <w:lang w:val="cs-CZ"/>
              </w:rPr>
              <w:t xml:space="preserve">nejsou </w:t>
            </w:r>
            <w:r w:rsidRPr="000F2C87" w:rsidR="00BE324A">
              <w:rPr>
                <w:rFonts w:asciiTheme="minorHAnsi" w:hAnsiTheme="minorHAnsi"/>
                <w:lang w:val="cs-CZ"/>
              </w:rPr>
              <w:t>definovány</w:t>
            </w:r>
            <w:r w:rsidRPr="000F2C87" w:rsidR="00C52554">
              <w:rPr>
                <w:rFonts w:asciiTheme="minorHAnsi" w:hAnsiTheme="minorHAnsi"/>
                <w:lang w:val="cs-CZ"/>
              </w:rPr>
              <w:t xml:space="preserve"> povinné parametry</w:t>
            </w:r>
          </w:p>
        </w:tc>
      </w:tr>
      <w:tr w14:paraId="319C9A6B" w14:textId="77777777" w:rsidTr="00144CC3">
        <w:tblPrEx>
          <w:tblW w:w="0" w:type="auto"/>
          <w:tblLook w:val="04A0"/>
        </w:tblPrEx>
        <w:tc>
          <w:tcPr>
            <w:tcW w:w="9016" w:type="dxa"/>
          </w:tcPr>
          <w:p w:rsidR="00A76DAE" w:rsidRPr="000F2C87" w:rsidP="001311E2" w14:paraId="2A344089" w14:textId="72F44D46">
            <w:pPr>
              <w:pStyle w:val="ListParagraph"/>
              <w:numPr>
                <w:ilvl w:val="0"/>
                <w:numId w:val="4"/>
              </w:numPr>
              <w:spacing w:before="40" w:after="40"/>
              <w:ind w:left="447"/>
              <w:jc w:val="both"/>
              <w:rPr>
                <w:rFonts w:asciiTheme="minorHAnsi" w:hAnsiTheme="minorHAnsi"/>
                <w:lang w:val="cs-CZ"/>
              </w:rPr>
            </w:pPr>
            <w:r w:rsidRPr="000F2C87">
              <w:rPr>
                <w:rFonts w:asciiTheme="minorHAnsi" w:hAnsiTheme="minorHAnsi"/>
                <w:lang w:val="cs-CZ"/>
              </w:rPr>
              <w:t>c</w:t>
            </w:r>
            <w:r w:rsidRPr="000F2C87" w:rsidR="00595265">
              <w:rPr>
                <w:rFonts w:asciiTheme="minorHAnsi" w:hAnsiTheme="minorHAnsi"/>
                <w:lang w:val="cs-CZ"/>
              </w:rPr>
              <w:t>osting</w:t>
            </w:r>
            <w:r w:rsidRPr="000F2C87" w:rsidR="00595265">
              <w:rPr>
                <w:rFonts w:asciiTheme="minorHAnsi" w:hAnsiTheme="minorHAnsi"/>
                <w:lang w:val="cs-CZ"/>
              </w:rPr>
              <w:t xml:space="preserve"> – odhadované náklady musí být na finanční nástroj stanoveny předem</w:t>
            </w:r>
          </w:p>
        </w:tc>
      </w:tr>
      <w:tr w14:paraId="321BE6DB" w14:textId="77777777" w:rsidTr="00144CC3">
        <w:tblPrEx>
          <w:tblW w:w="0" w:type="auto"/>
          <w:tblLook w:val="04A0"/>
        </w:tblPrEx>
        <w:tc>
          <w:tcPr>
            <w:tcW w:w="9016" w:type="dxa"/>
          </w:tcPr>
          <w:p w:rsidR="00A76DAE" w:rsidRPr="000F2C87" w:rsidP="001311E2" w14:paraId="5FDCBBC2" w14:textId="21456A92">
            <w:pPr>
              <w:pStyle w:val="ListParagraph"/>
              <w:numPr>
                <w:ilvl w:val="0"/>
                <w:numId w:val="4"/>
              </w:numPr>
              <w:spacing w:before="40" w:after="40"/>
              <w:ind w:left="447"/>
              <w:jc w:val="both"/>
              <w:rPr>
                <w:rFonts w:asciiTheme="minorHAnsi" w:hAnsiTheme="minorHAnsi"/>
                <w:lang w:val="cs-CZ"/>
              </w:rPr>
            </w:pPr>
            <w:r w:rsidRPr="000F2C87">
              <w:rPr>
                <w:rFonts w:asciiTheme="minorHAnsi" w:hAnsiTheme="minorHAnsi"/>
                <w:lang w:val="cs-CZ"/>
              </w:rPr>
              <w:t>m</w:t>
            </w:r>
            <w:r w:rsidRPr="000F2C87" w:rsidR="00BE324A">
              <w:rPr>
                <w:rFonts w:asciiTheme="minorHAnsi" w:hAnsiTheme="minorHAnsi"/>
                <w:lang w:val="cs-CZ"/>
              </w:rPr>
              <w:t xml:space="preserve">ilníky a cíle </w:t>
            </w:r>
            <w:r w:rsidRPr="000F2C87" w:rsidR="00BD6855">
              <w:rPr>
                <w:rFonts w:asciiTheme="minorHAnsi" w:hAnsiTheme="minorHAnsi"/>
                <w:lang w:val="cs-CZ"/>
              </w:rPr>
              <w:t>–</w:t>
            </w:r>
            <w:r w:rsidRPr="000F2C87" w:rsidR="00BE324A">
              <w:rPr>
                <w:rFonts w:asciiTheme="minorHAnsi" w:hAnsiTheme="minorHAnsi"/>
                <w:lang w:val="cs-CZ"/>
              </w:rPr>
              <w:t xml:space="preserve"> </w:t>
            </w:r>
            <w:r w:rsidRPr="000F2C87" w:rsidR="00BD6855">
              <w:rPr>
                <w:rFonts w:asciiTheme="minorHAnsi" w:hAnsiTheme="minorHAnsi"/>
                <w:lang w:val="cs-CZ"/>
              </w:rPr>
              <w:t>stanovení milníků a cílů v NRPP, platby dle plnění milníků a cílů</w:t>
            </w:r>
          </w:p>
        </w:tc>
      </w:tr>
      <w:tr w14:paraId="665E8461" w14:textId="77777777" w:rsidTr="00A83666">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shd w:val="clear" w:color="auto" w:fill="034EA2"/>
            <w:vAlign w:val="center"/>
          </w:tcPr>
          <w:p w:rsidR="00A83666" w:rsidRPr="00A83666" w:rsidP="00A83666" w14:paraId="56D938A2" w14:textId="74E61B5B">
            <w:pPr>
              <w:pStyle w:val="ListParagraph"/>
              <w:spacing w:before="40" w:after="40"/>
              <w:ind w:left="447" w:hanging="360"/>
              <w:rPr>
                <w:rFonts w:asciiTheme="minorHAnsi" w:hAnsiTheme="minorHAnsi"/>
                <w:b/>
                <w:bCs/>
                <w:color w:val="FFFFFF" w:themeColor="background1"/>
                <w:lang w:val="cs-CZ"/>
              </w:rPr>
            </w:pPr>
            <w:r w:rsidRPr="00A83666">
              <w:rPr>
                <w:rFonts w:asciiTheme="minorHAnsi" w:hAnsiTheme="minorHAnsi"/>
                <w:b/>
                <w:bCs/>
                <w:color w:val="FFFFFF" w:themeColor="background1"/>
                <w:lang w:val="cs-CZ"/>
              </w:rPr>
              <w:t xml:space="preserve">Co zůstává v období 2028+ </w:t>
            </w:r>
            <w:r w:rsidR="008E5506">
              <w:rPr>
                <w:rFonts w:asciiTheme="minorHAnsi" w:hAnsiTheme="minorHAnsi"/>
                <w:b/>
                <w:bCs/>
                <w:color w:val="FFFFFF" w:themeColor="background1"/>
                <w:lang w:val="cs-CZ"/>
              </w:rPr>
              <w:t>ze</w:t>
            </w:r>
            <w:r w:rsidRPr="00A83666">
              <w:rPr>
                <w:rFonts w:asciiTheme="minorHAnsi" w:hAnsiTheme="minorHAnsi"/>
                <w:b/>
                <w:bCs/>
                <w:color w:val="FFFFFF" w:themeColor="background1"/>
                <w:lang w:val="cs-CZ"/>
              </w:rPr>
              <w:t xml:space="preserve"> současnosti</w:t>
            </w:r>
          </w:p>
        </w:tc>
      </w:tr>
      <w:tr w14:paraId="291383CB" w14:textId="77777777" w:rsidTr="00A83666">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A83666" w:rsidRPr="000F2C87" w:rsidP="00663CC0" w14:paraId="53095BCC" w14:textId="77777777">
            <w:pPr>
              <w:pStyle w:val="ListParagraph"/>
              <w:numPr>
                <w:ilvl w:val="0"/>
                <w:numId w:val="4"/>
              </w:numPr>
              <w:spacing w:before="40" w:after="40"/>
              <w:ind w:left="447"/>
              <w:jc w:val="both"/>
              <w:rPr>
                <w:rFonts w:asciiTheme="minorHAnsi" w:hAnsiTheme="minorHAnsi"/>
                <w:lang w:val="cs-CZ"/>
              </w:rPr>
            </w:pPr>
            <w:r w:rsidRPr="000F2C87">
              <w:rPr>
                <w:rFonts w:asciiTheme="minorHAnsi" w:hAnsiTheme="minorHAnsi"/>
                <w:lang w:val="cs-CZ"/>
              </w:rPr>
              <w:t>možnost kombinace finančního produktu s dotační složkou v jedné operaci</w:t>
            </w:r>
          </w:p>
        </w:tc>
      </w:tr>
      <w:tr w14:paraId="1B12725A" w14:textId="77777777" w:rsidTr="00A83666">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A83666" w:rsidRPr="000F2C87" w:rsidP="00663CC0" w14:paraId="6CB3BEB0" w14:textId="77777777">
            <w:pPr>
              <w:pStyle w:val="ListParagraph"/>
              <w:numPr>
                <w:ilvl w:val="0"/>
                <w:numId w:val="4"/>
              </w:numPr>
              <w:spacing w:before="40" w:after="40"/>
              <w:ind w:left="447"/>
              <w:jc w:val="both"/>
              <w:rPr>
                <w:rFonts w:asciiTheme="minorHAnsi" w:hAnsiTheme="minorHAnsi"/>
                <w:lang w:val="cs-CZ"/>
              </w:rPr>
            </w:pPr>
            <w:r w:rsidRPr="000F2C87">
              <w:rPr>
                <w:rFonts w:asciiTheme="minorHAnsi" w:hAnsiTheme="minorHAnsi"/>
                <w:lang w:val="cs-CZ"/>
              </w:rPr>
              <w:t>stejná pravidla způsobilosti, tj. využití na straně konečného příjemce</w:t>
            </w:r>
          </w:p>
          <w:p w:rsidR="00A83666" w:rsidRPr="000F2C87" w:rsidP="00A83666" w14:paraId="46A74BC4" w14:textId="77777777">
            <w:pPr>
              <w:pStyle w:val="ListParagraph"/>
              <w:spacing w:before="40" w:after="40"/>
              <w:ind w:left="447"/>
              <w:jc w:val="both"/>
              <w:rPr>
                <w:rFonts w:asciiTheme="minorHAnsi" w:hAnsiTheme="minorHAnsi"/>
                <w:lang w:val="cs-CZ"/>
              </w:rPr>
            </w:pPr>
            <w:r w:rsidRPr="000F2C87">
              <w:rPr>
                <w:rFonts w:asciiTheme="minorHAnsi" w:hAnsiTheme="minorHAnsi"/>
                <w:lang w:val="cs-CZ"/>
              </w:rPr>
              <w:t>(klíčové je vyčerpání na účet konečného příjemce bez podmínky dokončení projektu)</w:t>
            </w:r>
          </w:p>
        </w:tc>
      </w:tr>
      <w:tr w14:paraId="44427CD2" w14:textId="77777777" w:rsidTr="00A83666">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A83666" w:rsidRPr="000F2C87" w:rsidP="00663CC0" w14:paraId="2DB99980" w14:textId="77777777">
            <w:pPr>
              <w:pStyle w:val="ListParagraph"/>
              <w:numPr>
                <w:ilvl w:val="0"/>
                <w:numId w:val="4"/>
              </w:numPr>
              <w:spacing w:before="40" w:after="40"/>
              <w:ind w:left="447"/>
              <w:jc w:val="both"/>
              <w:rPr>
                <w:rFonts w:asciiTheme="minorHAnsi" w:hAnsiTheme="minorHAnsi"/>
                <w:lang w:val="cs-CZ"/>
              </w:rPr>
            </w:pPr>
            <w:r w:rsidRPr="000F2C87">
              <w:rPr>
                <w:rFonts w:asciiTheme="minorHAnsi" w:hAnsiTheme="minorHAnsi"/>
                <w:lang w:val="cs-CZ"/>
              </w:rPr>
              <w:t>možnost přímého zadání určitým typům správců FN</w:t>
            </w:r>
          </w:p>
        </w:tc>
      </w:tr>
      <w:tr w14:paraId="3FD4CCA3" w14:textId="77777777" w:rsidTr="00A83666">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A83666" w:rsidRPr="000F2C87" w:rsidP="00663CC0" w14:paraId="45BB5C68" w14:textId="77777777">
            <w:pPr>
              <w:pStyle w:val="ListParagraph"/>
              <w:numPr>
                <w:ilvl w:val="0"/>
                <w:numId w:val="4"/>
              </w:numPr>
              <w:spacing w:before="40" w:after="40"/>
              <w:ind w:left="447"/>
              <w:jc w:val="both"/>
              <w:rPr>
                <w:rFonts w:asciiTheme="minorHAnsi" w:hAnsiTheme="minorHAnsi"/>
                <w:lang w:val="cs-CZ"/>
              </w:rPr>
            </w:pPr>
            <w:r w:rsidRPr="000F2C87">
              <w:rPr>
                <w:rFonts w:asciiTheme="minorHAnsi" w:hAnsiTheme="minorHAnsi"/>
                <w:lang w:val="cs-CZ"/>
              </w:rPr>
              <w:t>pevně stanovené poplatky za správu finančního nástroje</w:t>
            </w:r>
          </w:p>
        </w:tc>
      </w:tr>
      <w:tr w14:paraId="69B7A594" w14:textId="77777777" w:rsidTr="00A83666">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A83666" w:rsidRPr="000F2C87" w:rsidP="00663CC0" w14:paraId="61BB4E4C" w14:textId="77777777">
            <w:pPr>
              <w:pStyle w:val="ListParagraph"/>
              <w:numPr>
                <w:ilvl w:val="0"/>
                <w:numId w:val="4"/>
              </w:numPr>
              <w:spacing w:before="40" w:after="40"/>
              <w:ind w:left="447"/>
              <w:jc w:val="both"/>
              <w:rPr>
                <w:rFonts w:asciiTheme="minorHAnsi" w:hAnsiTheme="minorHAnsi"/>
                <w:lang w:val="cs-CZ"/>
              </w:rPr>
            </w:pPr>
            <w:r w:rsidRPr="000F2C87">
              <w:rPr>
                <w:rFonts w:asciiTheme="minorHAnsi" w:hAnsiTheme="minorHAnsi"/>
                <w:lang w:val="cs-CZ"/>
              </w:rPr>
              <w:t>povinnost aktivní správy prostředků</w:t>
            </w:r>
          </w:p>
        </w:tc>
      </w:tr>
      <w:tr w14:paraId="5F3052B5" w14:textId="77777777" w:rsidTr="00A83666">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A83666" w:rsidRPr="000F2C87" w:rsidP="00663CC0" w14:paraId="45581527" w14:textId="77777777">
            <w:pPr>
              <w:pStyle w:val="ListParagraph"/>
              <w:numPr>
                <w:ilvl w:val="0"/>
                <w:numId w:val="4"/>
              </w:numPr>
              <w:spacing w:before="40" w:after="40"/>
              <w:ind w:left="447"/>
              <w:jc w:val="both"/>
              <w:rPr>
                <w:rFonts w:asciiTheme="minorHAnsi" w:hAnsiTheme="minorHAnsi"/>
                <w:lang w:val="cs-CZ"/>
              </w:rPr>
            </w:pPr>
            <w:r w:rsidRPr="000F2C87">
              <w:rPr>
                <w:rFonts w:asciiTheme="minorHAnsi" w:hAnsiTheme="minorHAnsi"/>
                <w:lang w:val="cs-CZ"/>
              </w:rPr>
              <w:t>využívání navrácených zdrojů z FN na shodné cíle politiky po dobu 8 let</w:t>
            </w:r>
          </w:p>
        </w:tc>
      </w:tr>
    </w:tbl>
    <w:p w:rsidR="00A4036C" w:rsidP="00144CC3" w14:paraId="0241005E" w14:textId="77777777">
      <w:pPr>
        <w:spacing w:before="480" w:after="240"/>
        <w:jc w:val="both"/>
        <w:rPr>
          <w:rFonts w:asciiTheme="minorHAnsi" w:hAnsiTheme="minorHAnsi"/>
          <w:lang w:val="cs-CZ"/>
        </w:rPr>
      </w:pPr>
      <w:r w:rsidRPr="000F2C87">
        <w:rPr>
          <w:rFonts w:asciiTheme="minorHAnsi" w:hAnsiTheme="minorHAnsi"/>
          <w:lang w:val="cs-CZ"/>
        </w:rPr>
        <w:t xml:space="preserve">Finanční nástroje se tak stávají nedílnou součástí </w:t>
      </w:r>
      <w:r w:rsidRPr="000F2C87" w:rsidR="0041166F">
        <w:rPr>
          <w:rFonts w:asciiTheme="minorHAnsi" w:hAnsiTheme="minorHAnsi"/>
          <w:lang w:val="cs-CZ"/>
        </w:rPr>
        <w:t>NRPP</w:t>
      </w:r>
      <w:r w:rsidRPr="000F2C87">
        <w:rPr>
          <w:rFonts w:asciiTheme="minorHAnsi" w:hAnsiTheme="minorHAnsi"/>
          <w:lang w:val="cs-CZ"/>
        </w:rPr>
        <w:t xml:space="preserve"> a nelze je koncipovat dodatečně či</w:t>
      </w:r>
      <w:r w:rsidR="00DF3DC4">
        <w:rPr>
          <w:rFonts w:asciiTheme="minorHAnsi" w:hAnsiTheme="minorHAnsi"/>
          <w:lang w:val="cs-CZ"/>
        </w:rPr>
        <w:t> </w:t>
      </w:r>
      <w:r w:rsidRPr="000F2C87">
        <w:rPr>
          <w:rFonts w:asciiTheme="minorHAnsi" w:hAnsiTheme="minorHAnsi"/>
          <w:lang w:val="cs-CZ"/>
        </w:rPr>
        <w:t>pouze</w:t>
      </w:r>
      <w:r w:rsidR="00DF3DC4">
        <w:rPr>
          <w:rFonts w:asciiTheme="minorHAnsi" w:hAnsiTheme="minorHAnsi"/>
          <w:lang w:val="cs-CZ"/>
        </w:rPr>
        <w:t> </w:t>
      </w:r>
      <w:r w:rsidRPr="000F2C87">
        <w:rPr>
          <w:rFonts w:asciiTheme="minorHAnsi" w:hAnsiTheme="minorHAnsi"/>
          <w:lang w:val="cs-CZ"/>
        </w:rPr>
        <w:t xml:space="preserve">rámcově. Každý finanční nástroj bude zároveň podléhat </w:t>
      </w:r>
      <w:r w:rsidRPr="000F2C87">
        <w:rPr>
          <w:rFonts w:asciiTheme="minorHAnsi" w:hAnsiTheme="minorHAnsi"/>
          <w:b/>
          <w:bCs/>
          <w:lang w:val="cs-CZ"/>
        </w:rPr>
        <w:t>výkonnostnímu rámci podle</w:t>
      </w:r>
      <w:r w:rsidR="00F5699E">
        <w:rPr>
          <w:rFonts w:asciiTheme="minorHAnsi" w:hAnsiTheme="minorHAnsi"/>
          <w:b/>
          <w:bCs/>
          <w:lang w:val="cs-CZ"/>
        </w:rPr>
        <w:t> </w:t>
      </w:r>
      <w:r w:rsidRPr="000F2C87">
        <w:rPr>
          <w:rFonts w:asciiTheme="minorHAnsi" w:hAnsiTheme="minorHAnsi"/>
          <w:b/>
          <w:bCs/>
          <w:lang w:val="cs-CZ"/>
        </w:rPr>
        <w:t>příslušného nařízení o výkonnosti</w:t>
      </w:r>
      <w:r w:rsidRPr="000F2C87">
        <w:rPr>
          <w:rFonts w:asciiTheme="minorHAnsi" w:hAnsiTheme="minorHAnsi"/>
          <w:lang w:val="cs-CZ"/>
        </w:rPr>
        <w:t xml:space="preserve">, což klade zvýšené nároky na </w:t>
      </w:r>
      <w:r w:rsidRPr="000F2C87" w:rsidR="00D2035D">
        <w:rPr>
          <w:rFonts w:asciiTheme="minorHAnsi" w:hAnsiTheme="minorHAnsi"/>
          <w:lang w:val="cs-CZ"/>
        </w:rPr>
        <w:t>přípravnou fázi nástroje</w:t>
      </w:r>
      <w:r w:rsidRPr="000F2C87" w:rsidR="00277901">
        <w:rPr>
          <w:rFonts w:asciiTheme="minorHAnsi" w:hAnsiTheme="minorHAnsi"/>
          <w:lang w:val="cs-CZ"/>
        </w:rPr>
        <w:t xml:space="preserve"> a zejména hloubkové analýzy podoby a nastavení podpory</w:t>
      </w:r>
      <w:r w:rsidRPr="000F2C87">
        <w:rPr>
          <w:rFonts w:asciiTheme="minorHAnsi" w:hAnsiTheme="minorHAnsi"/>
          <w:lang w:val="cs-CZ"/>
        </w:rPr>
        <w:t xml:space="preserve">. </w:t>
      </w:r>
    </w:p>
    <w:p w:rsidR="00294CD7" w:rsidRPr="000F2C87" w:rsidP="00E33973" w14:paraId="2CC0D219" w14:textId="4BDD697F">
      <w:pPr>
        <w:spacing w:before="480" w:after="240"/>
        <w:jc w:val="both"/>
        <w:rPr>
          <w:rFonts w:asciiTheme="minorHAnsi" w:hAnsiTheme="minorHAnsi"/>
          <w:lang w:val="cs-CZ"/>
        </w:rPr>
      </w:pPr>
      <w:r w:rsidRPr="000F2C87">
        <w:rPr>
          <w:rFonts w:asciiTheme="minorHAnsi" w:hAnsiTheme="minorHAnsi"/>
          <w:lang w:val="cs-CZ"/>
        </w:rPr>
        <w:t xml:space="preserve">Nově budou finanční nástroje navázány na širší soubor </w:t>
      </w:r>
      <w:r w:rsidRPr="000F2C87">
        <w:rPr>
          <w:rFonts w:asciiTheme="minorHAnsi" w:hAnsiTheme="minorHAnsi"/>
          <w:b/>
          <w:bCs/>
          <w:lang w:val="cs-CZ"/>
        </w:rPr>
        <w:t>povinných indikátorů</w:t>
      </w:r>
      <w:r w:rsidRPr="000F2C87">
        <w:rPr>
          <w:rFonts w:asciiTheme="minorHAnsi" w:hAnsiTheme="minorHAnsi"/>
          <w:lang w:val="cs-CZ"/>
        </w:rPr>
        <w:t xml:space="preserve">, přičemž jejich konstrukce musí být nastavena tak, aby </w:t>
      </w:r>
      <w:r w:rsidRPr="000F2C87">
        <w:rPr>
          <w:rFonts w:asciiTheme="minorHAnsi" w:hAnsiTheme="minorHAnsi"/>
          <w:b/>
          <w:bCs/>
          <w:lang w:val="cs-CZ"/>
        </w:rPr>
        <w:t>měřitelným a prokazatelným způsobem přispívala k</w:t>
      </w:r>
      <w:r w:rsidR="00A4036C">
        <w:rPr>
          <w:rFonts w:asciiTheme="minorHAnsi" w:hAnsiTheme="minorHAnsi"/>
          <w:b/>
          <w:bCs/>
          <w:lang w:val="cs-CZ"/>
        </w:rPr>
        <w:t> </w:t>
      </w:r>
      <w:r w:rsidRPr="000F2C87">
        <w:rPr>
          <w:rFonts w:asciiTheme="minorHAnsi" w:hAnsiTheme="minorHAnsi"/>
          <w:b/>
          <w:bCs/>
          <w:lang w:val="cs-CZ"/>
        </w:rPr>
        <w:t>plnění cílů politiky</w:t>
      </w:r>
      <w:r w:rsidRPr="000F2C87">
        <w:rPr>
          <w:rFonts w:asciiTheme="minorHAnsi" w:hAnsiTheme="minorHAnsi"/>
          <w:lang w:val="cs-CZ"/>
        </w:rPr>
        <w:t xml:space="preserve"> stanovených v příloze č. I výkonnostního rámce.</w:t>
      </w:r>
      <w:r w:rsidR="00E33973">
        <w:rPr>
          <w:rFonts w:asciiTheme="minorHAnsi" w:hAnsiTheme="minorHAnsi"/>
          <w:lang w:val="cs-CZ"/>
        </w:rPr>
        <w:t xml:space="preserve"> </w:t>
      </w:r>
      <w:r w:rsidRPr="000F2C87">
        <w:rPr>
          <w:rFonts w:asciiTheme="minorHAnsi" w:hAnsiTheme="minorHAnsi"/>
          <w:lang w:val="cs-CZ"/>
        </w:rPr>
        <w:t xml:space="preserve">Z toho vyplývá, že podoba finančních nástrojů musí být navržena nejen z hlediska finanční udržitelnosti a návratnosti, ale také s ohledem na jejich </w:t>
      </w:r>
      <w:r w:rsidRPr="000F2C87">
        <w:rPr>
          <w:rFonts w:asciiTheme="minorHAnsi" w:hAnsiTheme="minorHAnsi"/>
          <w:b/>
          <w:bCs/>
          <w:lang w:val="cs-CZ"/>
        </w:rPr>
        <w:t>schopnost naplnit věcné cíle politiky a</w:t>
      </w:r>
      <w:r w:rsidR="006C44A2">
        <w:rPr>
          <w:rFonts w:asciiTheme="minorHAnsi" w:hAnsiTheme="minorHAnsi"/>
          <w:b/>
          <w:bCs/>
          <w:lang w:val="cs-CZ"/>
        </w:rPr>
        <w:t> </w:t>
      </w:r>
      <w:r w:rsidRPr="000F2C87">
        <w:rPr>
          <w:rFonts w:asciiTheme="minorHAnsi" w:hAnsiTheme="minorHAnsi"/>
          <w:b/>
          <w:bCs/>
          <w:lang w:val="cs-CZ"/>
        </w:rPr>
        <w:t>dosáhnout požadovaných výstupů a výsledků</w:t>
      </w:r>
      <w:r w:rsidRPr="000F2C87">
        <w:rPr>
          <w:rFonts w:asciiTheme="minorHAnsi" w:hAnsiTheme="minorHAnsi"/>
          <w:lang w:val="cs-CZ"/>
        </w:rPr>
        <w:t>, které budou následně předmětem hodnocení výkonnosti.</w:t>
      </w:r>
    </w:p>
    <w:p w:rsidR="003A5672" w:rsidRPr="000F2C87" w:rsidP="006446B8" w14:paraId="70CCBFD6" w14:textId="339F4101">
      <w:pPr>
        <w:pStyle w:val="Heading2"/>
      </w:pPr>
      <w:bookmarkStart w:id="15" w:name="_Toc256000008"/>
      <w:r w:rsidRPr="000F2C87">
        <w:t>Další podmínky fondů EU</w:t>
      </w:r>
      <w:bookmarkEnd w:id="15"/>
    </w:p>
    <w:p w:rsidR="00037BD7" w:rsidP="00ED7ECA" w14:paraId="3A4E2FD6" w14:textId="648DF25E">
      <w:pPr>
        <w:spacing w:before="240" w:after="240"/>
        <w:jc w:val="both"/>
        <w:rPr>
          <w:rFonts w:asciiTheme="minorHAnsi" w:hAnsiTheme="minorHAnsi"/>
          <w:lang w:val="cs-CZ"/>
        </w:rPr>
      </w:pPr>
      <w:r w:rsidRPr="000F2C87">
        <w:rPr>
          <w:rFonts w:asciiTheme="minorHAnsi" w:hAnsiTheme="minorHAnsi"/>
          <w:lang w:val="cs-CZ"/>
        </w:rPr>
        <w:t xml:space="preserve">I v budoucím programovém období se bude u finančních nástrojů zachovávat uplatňování </w:t>
      </w:r>
      <w:r w:rsidRPr="000F2C87">
        <w:rPr>
          <w:rFonts w:asciiTheme="minorHAnsi" w:hAnsiTheme="minorHAnsi"/>
          <w:b/>
          <w:bCs/>
          <w:lang w:val="cs-CZ"/>
        </w:rPr>
        <w:t>horizontálních a průřezových pravidel</w:t>
      </w:r>
      <w:r w:rsidRPr="6D387690">
        <w:rPr>
          <w:rFonts w:asciiTheme="minorHAnsi" w:hAnsiTheme="minorHAnsi"/>
          <w:b/>
          <w:bCs/>
          <w:lang w:val="cs-CZ"/>
        </w:rPr>
        <w:t xml:space="preserve"> vyplývajících z legislativy EU</w:t>
      </w:r>
      <w:r w:rsidRPr="000F2C87">
        <w:rPr>
          <w:rFonts w:asciiTheme="minorHAnsi" w:hAnsiTheme="minorHAnsi"/>
          <w:lang w:val="cs-CZ"/>
        </w:rPr>
        <w:t xml:space="preserve">, zejména zásady </w:t>
      </w:r>
      <w:r w:rsidRPr="000F2C87">
        <w:rPr>
          <w:rFonts w:asciiTheme="minorHAnsi" w:hAnsiTheme="minorHAnsi"/>
          <w:b/>
          <w:bCs/>
          <w:lang w:val="cs-CZ"/>
        </w:rPr>
        <w:t xml:space="preserve">DNSH (Do No </w:t>
      </w:r>
      <w:r w:rsidRPr="000F2C87">
        <w:rPr>
          <w:rFonts w:asciiTheme="minorHAnsi" w:hAnsiTheme="minorHAnsi"/>
          <w:b/>
          <w:bCs/>
          <w:lang w:val="cs-CZ"/>
        </w:rPr>
        <w:t>Significant</w:t>
      </w:r>
      <w:r w:rsidRPr="000F2C87">
        <w:rPr>
          <w:rFonts w:asciiTheme="minorHAnsi" w:hAnsiTheme="minorHAnsi"/>
          <w:b/>
          <w:bCs/>
          <w:lang w:val="cs-CZ"/>
        </w:rPr>
        <w:t xml:space="preserve"> </w:t>
      </w:r>
      <w:r w:rsidRPr="000F2C87">
        <w:rPr>
          <w:rFonts w:asciiTheme="minorHAnsi" w:hAnsiTheme="minorHAnsi"/>
          <w:b/>
          <w:bCs/>
          <w:lang w:val="cs-CZ"/>
        </w:rPr>
        <w:t>Harm</w:t>
      </w:r>
      <w:r w:rsidRPr="000F2C87">
        <w:rPr>
          <w:rFonts w:asciiTheme="minorHAnsi" w:hAnsiTheme="minorHAnsi"/>
          <w:b/>
          <w:bCs/>
          <w:lang w:val="cs-CZ"/>
        </w:rPr>
        <w:t>)</w:t>
      </w:r>
      <w:r>
        <w:rPr>
          <w:rStyle w:val="FootnoteReference"/>
          <w:rFonts w:asciiTheme="minorHAnsi" w:hAnsiTheme="minorHAnsi"/>
          <w:b/>
          <w:bCs/>
          <w:lang w:val="cs-CZ"/>
        </w:rPr>
        <w:footnoteReference w:id="6"/>
      </w:r>
      <w:r w:rsidRPr="000F2C87">
        <w:rPr>
          <w:rFonts w:asciiTheme="minorHAnsi" w:hAnsiTheme="minorHAnsi"/>
          <w:lang w:val="cs-CZ"/>
        </w:rPr>
        <w:t xml:space="preserve">, pravidel veřejné podpory a kontrol zaměřených na </w:t>
      </w:r>
      <w:r w:rsidRPr="000F2C87">
        <w:rPr>
          <w:rFonts w:asciiTheme="minorHAnsi" w:hAnsiTheme="minorHAnsi"/>
          <w:b/>
          <w:bCs/>
          <w:lang w:val="cs-CZ"/>
        </w:rPr>
        <w:t>status malých a</w:t>
      </w:r>
      <w:r w:rsidR="005A72DA">
        <w:rPr>
          <w:rFonts w:asciiTheme="minorHAnsi" w:hAnsiTheme="minorHAnsi"/>
          <w:b/>
          <w:bCs/>
          <w:lang w:val="cs-CZ"/>
        </w:rPr>
        <w:t> </w:t>
      </w:r>
      <w:r w:rsidRPr="000F2C87">
        <w:rPr>
          <w:rFonts w:asciiTheme="minorHAnsi" w:hAnsiTheme="minorHAnsi"/>
          <w:b/>
          <w:bCs/>
          <w:lang w:val="cs-CZ"/>
        </w:rPr>
        <w:t>středních podniků (MSP)</w:t>
      </w:r>
      <w:r>
        <w:rPr>
          <w:rStyle w:val="FootnoteReference"/>
          <w:rFonts w:asciiTheme="minorHAnsi" w:hAnsiTheme="minorHAnsi"/>
          <w:b/>
          <w:bCs/>
          <w:lang w:val="cs-CZ"/>
        </w:rPr>
        <w:footnoteReference w:id="7"/>
      </w:r>
      <w:r w:rsidRPr="000F2C87">
        <w:rPr>
          <w:rFonts w:asciiTheme="minorHAnsi" w:hAnsiTheme="minorHAnsi"/>
          <w:b/>
          <w:bCs/>
          <w:lang w:val="cs-CZ"/>
        </w:rPr>
        <w:t>, včetně posuzování, zda se podnik nenachází v obtížích</w:t>
      </w:r>
      <w:r>
        <w:rPr>
          <w:rStyle w:val="FootnoteReference"/>
          <w:rFonts w:asciiTheme="minorHAnsi" w:hAnsiTheme="minorHAnsi"/>
          <w:lang w:val="cs-CZ"/>
        </w:rPr>
        <w:footnoteReference w:id="8"/>
      </w:r>
      <w:r w:rsidRPr="000F2C87">
        <w:rPr>
          <w:rFonts w:asciiTheme="minorHAnsi" w:hAnsiTheme="minorHAnsi"/>
          <w:lang w:val="cs-CZ"/>
        </w:rPr>
        <w:t>, jakož i</w:t>
      </w:r>
      <w:r w:rsidR="005A72DA">
        <w:rPr>
          <w:rFonts w:asciiTheme="minorHAnsi" w:hAnsiTheme="minorHAnsi"/>
          <w:lang w:val="cs-CZ"/>
        </w:rPr>
        <w:t> </w:t>
      </w:r>
      <w:r w:rsidRPr="000F2C87">
        <w:rPr>
          <w:rFonts w:asciiTheme="minorHAnsi" w:hAnsiTheme="minorHAnsi"/>
          <w:lang w:val="cs-CZ"/>
        </w:rPr>
        <w:t>dalších relevantních regulatorních požadavků vyplývajících z unijní a národní legislativy.</w:t>
      </w:r>
    </w:p>
    <w:p w:rsidR="000806F3" w:rsidP="00037BD7" w14:paraId="1AEA9298" w14:textId="7AD18F7D">
      <w:pPr>
        <w:pStyle w:val="Caption"/>
        <w:keepNext/>
        <w:spacing w:before="360"/>
      </w:pPr>
      <w:r>
        <w:t xml:space="preserve">Tabulka </w:t>
      </w:r>
      <w:r>
        <w:fldChar w:fldCharType="begin"/>
      </w:r>
      <w:r>
        <w:instrText xml:space="preserve"> SEQ Tabulka \* ARABIC </w:instrText>
      </w:r>
      <w:r>
        <w:fldChar w:fldCharType="separate"/>
      </w:r>
      <w:r>
        <w:t>4</w:t>
      </w:r>
      <w:r>
        <w:fldChar w:fldCharType="end"/>
      </w:r>
      <w:r>
        <w:t>:</w:t>
      </w:r>
      <w:r w:rsidR="00D20CE9">
        <w:t xml:space="preserve"> Souhrn </w:t>
      </w:r>
      <w:r w:rsidR="00D305D6">
        <w:t>dalších</w:t>
      </w:r>
      <w:r w:rsidR="00D20CE9">
        <w:t xml:space="preserve"> podmínek </w:t>
      </w:r>
      <w:r w:rsidR="00D305D6">
        <w:t>podpory z fondů EU</w:t>
      </w:r>
      <w:r w:rsidR="00C87EC1">
        <w:t xml:space="preserve">, zdroj: </w:t>
      </w:r>
      <w:r w:rsidR="0048446B">
        <w:t>MMR-NOK dle platné legislativy</w:t>
      </w:r>
    </w:p>
    <w:tbl>
      <w:tblPr>
        <w:tblW w:w="0" w:type="auto"/>
        <w:tblBorders>
          <w:top w:val="single" w:sz="4" w:space="0" w:color="D1D1D1"/>
          <w:left w:val="single" w:sz="4" w:space="0" w:color="D1D1D1"/>
          <w:bottom w:val="single" w:sz="4" w:space="0" w:color="D1D1D1"/>
          <w:right w:val="single" w:sz="4" w:space="0" w:color="D1D1D1"/>
          <w:insideH w:val="single" w:sz="4" w:space="0" w:color="D1D1D1"/>
          <w:insideV w:val="single" w:sz="4" w:space="0" w:color="D1D1D1"/>
        </w:tblBorders>
        <w:tblLook w:val="04A0"/>
      </w:tblPr>
      <w:tblGrid>
        <w:gridCol w:w="9016"/>
      </w:tblGrid>
      <w:tr w14:paraId="27FE685F" w14:textId="77777777" w:rsidTr="00717A3F">
        <w:tblPrEx>
          <w:tblW w:w="0" w:type="auto"/>
          <w:tblBorders>
            <w:top w:val="single" w:sz="4" w:space="0" w:color="D1D1D1"/>
            <w:left w:val="single" w:sz="4" w:space="0" w:color="D1D1D1"/>
            <w:bottom w:val="single" w:sz="4" w:space="0" w:color="D1D1D1"/>
            <w:right w:val="single" w:sz="4" w:space="0" w:color="D1D1D1"/>
            <w:insideH w:val="single" w:sz="4" w:space="0" w:color="D1D1D1"/>
            <w:insideV w:val="single" w:sz="4" w:space="0" w:color="D1D1D1"/>
          </w:tblBorders>
          <w:tblLook w:val="04A0"/>
        </w:tblPrEx>
        <w:tc>
          <w:tcPr>
            <w:tcW w:w="9016" w:type="dxa"/>
            <w:shd w:val="clear" w:color="auto" w:fill="034EA2"/>
          </w:tcPr>
          <w:p w:rsidR="0027656E" w:rsidRPr="00A83666" w:rsidP="00717A3F" w14:paraId="7BA5F03E" w14:textId="68366344">
            <w:pPr>
              <w:spacing w:before="40" w:after="40"/>
              <w:jc w:val="both"/>
              <w:rPr>
                <w:rFonts w:asciiTheme="minorHAnsi" w:hAnsiTheme="minorHAnsi"/>
                <w:b/>
                <w:bCs/>
                <w:color w:val="FFFFFF" w:themeColor="background1"/>
                <w:lang w:val="cs-CZ"/>
              </w:rPr>
            </w:pPr>
            <w:r w:rsidRPr="00E368F0">
              <w:rPr>
                <w:rFonts w:asciiTheme="minorHAnsi" w:hAnsiTheme="minorHAnsi"/>
                <w:b/>
                <w:bCs/>
                <w:color w:val="FFFFFF" w:themeColor="background1"/>
                <w:lang w:val="cs-CZ"/>
              </w:rPr>
              <w:t xml:space="preserve">Uplatnění zásady DNSH (Do No </w:t>
            </w:r>
            <w:r w:rsidRPr="00E368F0">
              <w:rPr>
                <w:rFonts w:asciiTheme="minorHAnsi" w:hAnsiTheme="minorHAnsi"/>
                <w:b/>
                <w:bCs/>
                <w:color w:val="FFFFFF" w:themeColor="background1"/>
                <w:lang w:val="cs-CZ"/>
              </w:rPr>
              <w:t>Significant</w:t>
            </w:r>
            <w:r w:rsidRPr="00E368F0">
              <w:rPr>
                <w:rFonts w:asciiTheme="minorHAnsi" w:hAnsiTheme="minorHAnsi"/>
                <w:b/>
                <w:bCs/>
                <w:color w:val="FFFFFF" w:themeColor="background1"/>
                <w:lang w:val="cs-CZ"/>
              </w:rPr>
              <w:t xml:space="preserve"> </w:t>
            </w:r>
            <w:r w:rsidRPr="00E368F0">
              <w:rPr>
                <w:rFonts w:asciiTheme="minorHAnsi" w:hAnsiTheme="minorHAnsi"/>
                <w:b/>
                <w:bCs/>
                <w:color w:val="FFFFFF" w:themeColor="background1"/>
                <w:lang w:val="cs-CZ"/>
              </w:rPr>
              <w:t>Harm</w:t>
            </w:r>
            <w:r w:rsidRPr="00E368F0">
              <w:rPr>
                <w:rFonts w:asciiTheme="minorHAnsi" w:hAnsiTheme="minorHAnsi"/>
                <w:b/>
                <w:bCs/>
                <w:color w:val="FFFFFF" w:themeColor="background1"/>
                <w:lang w:val="cs-CZ"/>
              </w:rPr>
              <w:t>)</w:t>
            </w:r>
          </w:p>
        </w:tc>
      </w:tr>
      <w:tr w14:paraId="01D90357" w14:textId="77777777" w:rsidTr="00717A3F">
        <w:tblPrEx>
          <w:tblW w:w="0" w:type="auto"/>
          <w:tblLook w:val="04A0"/>
        </w:tblPrEx>
        <w:tc>
          <w:tcPr>
            <w:tcW w:w="9016" w:type="dxa"/>
          </w:tcPr>
          <w:p w:rsidR="00E368F0" w:rsidRPr="000F2C87" w:rsidP="00E368F0" w14:paraId="46A6A371" w14:textId="29614EC8">
            <w:pPr>
              <w:pStyle w:val="ListParagraph"/>
              <w:numPr>
                <w:ilvl w:val="0"/>
                <w:numId w:val="4"/>
              </w:numPr>
              <w:spacing w:before="40" w:after="40"/>
              <w:ind w:left="447"/>
              <w:jc w:val="both"/>
              <w:rPr>
                <w:rFonts w:asciiTheme="minorHAnsi" w:hAnsiTheme="minorHAnsi"/>
                <w:lang w:val="cs-CZ"/>
              </w:rPr>
            </w:pPr>
            <w:r w:rsidRPr="000D4F8C">
              <w:t>vymezení relevance DNSH pro daný typ finančního nástroje a podporované aktivity</w:t>
            </w:r>
          </w:p>
        </w:tc>
      </w:tr>
      <w:tr w14:paraId="2DE3D1DD" w14:textId="77777777" w:rsidTr="00717A3F">
        <w:tblPrEx>
          <w:tblW w:w="0" w:type="auto"/>
          <w:tblLook w:val="04A0"/>
        </w:tblPrEx>
        <w:tc>
          <w:tcPr>
            <w:tcW w:w="9016" w:type="dxa"/>
          </w:tcPr>
          <w:p w:rsidR="00E368F0" w:rsidRPr="000F2C87" w:rsidP="00E368F0" w14:paraId="7D61D98C" w14:textId="15180B20">
            <w:pPr>
              <w:pStyle w:val="ListParagraph"/>
              <w:numPr>
                <w:ilvl w:val="0"/>
                <w:numId w:val="4"/>
              </w:numPr>
              <w:spacing w:before="40" w:after="40"/>
              <w:ind w:left="447"/>
              <w:jc w:val="both"/>
              <w:rPr>
                <w:rFonts w:asciiTheme="minorHAnsi" w:hAnsiTheme="minorHAnsi"/>
                <w:lang w:val="cs-CZ"/>
              </w:rPr>
            </w:pPr>
            <w:r w:rsidRPr="000D4F8C">
              <w:t xml:space="preserve">nastavení hodnoticích kritérií / </w:t>
            </w:r>
            <w:r w:rsidRPr="000D4F8C">
              <w:t>check</w:t>
            </w:r>
            <w:r w:rsidRPr="000D4F8C">
              <w:t>-listů pro posouzení souladu projektu s DNSH</w:t>
            </w:r>
          </w:p>
        </w:tc>
      </w:tr>
      <w:tr w14:paraId="744B1F1B" w14:textId="77777777" w:rsidTr="00717A3F">
        <w:tblPrEx>
          <w:tblW w:w="0" w:type="auto"/>
          <w:tblLook w:val="04A0"/>
        </w:tblPrEx>
        <w:tc>
          <w:tcPr>
            <w:tcW w:w="9016" w:type="dxa"/>
          </w:tcPr>
          <w:p w:rsidR="00E368F0" w:rsidRPr="000F2C87" w:rsidP="00E368F0" w14:paraId="17F6DB63" w14:textId="566F9481">
            <w:pPr>
              <w:pStyle w:val="ListParagraph"/>
              <w:numPr>
                <w:ilvl w:val="0"/>
                <w:numId w:val="4"/>
              </w:numPr>
              <w:spacing w:before="40" w:after="40"/>
              <w:ind w:left="447"/>
              <w:jc w:val="both"/>
              <w:rPr>
                <w:rFonts w:asciiTheme="minorHAnsi" w:hAnsiTheme="minorHAnsi"/>
                <w:lang w:val="cs-CZ"/>
              </w:rPr>
            </w:pPr>
            <w:r w:rsidRPr="000D4F8C">
              <w:t>vyžádání a posouzení prohlášení příjemce o souladu projektu s DNSH</w:t>
            </w:r>
          </w:p>
        </w:tc>
      </w:tr>
      <w:tr w14:paraId="5D9FFAF0" w14:textId="77777777" w:rsidTr="00717A3F">
        <w:tblPrEx>
          <w:tblW w:w="0" w:type="auto"/>
          <w:tblLook w:val="04A0"/>
        </w:tblPrEx>
        <w:tc>
          <w:tcPr>
            <w:tcW w:w="9016" w:type="dxa"/>
          </w:tcPr>
          <w:p w:rsidR="00E368F0" w:rsidRPr="000F2C87" w:rsidP="00E368F0" w14:paraId="00F54D38" w14:textId="11A0F674">
            <w:pPr>
              <w:pStyle w:val="ListParagraph"/>
              <w:numPr>
                <w:ilvl w:val="0"/>
                <w:numId w:val="4"/>
              </w:numPr>
              <w:spacing w:before="40" w:after="40"/>
              <w:ind w:left="447"/>
              <w:jc w:val="both"/>
              <w:rPr>
                <w:rFonts w:asciiTheme="minorHAnsi" w:hAnsiTheme="minorHAnsi"/>
                <w:lang w:val="cs-CZ"/>
              </w:rPr>
            </w:pPr>
            <w:r w:rsidRPr="000D4F8C">
              <w:t>průběžná kontrola dodržování DNSH v průběhu realizace a při ukončení operace</w:t>
            </w:r>
          </w:p>
        </w:tc>
      </w:tr>
      <w:tr w14:paraId="634A0F25" w14:textId="77777777" w:rsidTr="00717A3F">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shd w:val="clear" w:color="auto" w:fill="034EA2"/>
            <w:vAlign w:val="center"/>
          </w:tcPr>
          <w:p w:rsidR="0027656E" w:rsidRPr="00A83666" w:rsidP="00717A3F" w14:paraId="5D6ABFB9" w14:textId="73847B88">
            <w:pPr>
              <w:pStyle w:val="ListParagraph"/>
              <w:spacing w:before="40" w:after="40"/>
              <w:ind w:left="447" w:hanging="360"/>
              <w:rPr>
                <w:rFonts w:asciiTheme="minorHAnsi" w:hAnsiTheme="minorHAnsi"/>
                <w:b/>
                <w:bCs/>
                <w:color w:val="FFFFFF" w:themeColor="background1"/>
                <w:lang w:val="cs-CZ"/>
              </w:rPr>
            </w:pPr>
            <w:r w:rsidRPr="00B01047">
              <w:rPr>
                <w:rFonts w:asciiTheme="minorHAnsi" w:hAnsiTheme="minorHAnsi"/>
                <w:b/>
                <w:bCs/>
                <w:color w:val="FFFFFF" w:themeColor="background1"/>
                <w:lang w:val="cs-CZ"/>
              </w:rPr>
              <w:t>Posouzení pravidel veřejné podpory</w:t>
            </w:r>
          </w:p>
        </w:tc>
      </w:tr>
      <w:tr w14:paraId="02A629AC" w14:textId="77777777" w:rsidTr="00717A3F">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B01047" w:rsidRPr="000F2C87" w:rsidP="00B01047" w14:paraId="2B33F0B5" w14:textId="2B61FDB4">
            <w:pPr>
              <w:pStyle w:val="ListParagraph"/>
              <w:numPr>
                <w:ilvl w:val="0"/>
                <w:numId w:val="4"/>
              </w:numPr>
              <w:spacing w:before="40" w:after="40"/>
              <w:ind w:left="447"/>
              <w:jc w:val="both"/>
              <w:rPr>
                <w:rFonts w:asciiTheme="minorHAnsi" w:hAnsiTheme="minorHAnsi"/>
                <w:lang w:val="cs-CZ"/>
              </w:rPr>
            </w:pPr>
            <w:r w:rsidRPr="007E3F60">
              <w:t>identifikace aplikovatelného režimu veřejné podpory (GBER, de minimis, notifikace</w:t>
            </w:r>
            <w:r w:rsidR="00170446">
              <w:t>, SO</w:t>
            </w:r>
            <w:r w:rsidR="000C4F63">
              <w:t>HZ a SOHZ de minimis</w:t>
            </w:r>
            <w:r w:rsidRPr="007E3F60">
              <w:t>)</w:t>
            </w:r>
          </w:p>
        </w:tc>
      </w:tr>
      <w:tr w14:paraId="1F7F32C7" w14:textId="77777777" w:rsidTr="00717A3F">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B01047" w:rsidRPr="000F2C87" w:rsidP="00B01047" w14:paraId="05AED71D" w14:textId="7B5DDBB5">
            <w:pPr>
              <w:pStyle w:val="ListParagraph"/>
              <w:spacing w:before="40" w:after="40"/>
              <w:ind w:left="447"/>
              <w:jc w:val="both"/>
              <w:rPr>
                <w:rFonts w:asciiTheme="minorHAnsi" w:hAnsiTheme="minorHAnsi"/>
                <w:lang w:val="cs-CZ"/>
              </w:rPr>
            </w:pPr>
            <w:r w:rsidRPr="007E3F60">
              <w:t>ověření způsobilosti žadatele a podporované aktivity podle zvoleného režimu</w:t>
            </w:r>
          </w:p>
        </w:tc>
      </w:tr>
      <w:tr w14:paraId="3BE35610" w14:textId="77777777" w:rsidTr="00717A3F">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B01047" w:rsidRPr="000F2C87" w:rsidP="00B01047" w14:paraId="6DCBBB74" w14:textId="76776483">
            <w:pPr>
              <w:pStyle w:val="ListParagraph"/>
              <w:numPr>
                <w:ilvl w:val="0"/>
                <w:numId w:val="4"/>
              </w:numPr>
              <w:spacing w:before="40" w:after="40"/>
              <w:ind w:left="447"/>
              <w:jc w:val="both"/>
              <w:rPr>
                <w:rFonts w:asciiTheme="minorHAnsi" w:hAnsiTheme="minorHAnsi"/>
                <w:lang w:val="cs-CZ"/>
              </w:rPr>
            </w:pPr>
            <w:r w:rsidRPr="007E3F60">
              <w:t>kontrola výše podpory, kumulace a motivačního účinku</w:t>
            </w:r>
          </w:p>
        </w:tc>
      </w:tr>
      <w:tr w14:paraId="3A5F31D2" w14:textId="77777777" w:rsidTr="00717A3F">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B01047" w:rsidRPr="000F2C87" w:rsidP="00B01047" w14:paraId="1B6986A5" w14:textId="5D57E408">
            <w:pPr>
              <w:pStyle w:val="ListParagraph"/>
              <w:numPr>
                <w:ilvl w:val="0"/>
                <w:numId w:val="4"/>
              </w:numPr>
              <w:spacing w:before="40" w:after="40"/>
              <w:ind w:left="447"/>
              <w:jc w:val="both"/>
              <w:rPr>
                <w:rFonts w:asciiTheme="minorHAnsi" w:hAnsiTheme="minorHAnsi"/>
                <w:lang w:val="cs-CZ"/>
              </w:rPr>
            </w:pPr>
            <w:r w:rsidRPr="007E3F60">
              <w:t>zajištění evidence a reportingu veřejné podpory v souladu s národními a unijními požadavky</w:t>
            </w:r>
          </w:p>
        </w:tc>
      </w:tr>
      <w:tr w14:paraId="1A851943" w14:textId="77777777" w:rsidTr="00717A3F">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shd w:val="clear" w:color="auto" w:fill="034EA2"/>
            <w:vAlign w:val="center"/>
          </w:tcPr>
          <w:p w:rsidR="00B01047" w:rsidRPr="00A83666" w:rsidP="00717A3F" w14:paraId="6D095815" w14:textId="77F128B7">
            <w:pPr>
              <w:pStyle w:val="ListParagraph"/>
              <w:spacing w:before="40" w:after="40"/>
              <w:ind w:left="447" w:hanging="360"/>
              <w:rPr>
                <w:rFonts w:asciiTheme="minorHAnsi" w:hAnsiTheme="minorHAnsi"/>
                <w:b/>
                <w:bCs/>
                <w:color w:val="FFFFFF" w:themeColor="background1"/>
                <w:lang w:val="cs-CZ"/>
              </w:rPr>
            </w:pPr>
            <w:r w:rsidRPr="00B01047">
              <w:rPr>
                <w:rFonts w:asciiTheme="minorHAnsi" w:hAnsiTheme="minorHAnsi"/>
                <w:b/>
                <w:bCs/>
                <w:color w:val="FFFFFF" w:themeColor="background1"/>
                <w:lang w:val="cs-CZ"/>
              </w:rPr>
              <w:t>Ověření statusu malého a středního podniku (MSP)</w:t>
            </w:r>
          </w:p>
        </w:tc>
      </w:tr>
      <w:tr w14:paraId="33E775E3" w14:textId="77777777" w:rsidTr="00B01047">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B01047" w:rsidRPr="00B01047" w:rsidP="00B01047" w14:paraId="405C66FB" w14:textId="0FD3FD39">
            <w:pPr>
              <w:pStyle w:val="ListParagraph"/>
              <w:numPr>
                <w:ilvl w:val="0"/>
                <w:numId w:val="4"/>
              </w:numPr>
              <w:spacing w:before="40" w:after="40"/>
              <w:ind w:left="447"/>
              <w:jc w:val="both"/>
            </w:pPr>
            <w:r w:rsidRPr="008C7C12">
              <w:t>posouzení velikostní kategorie podniku (MSP / velký podnik)</w:t>
            </w:r>
          </w:p>
        </w:tc>
      </w:tr>
      <w:tr w14:paraId="5DBBDEAB" w14:textId="77777777" w:rsidTr="00B01047">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B01047" w:rsidRPr="00B01047" w:rsidP="00B01047" w14:paraId="51A262F9" w14:textId="52A61FEA">
            <w:pPr>
              <w:pStyle w:val="ListParagraph"/>
              <w:numPr>
                <w:ilvl w:val="0"/>
                <w:numId w:val="4"/>
              </w:numPr>
              <w:spacing w:before="40" w:after="40"/>
              <w:ind w:left="447"/>
              <w:jc w:val="both"/>
            </w:pPr>
            <w:r w:rsidRPr="008C7C12">
              <w:t>kontrola vlastnických a partnerských vztahů (propojené a partnerské podniky)</w:t>
            </w:r>
          </w:p>
        </w:tc>
      </w:tr>
      <w:tr w14:paraId="1FB36210" w14:textId="77777777" w:rsidTr="00B01047">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B01047" w:rsidRPr="00B01047" w:rsidP="00B01047" w14:paraId="0B5A3BC3" w14:textId="4A23344A">
            <w:pPr>
              <w:pStyle w:val="ListParagraph"/>
              <w:numPr>
                <w:ilvl w:val="0"/>
                <w:numId w:val="4"/>
              </w:numPr>
              <w:spacing w:before="40" w:after="40"/>
              <w:ind w:left="447"/>
              <w:jc w:val="both"/>
            </w:pPr>
            <w:r w:rsidRPr="008C7C12">
              <w:t>ověření splnění limitů pro zaměstnance, obrat a bilanční sumu</w:t>
            </w:r>
          </w:p>
        </w:tc>
      </w:tr>
    </w:tbl>
    <w:p w:rsidR="00037BD7" w14:paraId="22E62BA7" w14:textId="77777777"/>
    <w:p w:rsidR="00037BD7" w14:paraId="7F5A5E40" w14:textId="77777777"/>
    <w:p w:rsidR="00037BD7" w14:paraId="23986294" w14:textId="77777777"/>
    <w:tbl>
      <w:tblPr>
        <w:tblW w:w="0" w:type="auto"/>
        <w:tblBorders>
          <w:top w:val="single" w:sz="4" w:space="0" w:color="D1D1D1"/>
          <w:left w:val="single" w:sz="4" w:space="0" w:color="D1D1D1"/>
          <w:bottom w:val="single" w:sz="4" w:space="0" w:color="D1D1D1"/>
          <w:right w:val="single" w:sz="4" w:space="0" w:color="D1D1D1"/>
          <w:insideH w:val="single" w:sz="4" w:space="0" w:color="D1D1D1"/>
          <w:insideV w:val="single" w:sz="4" w:space="0" w:color="D1D1D1"/>
        </w:tblBorders>
        <w:tblLook w:val="04A0"/>
      </w:tblPr>
      <w:tblGrid>
        <w:gridCol w:w="9016"/>
      </w:tblGrid>
      <w:tr w14:paraId="1B08E810" w14:textId="77777777" w:rsidTr="00717A3F">
        <w:tblPrEx>
          <w:tblW w:w="0" w:type="auto"/>
          <w:tblBorders>
            <w:top w:val="single" w:sz="4" w:space="0" w:color="D1D1D1"/>
            <w:left w:val="single" w:sz="4" w:space="0" w:color="D1D1D1"/>
            <w:bottom w:val="single" w:sz="4" w:space="0" w:color="D1D1D1"/>
            <w:right w:val="single" w:sz="4" w:space="0" w:color="D1D1D1"/>
            <w:insideH w:val="single" w:sz="4" w:space="0" w:color="D1D1D1"/>
            <w:insideV w:val="single" w:sz="4" w:space="0" w:color="D1D1D1"/>
          </w:tblBorders>
          <w:tblLook w:val="04A0"/>
        </w:tblPrEx>
        <w:tc>
          <w:tcPr>
            <w:tcW w:w="9016" w:type="dxa"/>
            <w:tcBorders>
              <w:top w:val="single" w:sz="4" w:space="0" w:color="D1D1D1"/>
              <w:left w:val="single" w:sz="4" w:space="0" w:color="D1D1D1"/>
              <w:bottom w:val="single" w:sz="4" w:space="0" w:color="D1D1D1"/>
              <w:right w:val="single" w:sz="4" w:space="0" w:color="D1D1D1"/>
            </w:tcBorders>
            <w:shd w:val="clear" w:color="auto" w:fill="034EA2"/>
            <w:vAlign w:val="center"/>
          </w:tcPr>
          <w:p w:rsidR="00B01047" w:rsidRPr="00A83666" w:rsidP="00717A3F" w14:paraId="35911CC1" w14:textId="01FEB991">
            <w:pPr>
              <w:pStyle w:val="ListParagraph"/>
              <w:spacing w:before="40" w:after="40"/>
              <w:ind w:left="447" w:hanging="360"/>
              <w:rPr>
                <w:rFonts w:asciiTheme="minorHAnsi" w:hAnsiTheme="minorHAnsi"/>
                <w:b/>
                <w:bCs/>
                <w:color w:val="FFFFFF" w:themeColor="background1"/>
                <w:lang w:val="cs-CZ"/>
              </w:rPr>
            </w:pPr>
            <w:r w:rsidRPr="00B01047">
              <w:rPr>
                <w:rFonts w:asciiTheme="minorHAnsi" w:hAnsiTheme="minorHAnsi"/>
                <w:b/>
                <w:bCs/>
                <w:color w:val="FFFFFF" w:themeColor="background1"/>
                <w:lang w:val="cs-CZ"/>
              </w:rPr>
              <w:t>Posouzení, zda se podnik nenachází v obtížích</w:t>
            </w:r>
          </w:p>
        </w:tc>
      </w:tr>
      <w:tr w14:paraId="290CCEB8" w14:textId="77777777" w:rsidTr="00B01047">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B01047" w:rsidRPr="00B01047" w:rsidP="00B01047" w14:paraId="4F87D540" w14:textId="4399E462">
            <w:pPr>
              <w:pStyle w:val="ListParagraph"/>
              <w:numPr>
                <w:ilvl w:val="0"/>
                <w:numId w:val="4"/>
              </w:numPr>
              <w:spacing w:before="40" w:after="40"/>
              <w:ind w:left="447"/>
              <w:jc w:val="both"/>
            </w:pPr>
            <w:r w:rsidRPr="00A82C06">
              <w:t>prověření ekonomické a finanční situace žadatele dle definice „podnik v obtížích“</w:t>
            </w:r>
          </w:p>
        </w:tc>
      </w:tr>
      <w:tr w14:paraId="57C8DEDA" w14:textId="77777777" w:rsidTr="00B01047">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B01047" w:rsidRPr="00B01047" w:rsidP="00B01047" w14:paraId="6B6333D8" w14:textId="01DB53DB">
            <w:pPr>
              <w:pStyle w:val="ListParagraph"/>
              <w:numPr>
                <w:ilvl w:val="0"/>
                <w:numId w:val="4"/>
              </w:numPr>
              <w:spacing w:before="40" w:after="40"/>
              <w:ind w:left="447"/>
              <w:jc w:val="both"/>
            </w:pPr>
            <w:r w:rsidRPr="00A82C06">
              <w:t>vyhodnocení účetních a finančních ukazatelů</w:t>
            </w:r>
          </w:p>
        </w:tc>
      </w:tr>
      <w:tr w14:paraId="186D38E0" w14:textId="77777777" w:rsidTr="00B01047">
        <w:tblPrEx>
          <w:tblW w:w="0" w:type="auto"/>
          <w:tblLook w:val="04A0"/>
        </w:tblPrEx>
        <w:tc>
          <w:tcPr>
            <w:tcW w:w="9016" w:type="dxa"/>
            <w:tcBorders>
              <w:top w:val="single" w:sz="4" w:space="0" w:color="D1D1D1"/>
              <w:left w:val="single" w:sz="4" w:space="0" w:color="D1D1D1"/>
              <w:bottom w:val="single" w:sz="4" w:space="0" w:color="D1D1D1"/>
              <w:right w:val="single" w:sz="4" w:space="0" w:color="D1D1D1"/>
            </w:tcBorders>
          </w:tcPr>
          <w:p w:rsidR="00B01047" w:rsidRPr="00B01047" w:rsidP="00B01047" w14:paraId="501A34ED" w14:textId="562C9A46">
            <w:pPr>
              <w:pStyle w:val="ListParagraph"/>
              <w:numPr>
                <w:ilvl w:val="0"/>
                <w:numId w:val="4"/>
              </w:numPr>
              <w:spacing w:before="40" w:after="40"/>
              <w:ind w:left="447"/>
              <w:jc w:val="both"/>
            </w:pPr>
            <w:r w:rsidRPr="00A82C06">
              <w:t>vyloučení subjektů, které nesplňují podmínky způsobilosti</w:t>
            </w:r>
          </w:p>
        </w:tc>
      </w:tr>
    </w:tbl>
    <w:p w:rsidR="00037BD7" w:rsidP="00ED7ECA" w14:paraId="419B04AF" w14:textId="77777777">
      <w:pPr>
        <w:spacing w:before="240" w:after="240"/>
        <w:jc w:val="both"/>
        <w:rPr>
          <w:rFonts w:asciiTheme="minorHAnsi" w:hAnsiTheme="minorHAnsi"/>
          <w:lang w:val="cs-CZ"/>
        </w:rPr>
      </w:pPr>
    </w:p>
    <w:p w:rsidR="00294CD7" w:rsidRPr="000F2C87" w:rsidP="00ED7ECA" w14:paraId="18643239" w14:textId="3497E0E2">
      <w:pPr>
        <w:spacing w:before="240" w:after="240"/>
        <w:jc w:val="both"/>
        <w:rPr>
          <w:rFonts w:asciiTheme="minorHAnsi" w:hAnsiTheme="minorHAnsi"/>
          <w:lang w:val="cs-CZ"/>
        </w:rPr>
      </w:pPr>
      <w:r w:rsidRPr="000F2C87">
        <w:rPr>
          <w:rFonts w:asciiTheme="minorHAnsi" w:hAnsiTheme="minorHAnsi"/>
          <w:lang w:val="cs-CZ"/>
        </w:rPr>
        <w:t xml:space="preserve">V praxi to znamená, že finanční nástroje budou i nadále podléhat </w:t>
      </w:r>
      <w:r w:rsidRPr="000F2C87">
        <w:rPr>
          <w:rFonts w:asciiTheme="minorHAnsi" w:hAnsiTheme="minorHAnsi"/>
          <w:b/>
          <w:lang w:val="cs-CZ"/>
        </w:rPr>
        <w:t>víceúrovňovému kontrolnímu a hodnoticímu rámci</w:t>
      </w:r>
      <w:r w:rsidRPr="000F2C87">
        <w:rPr>
          <w:rFonts w:asciiTheme="minorHAnsi" w:hAnsiTheme="minorHAnsi"/>
          <w:lang w:val="cs-CZ"/>
        </w:rPr>
        <w:t>, který propojuje finanční logiku návratnosti s plněním věcných, environmentálních a strukturálních cílů politiky. Design finančních nástrojů proto musí již od</w:t>
      </w:r>
      <w:r w:rsidR="000007FA">
        <w:rPr>
          <w:rFonts w:asciiTheme="minorHAnsi" w:hAnsiTheme="minorHAnsi"/>
          <w:lang w:val="cs-CZ"/>
        </w:rPr>
        <w:t> </w:t>
      </w:r>
      <w:r w:rsidRPr="000F2C87">
        <w:rPr>
          <w:rFonts w:asciiTheme="minorHAnsi" w:hAnsiTheme="minorHAnsi"/>
          <w:lang w:val="cs-CZ"/>
        </w:rPr>
        <w:t xml:space="preserve">počátku zohledňovat nejen ekonomické parametry a rizikový profil, ale také </w:t>
      </w:r>
      <w:r w:rsidRPr="000F2C87">
        <w:rPr>
          <w:rFonts w:asciiTheme="minorHAnsi" w:hAnsiTheme="minorHAnsi"/>
          <w:b/>
          <w:lang w:val="cs-CZ"/>
        </w:rPr>
        <w:t>administrativní náročnost, kontrolní mechanismy a schopnost průběžně prokazovat soulad s</w:t>
      </w:r>
      <w:r w:rsidRPr="000F2C87" w:rsidR="0041166F">
        <w:rPr>
          <w:rFonts w:asciiTheme="minorHAnsi" w:hAnsiTheme="minorHAnsi"/>
          <w:b/>
          <w:lang w:val="cs-CZ"/>
        </w:rPr>
        <w:t xml:space="preserve"> horizontálními </w:t>
      </w:r>
      <w:r w:rsidRPr="000F2C87">
        <w:rPr>
          <w:rFonts w:asciiTheme="minorHAnsi" w:hAnsiTheme="minorHAnsi"/>
          <w:b/>
          <w:lang w:val="cs-CZ"/>
        </w:rPr>
        <w:t xml:space="preserve">pravidly </w:t>
      </w:r>
      <w:r w:rsidRPr="000F2C87" w:rsidR="00B42593">
        <w:rPr>
          <w:rFonts w:asciiTheme="minorHAnsi" w:hAnsiTheme="minorHAnsi"/>
          <w:lang w:val="cs-CZ"/>
        </w:rPr>
        <w:t>a další</w:t>
      </w:r>
      <w:r w:rsidRPr="000F2C87" w:rsidR="0041166F">
        <w:rPr>
          <w:rFonts w:asciiTheme="minorHAnsi" w:hAnsiTheme="minorHAnsi"/>
          <w:lang w:val="cs-CZ"/>
        </w:rPr>
        <w:t>mi</w:t>
      </w:r>
      <w:r w:rsidRPr="000F2C87" w:rsidR="00B42593">
        <w:rPr>
          <w:rFonts w:asciiTheme="minorHAnsi" w:hAnsiTheme="minorHAnsi"/>
          <w:lang w:val="cs-CZ"/>
        </w:rPr>
        <w:t xml:space="preserve"> podmínk</w:t>
      </w:r>
      <w:r w:rsidRPr="000F2C87" w:rsidR="0041166F">
        <w:rPr>
          <w:rFonts w:asciiTheme="minorHAnsi" w:hAnsiTheme="minorHAnsi"/>
          <w:lang w:val="cs-CZ"/>
        </w:rPr>
        <w:t>ami</w:t>
      </w:r>
      <w:r w:rsidRPr="000F2C87" w:rsidR="00B42593">
        <w:rPr>
          <w:rFonts w:asciiTheme="minorHAnsi" w:hAnsiTheme="minorHAnsi"/>
          <w:lang w:val="cs-CZ"/>
        </w:rPr>
        <w:t xml:space="preserve"> fondů EU </w:t>
      </w:r>
      <w:r w:rsidRPr="000F2C87">
        <w:rPr>
          <w:rFonts w:asciiTheme="minorHAnsi" w:hAnsiTheme="minorHAnsi"/>
          <w:lang w:val="cs-CZ"/>
        </w:rPr>
        <w:t>v celém životním cyklu nástroje.</w:t>
      </w:r>
      <w:r w:rsidRPr="000F2C87" w:rsidR="009476A5">
        <w:rPr>
          <w:rFonts w:asciiTheme="minorHAnsi" w:hAnsiTheme="minorHAnsi"/>
          <w:lang w:val="cs-CZ"/>
        </w:rPr>
        <w:t xml:space="preserve"> </w:t>
      </w:r>
    </w:p>
    <w:p w:rsidR="009B6705" w:rsidRPr="00503753" w:rsidP="00503753" w14:paraId="00000154" w14:textId="503BADFF">
      <w:pPr>
        <w:spacing w:before="240" w:after="240"/>
        <w:jc w:val="both"/>
        <w:rPr>
          <w:rFonts w:asciiTheme="minorHAnsi" w:hAnsiTheme="minorHAnsi"/>
          <w:lang w:val="cs-CZ"/>
        </w:rPr>
      </w:pPr>
      <w:r w:rsidRPr="000F2C87">
        <w:rPr>
          <w:rFonts w:asciiTheme="minorHAnsi" w:hAnsiTheme="minorHAnsi"/>
          <w:lang w:val="cs-CZ"/>
        </w:rPr>
        <w:t xml:space="preserve">Z hlediska regulatorního a institucionálního rámce </w:t>
      </w:r>
      <w:r w:rsidR="00BF23CF">
        <w:rPr>
          <w:rFonts w:asciiTheme="minorHAnsi" w:hAnsiTheme="minorHAnsi"/>
          <w:lang w:val="cs-CZ"/>
        </w:rPr>
        <w:t xml:space="preserve">tak </w:t>
      </w:r>
      <w:r w:rsidRPr="000F2C87">
        <w:rPr>
          <w:rFonts w:asciiTheme="minorHAnsi" w:hAnsiTheme="minorHAnsi"/>
          <w:lang w:val="cs-CZ"/>
        </w:rPr>
        <w:t>představují finanční nástroje financované z</w:t>
      </w:r>
      <w:r w:rsidR="000007FA">
        <w:rPr>
          <w:rFonts w:asciiTheme="minorHAnsi" w:hAnsiTheme="minorHAnsi"/>
          <w:lang w:val="cs-CZ"/>
        </w:rPr>
        <w:t> </w:t>
      </w:r>
      <w:r w:rsidRPr="000F2C87">
        <w:rPr>
          <w:rFonts w:asciiTheme="minorHAnsi" w:hAnsiTheme="minorHAnsi"/>
          <w:lang w:val="cs-CZ"/>
        </w:rPr>
        <w:t xml:space="preserve">fondů EU </w:t>
      </w:r>
      <w:r w:rsidRPr="000F2C87" w:rsidR="00665A45">
        <w:rPr>
          <w:rFonts w:asciiTheme="minorHAnsi" w:hAnsiTheme="minorHAnsi"/>
          <w:b/>
          <w:bCs/>
          <w:lang w:val="cs-CZ"/>
        </w:rPr>
        <w:t>silně regulovaný nástroj politiky,</w:t>
      </w:r>
      <w:r w:rsidRPr="000F2C87" w:rsidR="00665A45">
        <w:rPr>
          <w:rFonts w:asciiTheme="minorHAnsi" w:hAnsiTheme="minorHAnsi"/>
          <w:b/>
          <w:bCs/>
          <w:lang w:val="cs-CZ"/>
        </w:rPr>
        <w:t xml:space="preserve"> </w:t>
      </w:r>
      <w:r w:rsidRPr="000F2C87">
        <w:rPr>
          <w:rFonts w:asciiTheme="minorHAnsi" w:hAnsiTheme="minorHAnsi"/>
          <w:lang w:val="cs-CZ"/>
        </w:rPr>
        <w:t xml:space="preserve">než finanční nástroje realizované prostřednictvím </w:t>
      </w:r>
      <w:r w:rsidRPr="000F2C87">
        <w:rPr>
          <w:rFonts w:asciiTheme="minorHAnsi" w:hAnsiTheme="minorHAnsi"/>
          <w:b/>
          <w:bCs/>
          <w:lang w:val="cs-CZ"/>
        </w:rPr>
        <w:t xml:space="preserve">EIB </w:t>
      </w:r>
      <w:r w:rsidRPr="000F2C87">
        <w:rPr>
          <w:rFonts w:asciiTheme="minorHAnsi" w:hAnsiTheme="minorHAnsi"/>
          <w:lang w:val="cs-CZ"/>
        </w:rPr>
        <w:t xml:space="preserve">nebo </w:t>
      </w:r>
      <w:r w:rsidRPr="000F2C87">
        <w:rPr>
          <w:rFonts w:asciiTheme="minorHAnsi" w:hAnsiTheme="minorHAnsi"/>
          <w:b/>
          <w:bCs/>
          <w:lang w:val="cs-CZ"/>
        </w:rPr>
        <w:t>EIF</w:t>
      </w:r>
      <w:r w:rsidR="00BF23CF">
        <w:rPr>
          <w:rFonts w:asciiTheme="minorHAnsi" w:hAnsiTheme="minorHAnsi"/>
          <w:b/>
          <w:bCs/>
          <w:lang w:val="cs-CZ"/>
        </w:rPr>
        <w:t>, na které t</w:t>
      </w:r>
      <w:r w:rsidR="00983618">
        <w:rPr>
          <w:rFonts w:asciiTheme="minorHAnsi" w:hAnsiTheme="minorHAnsi"/>
          <w:b/>
          <w:bCs/>
          <w:lang w:val="cs-CZ"/>
        </w:rPr>
        <w:t>a</w:t>
      </w:r>
      <w:r w:rsidR="00BF23CF">
        <w:rPr>
          <w:rFonts w:asciiTheme="minorHAnsi" w:hAnsiTheme="minorHAnsi"/>
          <w:b/>
          <w:bCs/>
          <w:lang w:val="cs-CZ"/>
        </w:rPr>
        <w:t>to pravidla nedopadají</w:t>
      </w:r>
      <w:r w:rsidRPr="000F2C87">
        <w:rPr>
          <w:rFonts w:asciiTheme="minorHAnsi" w:hAnsiTheme="minorHAnsi"/>
          <w:lang w:val="cs-CZ"/>
        </w:rPr>
        <w:t>.</w:t>
      </w:r>
      <w:r w:rsidRPr="000F2C87" w:rsidR="003C3C7F">
        <w:rPr>
          <w:rFonts w:asciiTheme="minorHAnsi" w:hAnsiTheme="minorHAnsi"/>
          <w:lang w:val="cs-CZ"/>
        </w:rPr>
        <w:t xml:space="preserve"> T</w:t>
      </w:r>
      <w:r w:rsidRPr="000F2C87" w:rsidR="00EF4E51">
        <w:rPr>
          <w:rFonts w:asciiTheme="minorHAnsi" w:hAnsiTheme="minorHAnsi"/>
          <w:lang w:val="cs-CZ"/>
        </w:rPr>
        <w:t xml:space="preserve">y </w:t>
      </w:r>
      <w:r w:rsidRPr="000F2C87" w:rsidR="003C3C7F">
        <w:rPr>
          <w:rFonts w:asciiTheme="minorHAnsi" w:hAnsiTheme="minorHAnsi"/>
          <w:lang w:val="cs-CZ"/>
        </w:rPr>
        <w:t xml:space="preserve">jsou koncipovány primárně jako </w:t>
      </w:r>
      <w:r w:rsidRPr="000F2C87" w:rsidR="003C3C7F">
        <w:rPr>
          <w:rFonts w:asciiTheme="minorHAnsi" w:hAnsiTheme="minorHAnsi"/>
          <w:b/>
          <w:bCs/>
          <w:lang w:val="cs-CZ"/>
        </w:rPr>
        <w:t>investiční a rizikové produkty</w:t>
      </w:r>
      <w:r w:rsidRPr="000F2C87" w:rsidR="003C3C7F">
        <w:rPr>
          <w:rFonts w:asciiTheme="minorHAnsi" w:hAnsiTheme="minorHAnsi"/>
          <w:lang w:val="cs-CZ"/>
        </w:rPr>
        <w:t>, které se opírají o interní rámce těchto institucí, jejich standardizované procesy řízení rizik a jednotnou metodiku hodnocení projektů. Politické cíle EU jsou zde zpravidla integrovány na úrovni mandátu či</w:t>
      </w:r>
      <w:r w:rsidR="000007FA">
        <w:rPr>
          <w:rFonts w:asciiTheme="minorHAnsi" w:hAnsiTheme="minorHAnsi"/>
          <w:lang w:val="cs-CZ"/>
        </w:rPr>
        <w:t> </w:t>
      </w:r>
      <w:r w:rsidRPr="000F2C87" w:rsidR="003C3C7F">
        <w:rPr>
          <w:rFonts w:asciiTheme="minorHAnsi" w:hAnsiTheme="minorHAnsi"/>
          <w:lang w:val="cs-CZ"/>
        </w:rPr>
        <w:t>investiční strategie, nikoli prostřednictvím detailních programových a výkonnostních vazeb na</w:t>
      </w:r>
      <w:r w:rsidR="000007FA">
        <w:rPr>
          <w:rFonts w:asciiTheme="minorHAnsi" w:hAnsiTheme="minorHAnsi"/>
          <w:lang w:val="cs-CZ"/>
        </w:rPr>
        <w:t> </w:t>
      </w:r>
      <w:r w:rsidRPr="000F2C87" w:rsidR="003C3C7F">
        <w:rPr>
          <w:rFonts w:asciiTheme="minorHAnsi" w:hAnsiTheme="minorHAnsi"/>
          <w:lang w:val="cs-CZ"/>
        </w:rPr>
        <w:t>úrovni jednotlivých nástrojů. Výsledkem je nižší administrativní zátěž, vyšší flexibilita při</w:t>
      </w:r>
      <w:r w:rsidR="000007FA">
        <w:rPr>
          <w:rFonts w:asciiTheme="minorHAnsi" w:hAnsiTheme="minorHAnsi"/>
          <w:lang w:val="cs-CZ"/>
        </w:rPr>
        <w:t> </w:t>
      </w:r>
      <w:r w:rsidRPr="000F2C87" w:rsidR="003C3C7F">
        <w:rPr>
          <w:rFonts w:asciiTheme="minorHAnsi" w:hAnsiTheme="minorHAnsi"/>
          <w:lang w:val="cs-CZ"/>
        </w:rPr>
        <w:t>úpravách produktů a rychlejší reakce na potřeby trhu.</w:t>
      </w:r>
      <w:r>
        <w:rPr>
          <w:lang w:val="cs-CZ"/>
        </w:rPr>
        <w:br w:type="page"/>
      </w:r>
    </w:p>
    <w:p w:rsidR="009B6705" w:rsidP="00794716" w14:paraId="75A2484E" w14:textId="77BC5A58">
      <w:pPr>
        <w:pStyle w:val="Heading1"/>
      </w:pPr>
      <w:bookmarkStart w:id="16" w:name="_Toc256000009"/>
      <w:r>
        <w:t xml:space="preserve">BARIÉRY </w:t>
      </w:r>
      <w:r w:rsidR="004C2585">
        <w:t>REALIZACE FINANČNÍCH NÁSTROJŮ</w:t>
      </w:r>
      <w:bookmarkEnd w:id="16"/>
    </w:p>
    <w:p w:rsidR="00492096" w:rsidRPr="00C72BA4" w:rsidP="0010651B" w14:paraId="47ADDF3B" w14:textId="401D7561">
      <w:pPr>
        <w:spacing w:before="240" w:after="240"/>
        <w:jc w:val="both"/>
        <w:rPr>
          <w:rFonts w:asciiTheme="minorHAnsi" w:hAnsiTheme="minorHAnsi"/>
          <w:b/>
          <w:lang w:val="cs-CZ"/>
        </w:rPr>
      </w:pPr>
      <w:r w:rsidRPr="000F2C87">
        <w:rPr>
          <w:rFonts w:asciiTheme="minorHAnsi" w:hAnsiTheme="minorHAnsi"/>
          <w:lang w:val="cs-CZ"/>
        </w:rPr>
        <w:t>Realizace veřejných politik prostřednictvím finančních nástrojů je v současnosti obtížná kvůli</w:t>
      </w:r>
      <w:r w:rsidR="000007FA">
        <w:rPr>
          <w:rFonts w:asciiTheme="minorHAnsi" w:hAnsiTheme="minorHAnsi"/>
          <w:lang w:val="cs-CZ"/>
        </w:rPr>
        <w:t> </w:t>
      </w:r>
      <w:r w:rsidRPr="000F2C87">
        <w:rPr>
          <w:rFonts w:asciiTheme="minorHAnsi" w:hAnsiTheme="minorHAnsi"/>
          <w:lang w:val="cs-CZ"/>
        </w:rPr>
        <w:t xml:space="preserve">řadě omezení. Je proto žádoucí nastavit implementační prostředí tak, aby bylo možné veřejné prostředky efektivně využívat prostřednictvím návratných forem podpory. </w:t>
      </w:r>
      <w:r w:rsidRPr="000F2C87">
        <w:rPr>
          <w:rFonts w:asciiTheme="minorHAnsi" w:hAnsiTheme="minorHAnsi"/>
          <w:b/>
          <w:bCs/>
          <w:lang w:val="cs-CZ"/>
        </w:rPr>
        <w:t xml:space="preserve">Klíčové je posílení role návratné podpory jako standardního nástroje hospodářské politiky státu, opřené o odpovídající legislativu a odborné kapacity. </w:t>
      </w:r>
      <w:r w:rsidRPr="000F2C87">
        <w:rPr>
          <w:rFonts w:asciiTheme="minorHAnsi" w:hAnsiTheme="minorHAnsi"/>
          <w:lang w:val="cs-CZ"/>
        </w:rPr>
        <w:t>Národní orgán pro koordinaci na základě dvoukolového screeningu identifikoval bariéry, které dosud brání širšímu využívání finančních nástrojů v</w:t>
      </w:r>
      <w:r w:rsidRPr="000F2C87">
        <w:rPr>
          <w:rFonts w:asciiTheme="minorHAnsi" w:hAnsiTheme="minorHAnsi"/>
          <w:lang w:val="cs-CZ"/>
        </w:rPr>
        <w:t> </w:t>
      </w:r>
      <w:r w:rsidRPr="000F2C87">
        <w:rPr>
          <w:rFonts w:asciiTheme="minorHAnsi" w:hAnsiTheme="minorHAnsi"/>
          <w:lang w:val="cs-CZ"/>
        </w:rPr>
        <w:t>ČR</w:t>
      </w:r>
      <w:r w:rsidRPr="00C72BA4">
        <w:rPr>
          <w:rFonts w:asciiTheme="minorHAnsi" w:hAnsiTheme="minorHAnsi"/>
          <w:b/>
          <w:lang w:val="cs-CZ"/>
        </w:rPr>
        <w:t>.</w:t>
      </w:r>
    </w:p>
    <w:p w:rsidR="00B819BB" w:rsidRPr="000F2C87" w:rsidP="0010651B" w14:paraId="0A64FDA6" w14:textId="5EADA08F">
      <w:pPr>
        <w:spacing w:before="240" w:after="240"/>
        <w:jc w:val="both"/>
        <w:rPr>
          <w:lang w:val="cs-CZ"/>
        </w:rPr>
      </w:pPr>
      <w:r w:rsidRPr="000F2C87">
        <w:rPr>
          <w:lang w:val="cs-CZ"/>
        </w:rPr>
        <w:t xml:space="preserve">Dosavadní zkušenosti s přípravou a implementací finančních nástrojů ukazují, že bariéry jejich širšího uplatnění nevyplývají pouze z absence explicitní legislativní úpravy. Klíčovým problémem je zejména </w:t>
      </w:r>
      <w:r w:rsidRPr="000F2C87">
        <w:rPr>
          <w:b/>
          <w:bCs/>
          <w:lang w:val="cs-CZ"/>
        </w:rPr>
        <w:t>nedostatečná koherence jednotlivých prvků právního a rozpočtového rámce</w:t>
      </w:r>
      <w:r w:rsidRPr="000F2C87">
        <w:rPr>
          <w:lang w:val="cs-CZ"/>
        </w:rPr>
        <w:t>. Tato strukturální neprovázanost generuje zvýšenou míru právní nejistoty, vytváří prostor pro</w:t>
      </w:r>
      <w:r w:rsidR="000007FA">
        <w:rPr>
          <w:lang w:val="cs-CZ"/>
        </w:rPr>
        <w:t> </w:t>
      </w:r>
      <w:r w:rsidRPr="000F2C87">
        <w:rPr>
          <w:lang w:val="cs-CZ"/>
        </w:rPr>
        <w:t>rozdílné interpretační přístupy a v konečném důsledku vede k opatrnosti až zdrženlivosti při</w:t>
      </w:r>
      <w:r w:rsidR="000007FA">
        <w:rPr>
          <w:lang w:val="cs-CZ"/>
        </w:rPr>
        <w:t> </w:t>
      </w:r>
      <w:r w:rsidRPr="000F2C87">
        <w:rPr>
          <w:lang w:val="cs-CZ"/>
        </w:rPr>
        <w:t>rozhodování o zapojení finančních nástrojů do praxe.</w:t>
      </w:r>
    </w:p>
    <w:p w:rsidR="00B819BB" w:rsidRPr="00C72BA4" w:rsidP="0010651B" w14:paraId="73A8FCCF" w14:textId="461E647E">
      <w:pPr>
        <w:spacing w:before="240" w:after="240"/>
        <w:jc w:val="both"/>
        <w:rPr>
          <w:lang w:val="cs-CZ"/>
        </w:rPr>
      </w:pPr>
      <w:r w:rsidRPr="00C72BA4">
        <w:rPr>
          <w:lang w:val="cs-CZ"/>
        </w:rPr>
        <w:t>Dalš</w:t>
      </w:r>
      <w:r w:rsidRPr="00C72BA4" w:rsidR="00B51D39">
        <w:rPr>
          <w:lang w:val="cs-CZ"/>
        </w:rPr>
        <w:t xml:space="preserve">ím </w:t>
      </w:r>
      <w:r w:rsidRPr="00C72BA4" w:rsidR="00DA5E0F">
        <w:rPr>
          <w:lang w:val="cs-CZ"/>
        </w:rPr>
        <w:t>omezujícím</w:t>
      </w:r>
      <w:r w:rsidRPr="00C72BA4" w:rsidR="00B51D39">
        <w:rPr>
          <w:lang w:val="cs-CZ"/>
        </w:rPr>
        <w:t xml:space="preserve"> </w:t>
      </w:r>
      <w:r w:rsidRPr="00C72BA4" w:rsidR="00DA5E0F">
        <w:rPr>
          <w:lang w:val="cs-CZ"/>
        </w:rPr>
        <w:t>faktorem</w:t>
      </w:r>
      <w:r w:rsidRPr="00C72BA4" w:rsidR="00B51D39">
        <w:rPr>
          <w:lang w:val="cs-CZ"/>
        </w:rPr>
        <w:t xml:space="preserve"> v implem</w:t>
      </w:r>
      <w:r w:rsidRPr="00C72BA4" w:rsidR="00DA5E0F">
        <w:rPr>
          <w:lang w:val="cs-CZ"/>
        </w:rPr>
        <w:t>en</w:t>
      </w:r>
      <w:r w:rsidRPr="00C72BA4" w:rsidR="00B51D39">
        <w:rPr>
          <w:lang w:val="cs-CZ"/>
        </w:rPr>
        <w:t xml:space="preserve">taci FN je </w:t>
      </w:r>
      <w:r w:rsidRPr="00C72BA4" w:rsidR="00B51D39">
        <w:rPr>
          <w:b/>
          <w:lang w:val="cs-CZ"/>
        </w:rPr>
        <w:t xml:space="preserve">neexistence </w:t>
      </w:r>
      <w:r w:rsidRPr="00C72BA4" w:rsidR="00DA5E0F">
        <w:rPr>
          <w:b/>
          <w:lang w:val="cs-CZ"/>
        </w:rPr>
        <w:t xml:space="preserve">jednotného </w:t>
      </w:r>
      <w:r w:rsidRPr="00C72BA4" w:rsidR="00CC736D">
        <w:rPr>
          <w:b/>
          <w:lang w:val="cs-CZ"/>
        </w:rPr>
        <w:t xml:space="preserve">regulatorního </w:t>
      </w:r>
      <w:r w:rsidRPr="00C72BA4" w:rsidR="00DA5E0F">
        <w:rPr>
          <w:b/>
          <w:lang w:val="cs-CZ"/>
        </w:rPr>
        <w:t>rámce</w:t>
      </w:r>
      <w:r w:rsidRPr="00C72BA4" w:rsidR="00DA5E0F">
        <w:rPr>
          <w:lang w:val="cs-CZ"/>
        </w:rPr>
        <w:t xml:space="preserve">, který by určoval, prostřednictvím kterých implementačních partnerů mají být jednotlivé typy finančních nástrojů realizovány, a to s ohledem na míru rizika, návratnost, investiční horizont a věcné zaměření podporované oblasti. Absence </w:t>
      </w:r>
      <w:r w:rsidRPr="00C72BA4" w:rsidR="00724368">
        <w:rPr>
          <w:lang w:val="cs-CZ"/>
        </w:rPr>
        <w:t xml:space="preserve">tohoto rozdělení kompetencí </w:t>
      </w:r>
      <w:r w:rsidRPr="00C72BA4" w:rsidR="00DA5E0F">
        <w:rPr>
          <w:lang w:val="cs-CZ"/>
        </w:rPr>
        <w:t>vede k nejednotné praxi, nejistotě při přípravě nových FN a omezuje jejich využívání v nových nebo méně tradičních segmentech veřejných politik.</w:t>
      </w:r>
      <w:r w:rsidRPr="00C72BA4" w:rsidR="002019FF">
        <w:rPr>
          <w:lang w:val="cs-CZ"/>
        </w:rPr>
        <w:t xml:space="preserve"> </w:t>
      </w:r>
      <w:r w:rsidRPr="00C72BA4" w:rsidR="004A3844">
        <w:rPr>
          <w:lang w:val="cs-CZ"/>
        </w:rPr>
        <w:t>Dalším přímým negativním důsledkem je současná</w:t>
      </w:r>
      <w:r w:rsidRPr="00C72BA4" w:rsidR="002019FF">
        <w:rPr>
          <w:lang w:val="cs-CZ"/>
        </w:rPr>
        <w:t> </w:t>
      </w:r>
      <w:r w:rsidRPr="00C72BA4" w:rsidR="004A3844">
        <w:rPr>
          <w:lang w:val="cs-CZ"/>
        </w:rPr>
        <w:t>roztříštěnost</w:t>
      </w:r>
      <w:r w:rsidRPr="00C72BA4" w:rsidR="002019FF">
        <w:rPr>
          <w:lang w:val="cs-CZ"/>
        </w:rPr>
        <w:t xml:space="preserve"> témat</w:t>
      </w:r>
      <w:r w:rsidRPr="00C72BA4" w:rsidR="00CE3841">
        <w:rPr>
          <w:lang w:val="cs-CZ"/>
        </w:rPr>
        <w:t>, tvorb</w:t>
      </w:r>
      <w:r w:rsidRPr="00C72BA4" w:rsidR="004A3844">
        <w:rPr>
          <w:lang w:val="cs-CZ"/>
        </w:rPr>
        <w:t>a</w:t>
      </w:r>
      <w:r w:rsidRPr="00C72BA4" w:rsidR="00CE3841">
        <w:rPr>
          <w:lang w:val="cs-CZ"/>
        </w:rPr>
        <w:t xml:space="preserve"> krátkodobých nástrojů podpory s omezenou alokací. </w:t>
      </w:r>
    </w:p>
    <w:p w:rsidR="00371D4E" w:rsidP="00E73846" w14:paraId="5891A726" w14:textId="6FB6671C">
      <w:pPr>
        <w:pStyle w:val="Heading2"/>
      </w:pPr>
      <w:bookmarkStart w:id="17" w:name="_Toc256000010"/>
      <w:r w:rsidRPr="000F2C87">
        <w:t>Legislativní překážky</w:t>
      </w:r>
      <w:bookmarkEnd w:id="17"/>
    </w:p>
    <w:p w:rsidR="005B6B21" w:rsidP="00371D4E" w14:paraId="3BC3DFED" w14:textId="0046E2E7">
      <w:pPr>
        <w:spacing w:before="240" w:after="240"/>
        <w:jc w:val="both"/>
      </w:pPr>
      <w:r w:rsidRPr="00371D4E">
        <w:rPr>
          <w:lang w:val="cs-CZ"/>
        </w:rPr>
        <w:t>Stávající</w:t>
      </w:r>
      <w:r w:rsidRPr="005B6B21">
        <w:t xml:space="preserve"> právní rámec </w:t>
      </w:r>
      <w:r w:rsidR="009508D3">
        <w:t>ČR</w:t>
      </w:r>
      <w:r w:rsidRPr="005B6B21">
        <w:t xml:space="preserve"> obsahuje řadu omezení a výkladových nejasností, které </w:t>
      </w:r>
      <w:r w:rsidR="009B6F28">
        <w:t xml:space="preserve">v praxi </w:t>
      </w:r>
      <w:r w:rsidRPr="005B6B21">
        <w:t>brání plnému a systematickému využívání finančních nástrojů</w:t>
      </w:r>
      <w:r>
        <w:t>.</w:t>
      </w:r>
      <w:r w:rsidR="009A3EED">
        <w:t xml:space="preserve"> </w:t>
      </w:r>
      <w:r w:rsidRPr="009A3EED" w:rsidR="009A3EED">
        <w:t>Následující část identifikuje klíčové legislativní bariéry</w:t>
      </w:r>
      <w:r w:rsidR="009A3EED">
        <w:t xml:space="preserve"> a doporučuje možná řešení.</w:t>
      </w:r>
    </w:p>
    <w:p w:rsidR="0079776D" w:rsidP="0079776D" w14:paraId="5E104D3E" w14:textId="3DC98EDB">
      <w:pPr>
        <w:pStyle w:val="Caption"/>
        <w:keepNext/>
      </w:pPr>
      <w:r>
        <w:t xml:space="preserve">Tabulka </w:t>
      </w:r>
      <w:r w:rsidR="00F04DE7">
        <w:fldChar w:fldCharType="begin"/>
      </w:r>
      <w:r w:rsidR="00F04DE7">
        <w:instrText xml:space="preserve"> SEQ Tabulka \* ARABIC </w:instrText>
      </w:r>
      <w:r w:rsidR="00F04DE7">
        <w:fldChar w:fldCharType="separate"/>
      </w:r>
      <w:r w:rsidR="00F04DE7">
        <w:t>5</w:t>
      </w:r>
      <w:r w:rsidR="00F04DE7">
        <w:rPr>
          <w:noProof/>
        </w:rPr>
        <w:fldChar w:fldCharType="end"/>
      </w:r>
      <w:r>
        <w:t xml:space="preserve">: Identifikované klíčové zákony k možné úpravě, zdroj: </w:t>
      </w:r>
      <w:r w:rsidR="00B31173">
        <w:t>MMR-NOK</w:t>
      </w:r>
      <w:r w:rsidR="00E734FE">
        <w:t xml:space="preserve">, </w:t>
      </w:r>
      <w:r w:rsidR="008127DD">
        <w:t>šetření</w:t>
      </w:r>
      <w:r w:rsidR="00267589">
        <w:t xml:space="preserve"> v rámci </w:t>
      </w:r>
      <w:r w:rsidR="00F44D5F">
        <w:t>pracovní skupiny k finančním nástrojům</w:t>
      </w:r>
      <w:r>
        <w:rPr>
          <w:rStyle w:val="FootnoteReference"/>
        </w:rPr>
        <w:footnoteReference w:id="9"/>
      </w:r>
    </w:p>
    <w:tbl>
      <w:tblPr>
        <w:tblW w:w="0" w:type="auto"/>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tblPr>
      <w:tblGrid>
        <w:gridCol w:w="6487"/>
        <w:gridCol w:w="2529"/>
      </w:tblGrid>
      <w:tr w14:paraId="6E370A09" w14:textId="77777777" w:rsidTr="00D46545">
        <w:tblPrEx>
          <w:tblW w:w="0" w:type="auto"/>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tblPrEx>
        <w:tc>
          <w:tcPr>
            <w:tcW w:w="6521" w:type="dxa"/>
            <w:shd w:val="clear" w:color="auto" w:fill="034EA2"/>
          </w:tcPr>
          <w:p w:rsidR="006D7E56" w:rsidRPr="00D46545" w14:paraId="2FB35125" w14:textId="77777777">
            <w:pPr>
              <w:spacing w:before="80" w:after="80"/>
              <w:rPr>
                <w:rFonts w:asciiTheme="minorHAnsi" w:hAnsiTheme="minorHAnsi"/>
                <w:b/>
                <w:color w:val="FFFFFF" w:themeColor="background1"/>
                <w:szCs w:val="20"/>
              </w:rPr>
            </w:pPr>
            <w:r w:rsidRPr="00D46545">
              <w:rPr>
                <w:rFonts w:asciiTheme="minorHAnsi" w:hAnsiTheme="minorHAnsi"/>
                <w:b/>
                <w:color w:val="FFFFFF" w:themeColor="background1"/>
                <w:szCs w:val="20"/>
              </w:rPr>
              <w:t>Legislativa</w:t>
            </w:r>
          </w:p>
        </w:tc>
        <w:tc>
          <w:tcPr>
            <w:tcW w:w="2541" w:type="dxa"/>
            <w:shd w:val="clear" w:color="auto" w:fill="034EA2"/>
          </w:tcPr>
          <w:p w:rsidR="006D7E56" w:rsidRPr="00D46545" w14:paraId="0D3CBD4E" w14:textId="77777777">
            <w:pPr>
              <w:spacing w:before="80" w:after="80"/>
              <w:rPr>
                <w:rFonts w:asciiTheme="minorHAnsi" w:hAnsiTheme="minorHAnsi"/>
                <w:b/>
                <w:color w:val="FFFFFF" w:themeColor="background1"/>
                <w:szCs w:val="20"/>
              </w:rPr>
            </w:pPr>
            <w:r w:rsidRPr="00D46545">
              <w:rPr>
                <w:rFonts w:asciiTheme="minorHAnsi" w:hAnsiTheme="minorHAnsi"/>
                <w:b/>
                <w:color w:val="FFFFFF" w:themeColor="background1"/>
                <w:szCs w:val="20"/>
              </w:rPr>
              <w:t>Gestor</w:t>
            </w:r>
          </w:p>
        </w:tc>
      </w:tr>
      <w:tr w14:paraId="54AE4408" w14:textId="77777777" w:rsidTr="0079776D">
        <w:tblPrEx>
          <w:tblW w:w="0" w:type="auto"/>
          <w:tblLook w:val="04A0"/>
        </w:tblPrEx>
        <w:tc>
          <w:tcPr>
            <w:tcW w:w="6521" w:type="dxa"/>
          </w:tcPr>
          <w:p w:rsidR="006D7E56" w:rsidRPr="00E33973" w14:paraId="5088FE05" w14:textId="77777777">
            <w:pPr>
              <w:spacing w:before="80" w:after="80"/>
              <w:rPr>
                <w:rFonts w:asciiTheme="minorHAnsi" w:hAnsiTheme="minorHAnsi"/>
                <w:b/>
                <w:bCs/>
                <w:szCs w:val="20"/>
              </w:rPr>
            </w:pPr>
            <w:r w:rsidRPr="00E33973">
              <w:rPr>
                <w:rFonts w:asciiTheme="minorHAnsi" w:hAnsiTheme="minorHAnsi"/>
                <w:b/>
                <w:bCs/>
                <w:szCs w:val="20"/>
              </w:rPr>
              <w:t>Zákon č. 218/2000 Sb., zákon o rozpočtových pravidlech</w:t>
            </w:r>
          </w:p>
        </w:tc>
        <w:tc>
          <w:tcPr>
            <w:tcW w:w="2541" w:type="dxa"/>
          </w:tcPr>
          <w:p w:rsidR="006D7E56" w:rsidRPr="00FB7F6E" w14:paraId="3285DE4F" w14:textId="77777777">
            <w:pPr>
              <w:spacing w:before="80" w:after="80"/>
              <w:rPr>
                <w:rFonts w:asciiTheme="minorHAnsi" w:hAnsiTheme="minorHAnsi"/>
                <w:szCs w:val="20"/>
              </w:rPr>
            </w:pPr>
            <w:r w:rsidRPr="00FB7F6E">
              <w:rPr>
                <w:rFonts w:asciiTheme="minorHAnsi" w:hAnsiTheme="minorHAnsi"/>
                <w:szCs w:val="20"/>
              </w:rPr>
              <w:t>MF</w:t>
            </w:r>
          </w:p>
        </w:tc>
      </w:tr>
      <w:tr w14:paraId="4E4D5A36" w14:textId="77777777" w:rsidTr="0079776D">
        <w:tblPrEx>
          <w:tblW w:w="0" w:type="auto"/>
          <w:tblLook w:val="04A0"/>
        </w:tblPrEx>
        <w:tc>
          <w:tcPr>
            <w:tcW w:w="6521" w:type="dxa"/>
          </w:tcPr>
          <w:p w:rsidR="006D7E56" w:rsidRPr="00E33973" w14:paraId="3C74BDC0" w14:textId="77777777">
            <w:pPr>
              <w:spacing w:before="80" w:after="80"/>
              <w:rPr>
                <w:rFonts w:asciiTheme="minorHAnsi" w:hAnsiTheme="minorHAnsi"/>
                <w:b/>
                <w:bCs/>
                <w:szCs w:val="20"/>
              </w:rPr>
            </w:pPr>
            <w:r w:rsidRPr="00E33973">
              <w:rPr>
                <w:rFonts w:asciiTheme="minorHAnsi" w:hAnsiTheme="minorHAnsi"/>
                <w:b/>
                <w:bCs/>
                <w:szCs w:val="20"/>
              </w:rPr>
              <w:t>Zákon č. 23/2017 Sb., o pravidlech rozpočtové odpovědnosti</w:t>
            </w:r>
          </w:p>
        </w:tc>
        <w:tc>
          <w:tcPr>
            <w:tcW w:w="2541" w:type="dxa"/>
          </w:tcPr>
          <w:p w:rsidR="006D7E56" w:rsidRPr="00FB7F6E" w14:paraId="65A0363B" w14:textId="1E494CF1">
            <w:pPr>
              <w:spacing w:before="80" w:after="80"/>
              <w:rPr>
                <w:rFonts w:asciiTheme="minorHAnsi" w:hAnsiTheme="minorHAnsi"/>
              </w:rPr>
            </w:pPr>
            <w:r w:rsidRPr="00FB7F6E">
              <w:rPr>
                <w:rFonts w:asciiTheme="minorHAnsi" w:hAnsiTheme="minorHAnsi"/>
              </w:rPr>
              <w:t>MF</w:t>
            </w:r>
          </w:p>
        </w:tc>
      </w:tr>
      <w:tr w14:paraId="43D63592" w14:textId="77777777" w:rsidTr="0079776D">
        <w:tblPrEx>
          <w:tblW w:w="0" w:type="auto"/>
          <w:tblLook w:val="04A0"/>
        </w:tblPrEx>
        <w:tc>
          <w:tcPr>
            <w:tcW w:w="6521" w:type="dxa"/>
          </w:tcPr>
          <w:p w:rsidR="006D7E56" w:rsidRPr="00E33973" w14:paraId="088AAF39" w14:textId="77777777">
            <w:pPr>
              <w:spacing w:before="80" w:after="80"/>
              <w:rPr>
                <w:rFonts w:asciiTheme="minorHAnsi" w:hAnsiTheme="minorHAnsi"/>
                <w:b/>
                <w:bCs/>
                <w:szCs w:val="20"/>
              </w:rPr>
            </w:pPr>
            <w:r w:rsidRPr="00E33973">
              <w:rPr>
                <w:rFonts w:asciiTheme="minorHAnsi" w:hAnsiTheme="minorHAnsi"/>
                <w:b/>
                <w:bCs/>
                <w:szCs w:val="20"/>
              </w:rPr>
              <w:t>Zákon č. 219/2000 Sb., o majetku ČR a jejím vystupování v právních vztazích</w:t>
            </w:r>
          </w:p>
        </w:tc>
        <w:tc>
          <w:tcPr>
            <w:tcW w:w="2541" w:type="dxa"/>
          </w:tcPr>
          <w:p w:rsidR="006D7E56" w:rsidRPr="00FB7F6E" w14:paraId="4B70DCDF" w14:textId="77777777">
            <w:pPr>
              <w:spacing w:before="80" w:after="80"/>
              <w:rPr>
                <w:rFonts w:asciiTheme="minorHAnsi" w:hAnsiTheme="minorHAnsi"/>
                <w:szCs w:val="20"/>
              </w:rPr>
            </w:pPr>
            <w:r w:rsidRPr="00FB7F6E">
              <w:rPr>
                <w:rFonts w:asciiTheme="minorHAnsi" w:hAnsiTheme="minorHAnsi"/>
                <w:szCs w:val="20"/>
              </w:rPr>
              <w:t>MF</w:t>
            </w:r>
          </w:p>
        </w:tc>
      </w:tr>
      <w:tr w14:paraId="4AFC3CA2" w14:textId="77777777" w:rsidTr="0079776D">
        <w:tblPrEx>
          <w:tblW w:w="0" w:type="auto"/>
          <w:tblLook w:val="04A0"/>
        </w:tblPrEx>
        <w:tc>
          <w:tcPr>
            <w:tcW w:w="6521" w:type="dxa"/>
          </w:tcPr>
          <w:p w:rsidR="006D7E56" w:rsidRPr="00E33973" w14:paraId="0BD204B9" w14:textId="77777777">
            <w:pPr>
              <w:spacing w:before="80" w:after="80"/>
              <w:rPr>
                <w:rFonts w:asciiTheme="minorHAnsi" w:hAnsiTheme="minorHAnsi"/>
                <w:b/>
                <w:bCs/>
                <w:szCs w:val="20"/>
              </w:rPr>
            </w:pPr>
            <w:r w:rsidRPr="00E33973">
              <w:rPr>
                <w:rFonts w:asciiTheme="minorHAnsi" w:hAnsiTheme="minorHAnsi"/>
                <w:b/>
                <w:bCs/>
                <w:szCs w:val="20"/>
              </w:rPr>
              <w:t>Zákon č. 211/2000 Sb., o Státním fondu podpory investic</w:t>
            </w:r>
          </w:p>
        </w:tc>
        <w:tc>
          <w:tcPr>
            <w:tcW w:w="2541" w:type="dxa"/>
          </w:tcPr>
          <w:p w:rsidR="006D7E56" w:rsidRPr="00FB7F6E" w14:paraId="130BE927" w14:textId="77777777">
            <w:pPr>
              <w:spacing w:before="80" w:after="80"/>
              <w:rPr>
                <w:rFonts w:asciiTheme="minorHAnsi" w:hAnsiTheme="minorHAnsi"/>
                <w:szCs w:val="20"/>
              </w:rPr>
            </w:pPr>
            <w:r w:rsidRPr="00FB7F6E">
              <w:rPr>
                <w:rFonts w:asciiTheme="minorHAnsi" w:hAnsiTheme="minorHAnsi"/>
                <w:szCs w:val="20"/>
              </w:rPr>
              <w:t>MMR</w:t>
            </w:r>
          </w:p>
        </w:tc>
      </w:tr>
      <w:tr w14:paraId="36CC3744" w14:textId="77777777" w:rsidTr="0079776D">
        <w:tblPrEx>
          <w:tblW w:w="0" w:type="auto"/>
          <w:tblLook w:val="04A0"/>
        </w:tblPrEx>
        <w:tc>
          <w:tcPr>
            <w:tcW w:w="6521" w:type="dxa"/>
          </w:tcPr>
          <w:p w:rsidR="006D7E56" w:rsidRPr="00E33973" w14:paraId="49AEE6EC" w14:textId="77777777">
            <w:pPr>
              <w:spacing w:before="80" w:after="80"/>
              <w:rPr>
                <w:rFonts w:asciiTheme="minorHAnsi" w:hAnsiTheme="minorHAnsi"/>
                <w:b/>
                <w:bCs/>
                <w:szCs w:val="20"/>
              </w:rPr>
            </w:pPr>
            <w:r w:rsidRPr="00E33973">
              <w:rPr>
                <w:rFonts w:asciiTheme="minorHAnsi" w:hAnsiTheme="minorHAnsi"/>
                <w:b/>
                <w:bCs/>
                <w:szCs w:val="20"/>
              </w:rPr>
              <w:t>Zákon č. 111/1998 Sb., o vysokých školách</w:t>
            </w:r>
          </w:p>
        </w:tc>
        <w:tc>
          <w:tcPr>
            <w:tcW w:w="2541" w:type="dxa"/>
          </w:tcPr>
          <w:p w:rsidR="006D7E56" w:rsidRPr="00FB7F6E" w14:paraId="55DDBDEE" w14:textId="77777777">
            <w:pPr>
              <w:spacing w:before="80" w:after="80"/>
              <w:rPr>
                <w:rFonts w:asciiTheme="minorHAnsi" w:hAnsiTheme="minorHAnsi"/>
                <w:szCs w:val="20"/>
              </w:rPr>
            </w:pPr>
            <w:r w:rsidRPr="00FB7F6E">
              <w:rPr>
                <w:rFonts w:asciiTheme="minorHAnsi" w:hAnsiTheme="minorHAnsi"/>
                <w:szCs w:val="20"/>
              </w:rPr>
              <w:t>MŠMT</w:t>
            </w:r>
          </w:p>
        </w:tc>
      </w:tr>
    </w:tbl>
    <w:p w:rsidR="00965FCB" w:rsidRPr="00F63155" w:rsidP="00B64BDB" w14:paraId="032CE04C" w14:textId="174183DB">
      <w:pPr>
        <w:pStyle w:val="Heading3"/>
        <w:rPr>
          <w:color w:val="046EE2"/>
        </w:rPr>
      </w:pPr>
      <w:r w:rsidRPr="008E7371">
        <w:t>Zákon č. 218/2000 Sb., zákon o rozpočtových pravidlech </w:t>
      </w:r>
    </w:p>
    <w:p w:rsidR="007C4059" w:rsidRPr="000F2C87" w:rsidP="00514F1A" w14:paraId="5117E216" w14:textId="1FEDE262">
      <w:pPr>
        <w:jc w:val="both"/>
        <w:rPr>
          <w:lang w:val="cs-CZ"/>
        </w:rPr>
      </w:pPr>
      <w:r w:rsidRPr="000F2C87">
        <w:rPr>
          <w:lang w:val="cs-CZ"/>
        </w:rPr>
        <w:t xml:space="preserve">Jednou z hlavních překážek rozvoje finančních nástrojů v České republice je </w:t>
      </w:r>
      <w:r w:rsidRPr="000F2C87">
        <w:rPr>
          <w:b/>
          <w:bCs/>
          <w:lang w:val="cs-CZ"/>
        </w:rPr>
        <w:t>chybějící jednotný a univerzálně použitelný rámec pro převádění veřejných prostředků do těchto nástrojů</w:t>
      </w:r>
      <w:r w:rsidRPr="000F2C87">
        <w:rPr>
          <w:lang w:val="cs-CZ"/>
        </w:rPr>
        <w:t>. Současná legislativa upravující veřejné finance, zejména zákon č. 218/2000 Sb., o rozpočtových pravidlech, sice rozlišuje nakládání s prostředky podle jejich zdroje a typu výdaje, avšak</w:t>
      </w:r>
      <w:r w:rsidR="000007FA">
        <w:rPr>
          <w:lang w:val="cs-CZ"/>
        </w:rPr>
        <w:t> </w:t>
      </w:r>
      <w:r w:rsidRPr="000F2C87">
        <w:rPr>
          <w:lang w:val="cs-CZ"/>
        </w:rPr>
        <w:t>nereflektuje specifické charakteristiky finančních nástrojů. Ty představují návratnou, dlouhodobou a z hlediska rizika diferencovanou formu podpory veřejných politik.</w:t>
      </w:r>
    </w:p>
    <w:p w:rsidR="007C4059" w:rsidRPr="000F2C87" w:rsidP="007C4059" w14:paraId="1C4942E8" w14:textId="649BC1EF">
      <w:pPr>
        <w:jc w:val="both"/>
        <w:rPr>
          <w:lang w:val="cs-CZ"/>
        </w:rPr>
      </w:pPr>
      <w:r w:rsidRPr="000F2C87">
        <w:rPr>
          <w:lang w:val="cs-CZ"/>
        </w:rPr>
        <w:t xml:space="preserve">U fondů </w:t>
      </w:r>
      <w:r w:rsidRPr="000F2C87" w:rsidR="0041166F">
        <w:rPr>
          <w:lang w:val="cs-CZ"/>
        </w:rPr>
        <w:t>EU</w:t>
      </w:r>
      <w:r w:rsidRPr="000F2C87">
        <w:rPr>
          <w:lang w:val="cs-CZ"/>
        </w:rPr>
        <w:t xml:space="preserve"> je právní základ pro FN zcela </w:t>
      </w:r>
      <w:r w:rsidRPr="000F2C87" w:rsidR="00791420">
        <w:rPr>
          <w:lang w:val="cs-CZ"/>
        </w:rPr>
        <w:t>jednoznačný</w:t>
      </w:r>
      <w:r w:rsidRPr="000F2C87">
        <w:rPr>
          <w:lang w:val="cs-CZ"/>
        </w:rPr>
        <w:t>. Evropská legislativa definuje finanční nástroje i základní principy jejich fungování</w:t>
      </w:r>
      <w:r w:rsidRPr="000F2C87" w:rsidR="00791420">
        <w:rPr>
          <w:lang w:val="cs-CZ"/>
        </w:rPr>
        <w:t xml:space="preserve"> v Obecném nařízení</w:t>
      </w:r>
      <w:r w:rsidRPr="000F2C87">
        <w:rPr>
          <w:lang w:val="cs-CZ"/>
        </w:rPr>
        <w:t xml:space="preserve"> a česká rozpočtová pravidla umožňují převod prostředků EU do finančních nástrojů prostřednictvím § 7 odst. 1 písm. y). Tento</w:t>
      </w:r>
      <w:r w:rsidR="000007FA">
        <w:rPr>
          <w:lang w:val="cs-CZ"/>
        </w:rPr>
        <w:t> </w:t>
      </w:r>
      <w:r w:rsidRPr="000F2C87">
        <w:rPr>
          <w:lang w:val="cs-CZ"/>
        </w:rPr>
        <w:t>právní rámec však nelze bez dalšího vztáhnout na jiné zdroje veřejných financí.</w:t>
      </w:r>
      <w:r w:rsidRPr="000F2C87" w:rsidR="00770CC3">
        <w:rPr>
          <w:lang w:val="cs-CZ"/>
        </w:rPr>
        <w:t xml:space="preserve"> Zmiňovaný </w:t>
      </w:r>
      <w:r w:rsidRPr="00655C48" w:rsidR="00770CC3">
        <w:rPr>
          <w:lang w:val="cs-CZ"/>
        </w:rPr>
        <w:t>§ 7 pracuje pouze se zdroji dle vybraných předpisů EU.</w:t>
      </w:r>
    </w:p>
    <w:p w:rsidR="0099501D" w:rsidRPr="000F2C87" w:rsidP="0099501D" w14:paraId="7656AAA1" w14:textId="79FB3F81">
      <w:pPr>
        <w:jc w:val="both"/>
        <w:rPr>
          <w:lang w:val="cs-CZ"/>
        </w:rPr>
      </w:pPr>
      <w:r w:rsidRPr="0021419B">
        <w:rPr>
          <w:b/>
          <w:bCs/>
          <w:lang w:val="cs-CZ"/>
        </w:rPr>
        <w:t xml:space="preserve">Nejkomplikovanější situace nastává u </w:t>
      </w:r>
      <w:r w:rsidRPr="0021419B" w:rsidR="00B70666">
        <w:rPr>
          <w:b/>
          <w:bCs/>
          <w:lang w:val="cs-CZ"/>
        </w:rPr>
        <w:t>prostředků z dalších evropských zdrojů</w:t>
      </w:r>
      <w:r w:rsidRPr="0021419B" w:rsidR="00CB2FB4">
        <w:rPr>
          <w:b/>
          <w:bCs/>
          <w:lang w:val="cs-CZ"/>
        </w:rPr>
        <w:t xml:space="preserve"> </w:t>
      </w:r>
      <w:r w:rsidRPr="0021419B" w:rsidR="0041166F">
        <w:rPr>
          <w:b/>
          <w:bCs/>
          <w:lang w:val="cs-CZ"/>
        </w:rPr>
        <w:t>a</w:t>
      </w:r>
      <w:r w:rsidRPr="0021419B">
        <w:rPr>
          <w:b/>
          <w:bCs/>
          <w:lang w:val="cs-CZ"/>
        </w:rPr>
        <w:t xml:space="preserve"> národních rozpočtových prostředků</w:t>
      </w:r>
      <w:r w:rsidRPr="000F2C87">
        <w:rPr>
          <w:lang w:val="cs-CZ"/>
        </w:rPr>
        <w:t>, zejména pokud jde o víceleté programy schvalované vládou. Část státní správy</w:t>
      </w:r>
      <w:r w:rsidRPr="000F2C87" w:rsidR="00BA5D61">
        <w:rPr>
          <w:lang w:val="cs-CZ"/>
        </w:rPr>
        <w:t xml:space="preserve"> (zejména ministerstva v pozici řídicího orgánu)</w:t>
      </w:r>
      <w:r w:rsidRPr="000F2C87">
        <w:rPr>
          <w:lang w:val="cs-CZ"/>
        </w:rPr>
        <w:t xml:space="preserve"> v těchto případech nenachází </w:t>
      </w:r>
      <w:r w:rsidRPr="0021419B">
        <w:rPr>
          <w:bCs/>
          <w:lang w:val="cs-CZ"/>
        </w:rPr>
        <w:t>v</w:t>
      </w:r>
      <w:r w:rsidRPr="0021419B" w:rsidR="000007FA">
        <w:rPr>
          <w:bCs/>
          <w:lang w:val="cs-CZ"/>
        </w:rPr>
        <w:t> </w:t>
      </w:r>
      <w:r w:rsidRPr="0021419B">
        <w:rPr>
          <w:bCs/>
          <w:lang w:val="cs-CZ"/>
        </w:rPr>
        <w:t>platné legislativě dostatečný právní podklad pro převedení prostředků do finančních nástrojů, pokud</w:t>
      </w:r>
      <w:r w:rsidRPr="000F2C87">
        <w:rPr>
          <w:lang w:val="cs-CZ"/>
        </w:rPr>
        <w:t xml:space="preserve"> nejsou jednoznačně označeny jako dotace nebo návratná finanční výpomoc. Takový</w:t>
      </w:r>
      <w:r w:rsidR="000007FA">
        <w:rPr>
          <w:lang w:val="cs-CZ"/>
        </w:rPr>
        <w:t> </w:t>
      </w:r>
      <w:r w:rsidRPr="000F2C87">
        <w:rPr>
          <w:lang w:val="cs-CZ"/>
        </w:rPr>
        <w:t>výklad fakticky výrazně omezuje možnosti využití finančních nástrojů z národních zdrojů a brání jejich systematickému uplatňování napříč veřejnými politikami.</w:t>
      </w:r>
    </w:p>
    <w:p w:rsidR="00413877" w:rsidRPr="000F2C87" w:rsidP="00514F1A" w14:paraId="6D0CE615" w14:textId="1598CF8A">
      <w:pPr>
        <w:jc w:val="both"/>
        <w:rPr>
          <w:b/>
          <w:bCs/>
          <w:lang w:val="cs-CZ"/>
        </w:rPr>
      </w:pPr>
      <w:r w:rsidRPr="00655C48">
        <w:rPr>
          <w:lang w:val="cs-CZ"/>
        </w:rPr>
        <w:t xml:space="preserve">Důsledkem uvedeného stavu je, že </w:t>
      </w:r>
      <w:r w:rsidRPr="00493FC8">
        <w:rPr>
          <w:b/>
          <w:lang w:val="cs-CZ"/>
        </w:rPr>
        <w:t>úspěšné finanční nástroje nelze jednoduše</w:t>
      </w:r>
      <w:r w:rsidRPr="00493FC8" w:rsidR="0092418F">
        <w:rPr>
          <w:b/>
          <w:lang w:val="cs-CZ"/>
        </w:rPr>
        <w:t xml:space="preserve"> kombinovat</w:t>
      </w:r>
      <w:r w:rsidRPr="00493FC8">
        <w:rPr>
          <w:b/>
          <w:lang w:val="cs-CZ"/>
        </w:rPr>
        <w:t xml:space="preserve"> ani</w:t>
      </w:r>
      <w:r w:rsidRPr="00493FC8" w:rsidR="000007FA">
        <w:rPr>
          <w:b/>
          <w:lang w:val="cs-CZ"/>
        </w:rPr>
        <w:t> </w:t>
      </w:r>
      <w:r w:rsidRPr="00493FC8">
        <w:rPr>
          <w:b/>
          <w:lang w:val="cs-CZ"/>
        </w:rPr>
        <w:t>rozšiřovat o další zdroje financování.</w:t>
      </w:r>
      <w:r w:rsidRPr="00655C48">
        <w:rPr>
          <w:lang w:val="cs-CZ"/>
        </w:rPr>
        <w:t xml:space="preserve"> U národních zdrojů pak chybí systematický mechanismus, který by umožnil plynulé pokračování nebo </w:t>
      </w:r>
      <w:r w:rsidRPr="00655C48" w:rsidR="001403D3">
        <w:rPr>
          <w:lang w:val="cs-CZ"/>
        </w:rPr>
        <w:t>navyšování</w:t>
      </w:r>
      <w:r w:rsidRPr="00655C48" w:rsidR="00B81AC3">
        <w:rPr>
          <w:lang w:val="cs-CZ"/>
        </w:rPr>
        <w:t xml:space="preserve"> alokací u </w:t>
      </w:r>
      <w:r w:rsidRPr="00655C48">
        <w:rPr>
          <w:lang w:val="cs-CZ"/>
        </w:rPr>
        <w:t>osvědčených finančních nástrojů.</w:t>
      </w:r>
    </w:p>
    <w:p w:rsidR="00E54E6B" w:rsidRPr="000F2C87" w:rsidP="00514F1A" w14:paraId="2B151EE0" w14:textId="7CC357D1">
      <w:pPr>
        <w:jc w:val="both"/>
        <w:rPr>
          <w:b/>
          <w:bCs/>
          <w:lang w:val="cs-CZ"/>
        </w:rPr>
      </w:pPr>
      <w:r w:rsidRPr="00FB7F6E">
        <w:rPr>
          <w:b/>
          <w:bCs/>
          <w:u w:val="single"/>
          <w:lang w:val="cs-CZ"/>
        </w:rPr>
        <w:t>Doporučená řešení</w:t>
      </w:r>
      <w:r w:rsidRPr="000F2C87">
        <w:rPr>
          <w:b/>
          <w:bCs/>
          <w:lang w:val="cs-CZ"/>
        </w:rPr>
        <w:t xml:space="preserve">: </w:t>
      </w:r>
    </w:p>
    <w:p w:rsidR="00E54E6B" w:rsidRPr="000F2C87" w:rsidP="00E54E6B" w14:paraId="50D7A91F" w14:textId="386A8720">
      <w:pPr>
        <w:jc w:val="both"/>
        <w:rPr>
          <w:lang w:val="cs-CZ"/>
        </w:rPr>
      </w:pPr>
      <w:r w:rsidRPr="000F2C87">
        <w:rPr>
          <w:lang w:val="cs-CZ"/>
        </w:rPr>
        <w:t xml:space="preserve">Za účelem odstranění uvedených překážek se jako vhodné jeví </w:t>
      </w:r>
      <w:r w:rsidRPr="000F2C87">
        <w:rPr>
          <w:b/>
          <w:bCs/>
          <w:lang w:val="cs-CZ"/>
        </w:rPr>
        <w:t>explicitně zakotvit finanční nástroje v českém právním řádu jako svébytnou formu realizace veřejných výdajů</w:t>
      </w:r>
      <w:r w:rsidRPr="000F2C87">
        <w:rPr>
          <w:lang w:val="cs-CZ"/>
        </w:rPr>
        <w:t xml:space="preserve">, a to </w:t>
      </w:r>
      <w:r w:rsidRPr="000F2C87">
        <w:rPr>
          <w:b/>
          <w:bCs/>
          <w:lang w:val="cs-CZ"/>
        </w:rPr>
        <w:t>buď prostřednictvím novelizace zákona č.</w:t>
      </w:r>
      <w:r w:rsidRPr="000F2C87" w:rsidR="10A599A5">
        <w:rPr>
          <w:rFonts w:ascii="Arial" w:hAnsi="Arial" w:cs="Arial"/>
          <w:b/>
          <w:bCs/>
          <w:lang w:val="cs-CZ"/>
        </w:rPr>
        <w:t> </w:t>
      </w:r>
      <w:r w:rsidRPr="000F2C87" w:rsidR="10A599A5">
        <w:rPr>
          <w:b/>
          <w:bCs/>
          <w:lang w:val="cs-CZ"/>
        </w:rPr>
        <w:t>218</w:t>
      </w:r>
      <w:r w:rsidRPr="000F2C87">
        <w:rPr>
          <w:b/>
          <w:bCs/>
          <w:lang w:val="cs-CZ"/>
        </w:rPr>
        <w:t>/2000 Sb., o rozpočtových pravidlech, nebo</w:t>
      </w:r>
      <w:r w:rsidR="000007FA">
        <w:rPr>
          <w:b/>
          <w:bCs/>
          <w:lang w:val="cs-CZ"/>
        </w:rPr>
        <w:t> </w:t>
      </w:r>
      <w:r w:rsidRPr="000F2C87">
        <w:rPr>
          <w:b/>
          <w:bCs/>
          <w:lang w:val="cs-CZ"/>
        </w:rPr>
        <w:t>přijetím samostatné právní úpravy</w:t>
      </w:r>
      <w:r w:rsidRPr="000F2C87">
        <w:rPr>
          <w:lang w:val="cs-CZ"/>
        </w:rPr>
        <w:t xml:space="preserve">, která by komplexně upravila jejich postavení, podmínky fungování a nakládání s veřejnými prostředky v tomto režimu. Takové legislativní zakotvení by mělo umožnit převod prostředků do finančních nástrojů nejen z fondů EU, ale také z dalších </w:t>
      </w:r>
      <w:r w:rsidRPr="000F2C87" w:rsidR="00CF7C92">
        <w:rPr>
          <w:lang w:val="cs-CZ"/>
        </w:rPr>
        <w:t>zdrojů</w:t>
      </w:r>
      <w:r w:rsidRPr="000F2C87">
        <w:rPr>
          <w:lang w:val="cs-CZ"/>
        </w:rPr>
        <w:t xml:space="preserve"> EU</w:t>
      </w:r>
      <w:r w:rsidRPr="000F2C87" w:rsidR="00CF7C92">
        <w:rPr>
          <w:lang w:val="cs-CZ"/>
        </w:rPr>
        <w:t xml:space="preserve"> či</w:t>
      </w:r>
      <w:r w:rsidRPr="000F2C87">
        <w:rPr>
          <w:lang w:val="cs-CZ"/>
        </w:rPr>
        <w:t xml:space="preserve"> přímo řízených programů EU a </w:t>
      </w:r>
      <w:r w:rsidRPr="000F2C87" w:rsidR="010D7F1A">
        <w:rPr>
          <w:lang w:val="cs-CZ"/>
        </w:rPr>
        <w:t xml:space="preserve">v neposlední řadě </w:t>
      </w:r>
      <w:r w:rsidRPr="000F2C87">
        <w:rPr>
          <w:lang w:val="cs-CZ"/>
        </w:rPr>
        <w:t>z národních rozpočtových zdrojů, a to bez nutnosti využívání mimořádných či účelově konstruovaných postupů.</w:t>
      </w:r>
    </w:p>
    <w:p w:rsidR="00E11809" w:rsidRPr="000F2C87" w:rsidP="00E11809" w14:paraId="37F66CD4" w14:textId="3B8B71EE">
      <w:pPr>
        <w:jc w:val="both"/>
        <w:rPr>
          <w:lang w:val="cs-CZ"/>
        </w:rPr>
      </w:pPr>
      <w:r w:rsidRPr="000F2C87">
        <w:rPr>
          <w:lang w:val="cs-CZ"/>
        </w:rPr>
        <w:t xml:space="preserve">Konkrétní legislativní </w:t>
      </w:r>
      <w:r w:rsidRPr="000F2C87">
        <w:rPr>
          <w:lang w:val="cs-CZ"/>
        </w:rPr>
        <w:t>rámec umožní zachovat nezbytnou kontrolu nad veřejnými prostředky, zároveň však vytvoří předpoklady pro efektivní, dlouhodobé a standardizované využívání finančních nástrojů jako běžného nástroje veřejných investic.</w:t>
      </w:r>
    </w:p>
    <w:p w:rsidR="008809BE" w:rsidRPr="000F2C87" w:rsidP="008809BE" w14:paraId="1D2C4DA8" w14:textId="46880CB4">
      <w:pPr>
        <w:jc w:val="both"/>
        <w:rPr>
          <w:lang w:val="cs-CZ"/>
        </w:rPr>
      </w:pPr>
      <w:r w:rsidRPr="000F2C87">
        <w:rPr>
          <w:lang w:val="cs-CZ"/>
        </w:rPr>
        <w:t>Některé tyt</w:t>
      </w:r>
      <w:r w:rsidRPr="000F2C87" w:rsidR="008138DA">
        <w:rPr>
          <w:lang w:val="cs-CZ"/>
        </w:rPr>
        <w:t>o</w:t>
      </w:r>
      <w:r w:rsidRPr="000F2C87">
        <w:rPr>
          <w:lang w:val="cs-CZ"/>
        </w:rPr>
        <w:t xml:space="preserve"> úpravy potřebné k řízení </w:t>
      </w:r>
      <w:r w:rsidRPr="000F2C87">
        <w:rPr>
          <w:lang w:val="cs-CZ"/>
        </w:rPr>
        <w:t>FN lze</w:t>
      </w:r>
      <w:r w:rsidRPr="000F2C87" w:rsidR="009D13B5">
        <w:rPr>
          <w:lang w:val="cs-CZ"/>
        </w:rPr>
        <w:t xml:space="preserve"> adresovat přímo v zákoně o Národní rozvojové bance (zákon č.</w:t>
      </w:r>
      <w:r w:rsidRPr="000F2C87" w:rsidR="009D13B5">
        <w:rPr>
          <w:rFonts w:ascii="Arial" w:hAnsi="Arial" w:cs="Arial"/>
          <w:lang w:val="cs-CZ"/>
        </w:rPr>
        <w:t> </w:t>
      </w:r>
      <w:r w:rsidRPr="000F2C87" w:rsidR="009D13B5">
        <w:rPr>
          <w:lang w:val="cs-CZ"/>
        </w:rPr>
        <w:t>34/2025</w:t>
      </w:r>
      <w:r w:rsidRPr="000F2C87" w:rsidR="009D13B5">
        <w:rPr>
          <w:rFonts w:ascii="Arial" w:hAnsi="Arial" w:cs="Arial"/>
          <w:lang w:val="cs-CZ"/>
        </w:rPr>
        <w:t> </w:t>
      </w:r>
      <w:r w:rsidRPr="000F2C87" w:rsidR="009D13B5">
        <w:rPr>
          <w:lang w:val="cs-CZ"/>
        </w:rPr>
        <w:t>Sb.)</w:t>
      </w:r>
      <w:r w:rsidRPr="000F2C87" w:rsidR="00926FF7">
        <w:rPr>
          <w:lang w:val="cs-CZ"/>
        </w:rPr>
        <w:t xml:space="preserve">. </w:t>
      </w:r>
      <w:r w:rsidRPr="000F2C87">
        <w:rPr>
          <w:lang w:val="cs-CZ"/>
        </w:rPr>
        <w:t xml:space="preserve">Správci a implementační partneři FN však </w:t>
      </w:r>
      <w:r w:rsidRPr="000F2C87" w:rsidR="0041166F">
        <w:rPr>
          <w:lang w:val="cs-CZ"/>
        </w:rPr>
        <w:t>mohou být i další subjekty</w:t>
      </w:r>
      <w:r w:rsidRPr="000F2C87">
        <w:rPr>
          <w:lang w:val="cs-CZ"/>
        </w:rPr>
        <w:t xml:space="preserve"> veřejného sektoru a veřejnoprávní či smíšené instituce mimo bankovní licenci, typicky státní fondy.  Aby byla zajištěna </w:t>
      </w:r>
      <w:r w:rsidRPr="000F2C87">
        <w:rPr>
          <w:b/>
          <w:bCs/>
          <w:lang w:val="cs-CZ"/>
        </w:rPr>
        <w:t>rovná právní jistota napříč trhem správců FN</w:t>
      </w:r>
      <w:r w:rsidRPr="000F2C87">
        <w:rPr>
          <w:lang w:val="cs-CZ"/>
        </w:rPr>
        <w:t xml:space="preserve">, je zapotřebí </w:t>
      </w:r>
      <w:r w:rsidRPr="000F2C87">
        <w:rPr>
          <w:b/>
          <w:bCs/>
          <w:lang w:val="cs-CZ"/>
        </w:rPr>
        <w:t>obecně platného legislativn</w:t>
      </w:r>
      <w:r w:rsidRPr="000F2C87" w:rsidR="0041166F">
        <w:rPr>
          <w:b/>
          <w:bCs/>
          <w:lang w:val="cs-CZ"/>
        </w:rPr>
        <w:t>ího</w:t>
      </w:r>
      <w:r w:rsidRPr="000F2C87">
        <w:rPr>
          <w:b/>
          <w:bCs/>
          <w:lang w:val="cs-CZ"/>
        </w:rPr>
        <w:t xml:space="preserve"> rámce. </w:t>
      </w:r>
    </w:p>
    <w:p w:rsidR="001A11A9" w:rsidRPr="00BD3F41" w:rsidP="002C7792" w14:paraId="479D61F4" w14:textId="37EA4BFC">
      <w:pPr>
        <w:keepNext/>
        <w:jc w:val="both"/>
        <w:rPr>
          <w:b/>
          <w:u w:val="single"/>
          <w:lang w:val="cs-CZ"/>
        </w:rPr>
      </w:pPr>
      <w:r w:rsidRPr="00BD3F41">
        <w:rPr>
          <w:b/>
          <w:u w:val="single"/>
          <w:lang w:val="cs-CZ"/>
        </w:rPr>
        <w:t xml:space="preserve">Přínosy legislativní úpravy: </w:t>
      </w:r>
    </w:p>
    <w:p w:rsidR="005C080B" w:rsidRPr="000F2C87" w:rsidP="00AF0B7A" w14:paraId="3E01EA8B" w14:textId="60222EF7">
      <w:pPr>
        <w:jc w:val="both"/>
        <w:rPr>
          <w:lang w:val="cs-CZ"/>
        </w:rPr>
      </w:pPr>
      <w:r w:rsidRPr="000F2C87">
        <w:rPr>
          <w:lang w:val="cs-CZ"/>
        </w:rPr>
        <w:t>V této oblasti je nezbytné provést</w:t>
      </w:r>
      <w:r w:rsidRPr="000F2C87" w:rsidR="004A3AA3">
        <w:rPr>
          <w:lang w:val="cs-CZ"/>
        </w:rPr>
        <w:t xml:space="preserve"> </w:t>
      </w:r>
      <w:r w:rsidRPr="00715EE2" w:rsidR="004A3AA3">
        <w:rPr>
          <w:b/>
          <w:lang w:val="cs-CZ"/>
        </w:rPr>
        <w:t>komplexní úpravu legislativy</w:t>
      </w:r>
      <w:r w:rsidRPr="000F2C87" w:rsidR="004A3AA3">
        <w:rPr>
          <w:lang w:val="cs-CZ"/>
        </w:rPr>
        <w:t>, nejenom technického ch</w:t>
      </w:r>
      <w:r w:rsidRPr="000F2C87" w:rsidR="001607CE">
        <w:rPr>
          <w:lang w:val="cs-CZ"/>
        </w:rPr>
        <w:t>a</w:t>
      </w:r>
      <w:r w:rsidRPr="000F2C87" w:rsidR="004A3AA3">
        <w:rPr>
          <w:lang w:val="cs-CZ"/>
        </w:rPr>
        <w:t xml:space="preserve">rakteru, aby </w:t>
      </w:r>
      <w:r w:rsidRPr="000F2C87" w:rsidR="00AF0B7A">
        <w:rPr>
          <w:lang w:val="cs-CZ"/>
        </w:rPr>
        <w:t>zapojení prostředků státního rozpočtu a dalších evropských či soukromých zdrojů do finančních nástrojů by</w:t>
      </w:r>
      <w:r w:rsidRPr="000F2C87" w:rsidR="001D2FC5">
        <w:rPr>
          <w:lang w:val="cs-CZ"/>
        </w:rPr>
        <w:t>lo mo</w:t>
      </w:r>
      <w:r w:rsidRPr="000F2C87" w:rsidR="00E51AC0">
        <w:rPr>
          <w:lang w:val="cs-CZ"/>
        </w:rPr>
        <w:t>ž</w:t>
      </w:r>
      <w:r w:rsidRPr="000F2C87" w:rsidR="001D2FC5">
        <w:rPr>
          <w:lang w:val="cs-CZ"/>
        </w:rPr>
        <w:t>no provést pl</w:t>
      </w:r>
      <w:r w:rsidRPr="000F2C87" w:rsidR="00E51AC0">
        <w:rPr>
          <w:lang w:val="cs-CZ"/>
        </w:rPr>
        <w:t>n</w:t>
      </w:r>
      <w:r w:rsidRPr="000F2C87" w:rsidR="001D2FC5">
        <w:rPr>
          <w:lang w:val="cs-CZ"/>
        </w:rPr>
        <w:t>o</w:t>
      </w:r>
      <w:r w:rsidRPr="000F2C87" w:rsidR="00E51AC0">
        <w:rPr>
          <w:lang w:val="cs-CZ"/>
        </w:rPr>
        <w:t>ho</w:t>
      </w:r>
      <w:r w:rsidRPr="000F2C87" w:rsidR="001D2FC5">
        <w:rPr>
          <w:lang w:val="cs-CZ"/>
        </w:rPr>
        <w:t>dnotně a</w:t>
      </w:r>
      <w:r w:rsidRPr="000F2C87" w:rsidR="00AF0B7A">
        <w:rPr>
          <w:lang w:val="cs-CZ"/>
        </w:rPr>
        <w:t xml:space="preserve"> umožnilo výrazně zvýšit flexibilitu i celkový rozsah poskytovaného financování</w:t>
      </w:r>
      <w:r w:rsidRPr="000F2C87" w:rsidR="001607CE">
        <w:rPr>
          <w:lang w:val="cs-CZ"/>
        </w:rPr>
        <w:t xml:space="preserve">, tak, aby se FN staly stabilní součástí </w:t>
      </w:r>
      <w:r w:rsidR="00962F2E">
        <w:rPr>
          <w:lang w:val="cs-CZ"/>
        </w:rPr>
        <w:t xml:space="preserve">ekosystému veřejného financování. </w:t>
      </w:r>
      <w:r w:rsidRPr="000F2C87" w:rsidR="00AF0B7A">
        <w:rPr>
          <w:lang w:val="cs-CZ"/>
        </w:rPr>
        <w:t>Současně by došlo k odstranění právní nejistoty a ke sjednocení postupů jak na</w:t>
      </w:r>
      <w:r w:rsidR="0037737A">
        <w:rPr>
          <w:lang w:val="cs-CZ"/>
        </w:rPr>
        <w:t> </w:t>
      </w:r>
      <w:r w:rsidRPr="000F2C87" w:rsidR="00AF0B7A">
        <w:rPr>
          <w:lang w:val="cs-CZ"/>
        </w:rPr>
        <w:t>úrovni řídicích orgánů a poskytovatelů podpory, tak u subjektů, které finanční nástroje obhospodařují. To by urychlilo jejich zavádění a posílilo důvěru konečných příjemců.</w:t>
      </w:r>
    </w:p>
    <w:p w:rsidR="00AF0B7A" w:rsidRPr="000F2C87" w:rsidP="00AF0B7A" w14:paraId="0F94FF5A" w14:textId="7849B9A1">
      <w:pPr>
        <w:jc w:val="both"/>
        <w:rPr>
          <w:lang w:val="cs-CZ"/>
        </w:rPr>
      </w:pPr>
      <w:r w:rsidRPr="000F2C87">
        <w:rPr>
          <w:lang w:val="cs-CZ"/>
        </w:rPr>
        <w:t xml:space="preserve">Zároveň by </w:t>
      </w:r>
      <w:r w:rsidRPr="000F2C87" w:rsidR="005C080B">
        <w:rPr>
          <w:lang w:val="cs-CZ"/>
        </w:rPr>
        <w:t xml:space="preserve">tím </w:t>
      </w:r>
      <w:r w:rsidRPr="000F2C87">
        <w:rPr>
          <w:lang w:val="cs-CZ"/>
        </w:rPr>
        <w:t xml:space="preserve">vznikl udržitelný systém </w:t>
      </w:r>
      <w:r w:rsidRPr="000F2C87">
        <w:rPr>
          <w:lang w:val="cs-CZ"/>
        </w:rPr>
        <w:t>revolvingu</w:t>
      </w:r>
      <w:r w:rsidRPr="000F2C87">
        <w:rPr>
          <w:lang w:val="cs-CZ"/>
        </w:rPr>
        <w:t>, který by umožnil opakované využívání vrácených prostředků a tím násobil efekt veřejných investic.</w:t>
      </w:r>
    </w:p>
    <w:p w:rsidR="00956ECF" w:rsidRPr="000F2C87" w:rsidP="00514F1A" w14:paraId="68A96081" w14:textId="77777777">
      <w:pPr>
        <w:jc w:val="both"/>
        <w:rPr>
          <w:lang w:val="cs-CZ"/>
        </w:rPr>
      </w:pPr>
    </w:p>
    <w:p w:rsidR="008131DD" w:rsidRPr="008E7371" w:rsidP="00B64BDB" w14:paraId="05B31BD6" w14:textId="1D5349A2">
      <w:pPr>
        <w:pStyle w:val="Heading3"/>
      </w:pPr>
      <w:r w:rsidRPr="008E7371">
        <w:t>Zá</w:t>
      </w:r>
      <w:r w:rsidRPr="008E7371" w:rsidR="006C524F">
        <w:t>kon č. 23/2017 Sb., o pravidlech rozpočtové odpovědnosti  </w:t>
      </w:r>
    </w:p>
    <w:p w:rsidR="00D30B6C" w:rsidRPr="000F2C87" w:rsidP="00D30B6C" w14:paraId="2F018558" w14:textId="29919A75">
      <w:pPr>
        <w:jc w:val="both"/>
        <w:rPr>
          <w:lang w:val="cs-CZ"/>
        </w:rPr>
      </w:pPr>
      <w:r w:rsidRPr="00655C48">
        <w:rPr>
          <w:lang w:val="cs-CZ"/>
        </w:rPr>
        <w:t xml:space="preserve">Pravidla hospodaření subjektů veřejného sektoru, zejména právní úprava fiskální odpovědnosti, jsou nastavena primárně na </w:t>
      </w:r>
      <w:r w:rsidRPr="00655C48">
        <w:rPr>
          <w:b/>
          <w:lang w:val="cs-CZ"/>
        </w:rPr>
        <w:t>omezení nadměrného zadlužování a ochranu dlouhodobé stability veřejných financí.</w:t>
      </w:r>
      <w:r w:rsidRPr="00655C48">
        <w:rPr>
          <w:lang w:val="cs-CZ"/>
        </w:rPr>
        <w:t xml:space="preserve"> Tato pravidla však v řadě případů nedostatečně rozlišují mezi</w:t>
      </w:r>
      <w:r w:rsidR="0037737A">
        <w:rPr>
          <w:lang w:val="cs-CZ"/>
        </w:rPr>
        <w:t> </w:t>
      </w:r>
      <w:r w:rsidRPr="00655C48">
        <w:rPr>
          <w:lang w:val="cs-CZ"/>
        </w:rPr>
        <w:t>spotřebním dluhem a dlouhodobým investičním financováním, které je kryto budoucími úsporami nebo stabilními a předvídatelnými příjmy.</w:t>
      </w:r>
    </w:p>
    <w:p w:rsidR="00D30B6C" w:rsidRPr="000F2C87" w:rsidP="00D30B6C" w14:paraId="67FEC985" w14:textId="67C1FCEF">
      <w:pPr>
        <w:jc w:val="both"/>
        <w:rPr>
          <w:lang w:val="cs-CZ"/>
        </w:rPr>
      </w:pPr>
      <w:r w:rsidRPr="000F2C87">
        <w:rPr>
          <w:lang w:val="cs-CZ"/>
        </w:rPr>
        <w:t>V aplikační praxi mohou být závazky vyplývající z finančních nástrojů posuzovány jako dluh veřejného sektoru bez ohledu na jejich ekonomickou podstatu, míru přenosu rizika nebo</w:t>
      </w:r>
      <w:r w:rsidR="0037737A">
        <w:rPr>
          <w:lang w:val="cs-CZ"/>
        </w:rPr>
        <w:t> </w:t>
      </w:r>
      <w:r w:rsidRPr="000F2C87">
        <w:rPr>
          <w:lang w:val="cs-CZ"/>
        </w:rPr>
        <w:t>skutečnost, že náklady na financování jsou kryty provozními úsporami nebo příjmy z</w:t>
      </w:r>
      <w:r w:rsidR="0037737A">
        <w:rPr>
          <w:lang w:val="cs-CZ"/>
        </w:rPr>
        <w:t> </w:t>
      </w:r>
      <w:r w:rsidRPr="000F2C87">
        <w:rPr>
          <w:lang w:val="cs-CZ"/>
        </w:rPr>
        <w:t>investice (např. nájemné, úspory energií, uživatelské poplatky). </w:t>
      </w:r>
    </w:p>
    <w:p w:rsidR="00CF3DCE" w:rsidRPr="000F2C87" w:rsidP="00382E81" w14:paraId="478EF7DA" w14:textId="77777777">
      <w:pPr>
        <w:jc w:val="both"/>
        <w:rPr>
          <w:lang w:val="cs-CZ"/>
        </w:rPr>
      </w:pPr>
      <w:r w:rsidRPr="000F2C87">
        <w:rPr>
          <w:lang w:val="cs-CZ"/>
        </w:rPr>
        <w:t xml:space="preserve">Vzhledem k tomu, že obce a kraje jsou jako územní samosprávné celky automaticky klasifikovány jako součást vládního sektoru (S.13), vstupují jejich závazky do veřejného dluhu a deficitu státního rozpočtu bez ohledu na povahu či veřejný přínos dané investice. </w:t>
      </w:r>
    </w:p>
    <w:p w:rsidR="00382E81" w:rsidRPr="000F2C87" w:rsidP="00382E81" w14:paraId="70E1E385" w14:textId="783B4099">
      <w:pPr>
        <w:jc w:val="both"/>
        <w:rPr>
          <w:lang w:val="cs-CZ"/>
        </w:rPr>
      </w:pPr>
      <w:r w:rsidRPr="000F2C87">
        <w:rPr>
          <w:lang w:val="cs-CZ"/>
        </w:rPr>
        <w:t>Finanční nástroje, zejména úvěry, půjčky a záruky, se obcím současně plně započítávají do jejich celkového zadlužení, tedy do ukazatele tzv. dluhové služby vymezené v §</w:t>
      </w:r>
      <w:r w:rsidRPr="000F2C87">
        <w:rPr>
          <w:rFonts w:ascii="Arial" w:hAnsi="Arial" w:cs="Arial"/>
          <w:lang w:val="cs-CZ"/>
        </w:rPr>
        <w:t> </w:t>
      </w:r>
      <w:r w:rsidRPr="000F2C87">
        <w:rPr>
          <w:lang w:val="cs-CZ"/>
        </w:rPr>
        <w:t>17 zákona o</w:t>
      </w:r>
      <w:r w:rsidR="0037737A">
        <w:rPr>
          <w:lang w:val="cs-CZ"/>
        </w:rPr>
        <w:t> </w:t>
      </w:r>
      <w:r w:rsidRPr="000F2C87">
        <w:rPr>
          <w:lang w:val="cs-CZ"/>
        </w:rPr>
        <w:t xml:space="preserve">rozpočtových pravidlech územních rozpočtů. Tím </w:t>
      </w:r>
      <w:r w:rsidRPr="000F2C87">
        <w:rPr>
          <w:b/>
          <w:bCs/>
          <w:lang w:val="cs-CZ"/>
        </w:rPr>
        <w:t>obce čelí zvýšenému riziku překročení zákonných limitů, potenciálnímu zhoršení svého ratingu a dalším negativním dopadům na</w:t>
      </w:r>
      <w:r w:rsidR="0037737A">
        <w:rPr>
          <w:b/>
          <w:bCs/>
          <w:lang w:val="cs-CZ"/>
        </w:rPr>
        <w:t> </w:t>
      </w:r>
      <w:r w:rsidRPr="000F2C87">
        <w:rPr>
          <w:b/>
          <w:bCs/>
          <w:lang w:val="cs-CZ"/>
        </w:rPr>
        <w:t>finanční stabilitu,</w:t>
      </w:r>
      <w:r w:rsidRPr="000F2C87">
        <w:rPr>
          <w:lang w:val="cs-CZ"/>
        </w:rPr>
        <w:t xml:space="preserve"> což v praxi podstatně omezuje jejich možnost využívat návratné formy podpory nebo kombinaci dotací a finančních nástrojů.</w:t>
      </w:r>
    </w:p>
    <w:p w:rsidR="00AC5EF4" w:rsidRPr="000F2C87" w:rsidP="00AC5EF4" w14:paraId="7DAB211E" w14:textId="40ECADD7">
      <w:pPr>
        <w:jc w:val="both"/>
        <w:rPr>
          <w:b/>
          <w:bCs/>
          <w:lang w:val="cs-CZ"/>
        </w:rPr>
      </w:pPr>
      <w:r w:rsidRPr="00FB7F6E">
        <w:rPr>
          <w:b/>
          <w:bCs/>
          <w:u w:val="single"/>
          <w:lang w:val="cs-CZ"/>
        </w:rPr>
        <w:t>Doporučená řešení</w:t>
      </w:r>
      <w:r w:rsidRPr="000F2C87">
        <w:rPr>
          <w:b/>
          <w:bCs/>
          <w:lang w:val="cs-CZ"/>
        </w:rPr>
        <w:t xml:space="preserve">: </w:t>
      </w:r>
    </w:p>
    <w:p w:rsidR="00965EA7" w:rsidRPr="000F2C87" w:rsidP="00BE7BBE" w14:paraId="681D019F" w14:textId="10DEBD17">
      <w:pPr>
        <w:jc w:val="both"/>
        <w:rPr>
          <w:lang w:val="cs-CZ"/>
        </w:rPr>
      </w:pPr>
      <w:r w:rsidRPr="000F2C87">
        <w:rPr>
          <w:lang w:val="cs-CZ"/>
        </w:rPr>
        <w:t>Je žádoucí metodicky upravit a sjednotit výklad pravidel fiskální odpovědnosti tak, aby</w:t>
      </w:r>
      <w:r w:rsidR="0037737A">
        <w:rPr>
          <w:lang w:val="cs-CZ"/>
        </w:rPr>
        <w:t> </w:t>
      </w:r>
      <w:r w:rsidRPr="000F2C87">
        <w:rPr>
          <w:lang w:val="cs-CZ"/>
        </w:rPr>
        <w:t>se</w:t>
      </w:r>
      <w:r w:rsidR="0037737A">
        <w:rPr>
          <w:lang w:val="cs-CZ"/>
        </w:rPr>
        <w:t> </w:t>
      </w:r>
      <w:r w:rsidRPr="000F2C87">
        <w:rPr>
          <w:b/>
          <w:bCs/>
          <w:lang w:val="cs-CZ"/>
        </w:rPr>
        <w:t>závazky plynoucí z finančních nástrojů</w:t>
      </w:r>
      <w:r w:rsidRPr="000F2C87" w:rsidR="004C49C5">
        <w:rPr>
          <w:b/>
          <w:bCs/>
          <w:lang w:val="cs-CZ"/>
        </w:rPr>
        <w:t xml:space="preserve"> z fondů</w:t>
      </w:r>
      <w:r w:rsidRPr="000F2C87">
        <w:rPr>
          <w:b/>
          <w:bCs/>
          <w:lang w:val="cs-CZ"/>
        </w:rPr>
        <w:t xml:space="preserve"> </w:t>
      </w:r>
      <w:r w:rsidRPr="000F2C87" w:rsidR="006F1F66">
        <w:rPr>
          <w:b/>
          <w:bCs/>
          <w:lang w:val="cs-CZ"/>
        </w:rPr>
        <w:t xml:space="preserve">EU </w:t>
      </w:r>
      <w:r w:rsidRPr="000F2C87">
        <w:rPr>
          <w:b/>
          <w:bCs/>
          <w:lang w:val="cs-CZ"/>
        </w:rPr>
        <w:t>neklasifikovaly automaticky jako</w:t>
      </w:r>
      <w:r w:rsidR="0037737A">
        <w:rPr>
          <w:b/>
          <w:bCs/>
          <w:lang w:val="cs-CZ"/>
        </w:rPr>
        <w:t> </w:t>
      </w:r>
      <w:r w:rsidRPr="000F2C87">
        <w:rPr>
          <w:b/>
          <w:bCs/>
          <w:lang w:val="cs-CZ"/>
        </w:rPr>
        <w:t>dluh veřejného sektoru v případech, kdy jejich ekonomická podstata odpovídá dlouhodobému investičnímu financování</w:t>
      </w:r>
      <w:r w:rsidRPr="000F2C87">
        <w:rPr>
          <w:lang w:val="cs-CZ"/>
        </w:rPr>
        <w:t xml:space="preserve"> se stabilním krytím nákladů a přenosem podstatné části rizik na jiný subjekt. </w:t>
      </w:r>
    </w:p>
    <w:p w:rsidR="00C2172A" w:rsidRPr="000F2C87" w:rsidP="00BE7BBE" w14:paraId="5DE4003A" w14:textId="224A31D3">
      <w:pPr>
        <w:jc w:val="both"/>
        <w:rPr>
          <w:lang w:val="cs-CZ"/>
        </w:rPr>
      </w:pPr>
      <w:r w:rsidRPr="000F2C87">
        <w:rPr>
          <w:lang w:val="cs-CZ"/>
        </w:rPr>
        <w:t>Při posuzování dopadů finančních nástrojů na zadlužení veřejného sektoru by se měla systematicky zohledňovat míra přenosu ekonomického rizika, existence stabilního a</w:t>
      </w:r>
      <w:r w:rsidR="0037737A">
        <w:rPr>
          <w:lang w:val="cs-CZ"/>
        </w:rPr>
        <w:t> </w:t>
      </w:r>
      <w:r w:rsidRPr="000F2C87">
        <w:rPr>
          <w:lang w:val="cs-CZ"/>
        </w:rPr>
        <w:t>předvídatelného cash</w:t>
      </w:r>
      <w:r w:rsidRPr="000F2C87">
        <w:rPr>
          <w:lang w:val="cs-CZ"/>
        </w:rPr>
        <w:noBreakHyphen/>
      </w:r>
      <w:r w:rsidRPr="000F2C87">
        <w:rPr>
          <w:lang w:val="cs-CZ"/>
        </w:rPr>
        <w:t>flow</w:t>
      </w:r>
      <w:r w:rsidRPr="000F2C87">
        <w:rPr>
          <w:lang w:val="cs-CZ"/>
        </w:rPr>
        <w:t xml:space="preserve"> a dlouhodobý investiční horizont, nikoli pouze formální právní konstrukce závazku. </w:t>
      </w:r>
    </w:p>
    <w:p w:rsidR="00403492" w:rsidRPr="000F2C87" w:rsidP="00BE7BBE" w14:paraId="501C2454" w14:textId="7C04C93E">
      <w:pPr>
        <w:jc w:val="both"/>
        <w:rPr>
          <w:lang w:val="cs-CZ"/>
        </w:rPr>
      </w:pPr>
      <w:r w:rsidRPr="000F2C87">
        <w:rPr>
          <w:lang w:val="cs-CZ"/>
        </w:rPr>
        <w:t xml:space="preserve">Zároveň je vhodné zvážit </w:t>
      </w:r>
      <w:r w:rsidRPr="00C636D3">
        <w:rPr>
          <w:b/>
          <w:lang w:val="cs-CZ"/>
        </w:rPr>
        <w:t>cílenou úpravu zákona</w:t>
      </w:r>
      <w:r w:rsidRPr="000F2C87">
        <w:rPr>
          <w:lang w:val="cs-CZ"/>
        </w:rPr>
        <w:t xml:space="preserve"> o rozpočtové odpovědnosti nebo jeho prováděcích předpisů tak, aby </w:t>
      </w:r>
      <w:r w:rsidRPr="00C636D3">
        <w:rPr>
          <w:b/>
          <w:lang w:val="cs-CZ"/>
        </w:rPr>
        <w:t>umožňovaly reflektovat specifika dlouhodobých, nízkorizikových investic</w:t>
      </w:r>
      <w:r w:rsidRPr="000F2C87">
        <w:rPr>
          <w:lang w:val="cs-CZ"/>
        </w:rPr>
        <w:t xml:space="preserve">, zejména tam, kde jsou náklady kryty vlastními příjmy projektu (například dostupné bydlení, energetické úspory nebo infrastrukturní projekty). </w:t>
      </w:r>
    </w:p>
    <w:p w:rsidR="00403492" w:rsidRPr="00BD3F41" w:rsidP="00BE7BBE" w14:paraId="355B1E00" w14:textId="5BF597F0">
      <w:pPr>
        <w:jc w:val="both"/>
        <w:rPr>
          <w:b/>
          <w:u w:val="single"/>
          <w:lang w:val="cs-CZ"/>
        </w:rPr>
      </w:pPr>
      <w:r w:rsidRPr="00BD3F41">
        <w:rPr>
          <w:b/>
          <w:u w:val="single"/>
          <w:lang w:val="cs-CZ"/>
        </w:rPr>
        <w:t xml:space="preserve">Přínosy </w:t>
      </w:r>
      <w:r w:rsidRPr="00BD3F41" w:rsidR="00AD752D">
        <w:rPr>
          <w:b/>
          <w:u w:val="single"/>
          <w:lang w:val="cs-CZ"/>
        </w:rPr>
        <w:t xml:space="preserve">legislativní </w:t>
      </w:r>
      <w:r w:rsidRPr="00BD3F41">
        <w:rPr>
          <w:b/>
          <w:u w:val="single"/>
          <w:lang w:val="cs-CZ"/>
        </w:rPr>
        <w:t xml:space="preserve">úpravy: </w:t>
      </w:r>
    </w:p>
    <w:p w:rsidR="00874C23" w:rsidRPr="000F2C87" w:rsidP="00874C23" w14:paraId="471267DF" w14:textId="4BD707A2">
      <w:pPr>
        <w:pStyle w:val="ListParagraph"/>
        <w:ind w:left="0"/>
        <w:jc w:val="both"/>
        <w:rPr>
          <w:lang w:val="cs-CZ"/>
        </w:rPr>
      </w:pPr>
      <w:r w:rsidRPr="000F2C87">
        <w:rPr>
          <w:lang w:val="cs-CZ"/>
        </w:rPr>
        <w:t xml:space="preserve">Změnou legislativy dojde k </w:t>
      </w:r>
      <w:r w:rsidRPr="000D78BC">
        <w:rPr>
          <w:b/>
          <w:bCs/>
          <w:lang w:val="cs-CZ"/>
        </w:rPr>
        <w:t>p</w:t>
      </w:r>
      <w:r w:rsidRPr="000D78BC" w:rsidR="00956ECF">
        <w:rPr>
          <w:b/>
          <w:bCs/>
          <w:lang w:val="cs-CZ"/>
        </w:rPr>
        <w:t>osílení investiční kapacity obcí</w:t>
      </w:r>
      <w:r w:rsidRPr="000F2C87">
        <w:rPr>
          <w:lang w:val="cs-CZ"/>
        </w:rPr>
        <w:t>. Umožní</w:t>
      </w:r>
      <w:r w:rsidRPr="000F2C87" w:rsidR="00956ECF">
        <w:rPr>
          <w:lang w:val="cs-CZ"/>
        </w:rPr>
        <w:t xml:space="preserve"> jim realizovat větší počet strategických a dlouhodobých investic, které jsou nezbytné pro kvalitní veřejné služby a</w:t>
      </w:r>
      <w:r w:rsidR="0037737A">
        <w:rPr>
          <w:lang w:val="cs-CZ"/>
        </w:rPr>
        <w:t> </w:t>
      </w:r>
      <w:r w:rsidRPr="000F2C87" w:rsidR="00956ECF">
        <w:rPr>
          <w:lang w:val="cs-CZ"/>
        </w:rPr>
        <w:t xml:space="preserve">modernizaci infrastruktury. </w:t>
      </w:r>
      <w:r w:rsidRPr="000F2C87">
        <w:rPr>
          <w:lang w:val="cs-CZ"/>
        </w:rPr>
        <w:t>Zajištění s</w:t>
      </w:r>
      <w:r w:rsidRPr="000F2C87" w:rsidR="00956ECF">
        <w:rPr>
          <w:lang w:val="cs-CZ"/>
        </w:rPr>
        <w:t>tabilní</w:t>
      </w:r>
      <w:r w:rsidRPr="000F2C87">
        <w:rPr>
          <w:lang w:val="cs-CZ"/>
        </w:rPr>
        <w:t>ho</w:t>
      </w:r>
      <w:r w:rsidRPr="000F2C87" w:rsidR="00956ECF">
        <w:rPr>
          <w:lang w:val="cs-CZ"/>
        </w:rPr>
        <w:t xml:space="preserve"> přístup</w:t>
      </w:r>
      <w:r w:rsidRPr="000F2C87">
        <w:rPr>
          <w:lang w:val="cs-CZ"/>
        </w:rPr>
        <w:t>u</w:t>
      </w:r>
      <w:r w:rsidRPr="000F2C87" w:rsidR="00956ECF">
        <w:rPr>
          <w:lang w:val="cs-CZ"/>
        </w:rPr>
        <w:t xml:space="preserve"> k návratným formám financování může obcím umožnit překlenout krátkodobé rozpočtové omezení, lépe plánovat víceleté projekty a</w:t>
      </w:r>
      <w:r w:rsidR="00C2083A">
        <w:rPr>
          <w:lang w:val="cs-CZ"/>
        </w:rPr>
        <w:t> </w:t>
      </w:r>
      <w:r w:rsidRPr="000F2C87" w:rsidR="00956ECF">
        <w:rPr>
          <w:lang w:val="cs-CZ"/>
        </w:rPr>
        <w:t>flexibilně reagovat na nové potřeby území. Tím se zvyšuje jejich schopnost financovat klíčové investice bez přetěžování běžného rozpočtu.</w:t>
      </w:r>
    </w:p>
    <w:p w:rsidR="00382E81" w:rsidRPr="000F2C87" w:rsidP="00874C23" w14:paraId="17A94AE0" w14:textId="3AC055C2">
      <w:pPr>
        <w:pStyle w:val="ListParagraph"/>
        <w:ind w:left="0"/>
        <w:jc w:val="both"/>
        <w:rPr>
          <w:lang w:val="cs-CZ"/>
        </w:rPr>
      </w:pPr>
      <w:r w:rsidRPr="000F2C87">
        <w:rPr>
          <w:lang w:val="cs-CZ"/>
        </w:rPr>
        <w:br/>
      </w:r>
      <w:r w:rsidRPr="000F2C87" w:rsidR="00226505">
        <w:rPr>
          <w:lang w:val="cs-CZ"/>
        </w:rPr>
        <w:t xml:space="preserve">Opatření umožní </w:t>
      </w:r>
      <w:r w:rsidRPr="000F2C87">
        <w:rPr>
          <w:lang w:val="cs-CZ"/>
        </w:rPr>
        <w:t>obcím realizovat projekty, které přispívají k vyšší kvalitě života, konkurenceschopnosti a odolnosti území – například v oblasti bydlení, energetiky, mobility či</w:t>
      </w:r>
      <w:r w:rsidR="002C5EA2">
        <w:rPr>
          <w:lang w:val="cs-CZ"/>
        </w:rPr>
        <w:t> </w:t>
      </w:r>
      <w:r w:rsidRPr="000F2C87">
        <w:rPr>
          <w:lang w:val="cs-CZ"/>
        </w:rPr>
        <w:t xml:space="preserve">environmentální infrastruktury. </w:t>
      </w:r>
      <w:r w:rsidRPr="000F2C87" w:rsidR="000F20F5">
        <w:rPr>
          <w:lang w:val="cs-CZ"/>
        </w:rPr>
        <w:t xml:space="preserve"> Čímž se přispěje ke </w:t>
      </w:r>
      <w:r w:rsidRPr="000F2C87">
        <w:rPr>
          <w:lang w:val="cs-CZ"/>
        </w:rPr>
        <w:t>stabiliz</w:t>
      </w:r>
      <w:r w:rsidRPr="000F2C87" w:rsidR="000F20F5">
        <w:rPr>
          <w:lang w:val="cs-CZ"/>
        </w:rPr>
        <w:t>aci</w:t>
      </w:r>
      <w:r w:rsidRPr="000F2C87">
        <w:rPr>
          <w:lang w:val="cs-CZ"/>
        </w:rPr>
        <w:t xml:space="preserve"> rozvoj</w:t>
      </w:r>
      <w:r w:rsidRPr="000F2C87" w:rsidR="000F20F5">
        <w:rPr>
          <w:lang w:val="cs-CZ"/>
        </w:rPr>
        <w:t>e</w:t>
      </w:r>
      <w:r w:rsidRPr="000F2C87">
        <w:rPr>
          <w:lang w:val="cs-CZ"/>
        </w:rPr>
        <w:t xml:space="preserve"> obcí i regionů, podp</w:t>
      </w:r>
      <w:r w:rsidRPr="000F2C87" w:rsidR="000F20F5">
        <w:rPr>
          <w:lang w:val="cs-CZ"/>
        </w:rPr>
        <w:t>oře</w:t>
      </w:r>
      <w:r w:rsidRPr="000F2C87">
        <w:rPr>
          <w:lang w:val="cs-CZ"/>
        </w:rPr>
        <w:t xml:space="preserve"> vyvážen</w:t>
      </w:r>
      <w:r w:rsidRPr="000F2C87" w:rsidR="000F20F5">
        <w:rPr>
          <w:lang w:val="cs-CZ"/>
        </w:rPr>
        <w:t>ého</w:t>
      </w:r>
      <w:r w:rsidRPr="000F2C87">
        <w:rPr>
          <w:lang w:val="cs-CZ"/>
        </w:rPr>
        <w:t xml:space="preserve"> růst</w:t>
      </w:r>
      <w:r w:rsidRPr="000F2C87" w:rsidR="000F20F5">
        <w:rPr>
          <w:lang w:val="cs-CZ"/>
        </w:rPr>
        <w:t>u</w:t>
      </w:r>
      <w:r w:rsidRPr="000F2C87">
        <w:rPr>
          <w:lang w:val="cs-CZ"/>
        </w:rPr>
        <w:t xml:space="preserve"> a </w:t>
      </w:r>
      <w:r w:rsidRPr="000F2C87" w:rsidR="000F20F5">
        <w:rPr>
          <w:lang w:val="cs-CZ"/>
        </w:rPr>
        <w:t>umožnění</w:t>
      </w:r>
      <w:r w:rsidRPr="000F2C87">
        <w:rPr>
          <w:lang w:val="cs-CZ"/>
        </w:rPr>
        <w:t xml:space="preserve"> lépe plánovat veřejné investice v delším časovém horizontu.</w:t>
      </w:r>
    </w:p>
    <w:p w:rsidR="008131DD" w:rsidRPr="000F2C87" w:rsidP="00514F1A" w14:paraId="47E0A233" w14:textId="77777777">
      <w:pPr>
        <w:jc w:val="both"/>
        <w:rPr>
          <w:b/>
          <w:bCs/>
          <w:lang w:val="cs-CZ"/>
        </w:rPr>
      </w:pPr>
    </w:p>
    <w:p w:rsidR="00CE4728" w:rsidRPr="008E7371" w:rsidP="00B64BDB" w14:paraId="57443916" w14:textId="4EEBD1E8">
      <w:pPr>
        <w:pStyle w:val="Heading3"/>
        <w:rPr>
          <w:rFonts w:asciiTheme="minorHAnsi" w:hAnsiTheme="minorHAnsi"/>
          <w:color w:val="034EA2"/>
        </w:rPr>
      </w:pPr>
      <w:r w:rsidRPr="008E7371">
        <w:t>Zákon č. 219/2000 Sb., o majetku ČR a jejím vystupování v</w:t>
      </w:r>
      <w:r w:rsidRPr="008E7371">
        <w:rPr>
          <w:rFonts w:ascii="Arial" w:hAnsi="Arial" w:cs="Arial"/>
          <w:color w:val="034EA2"/>
        </w:rPr>
        <w:t> </w:t>
      </w:r>
      <w:r w:rsidRPr="008E7371">
        <w:rPr>
          <w:rFonts w:asciiTheme="minorHAnsi" w:hAnsiTheme="minorHAnsi"/>
          <w:color w:val="034EA2"/>
        </w:rPr>
        <w:t>právních vztazích </w:t>
      </w:r>
    </w:p>
    <w:p w:rsidR="00AD225C" w:rsidRPr="000F2C87" w:rsidP="00AD225C" w14:paraId="0175859D" w14:textId="5B4F319B">
      <w:pPr>
        <w:jc w:val="both"/>
        <w:rPr>
          <w:rFonts w:asciiTheme="minorHAnsi" w:hAnsiTheme="minorHAnsi"/>
          <w:lang w:val="cs-CZ"/>
        </w:rPr>
      </w:pPr>
      <w:r w:rsidRPr="000F2C87">
        <w:rPr>
          <w:rFonts w:asciiTheme="minorHAnsi" w:hAnsiTheme="minorHAnsi"/>
          <w:lang w:val="cs-CZ"/>
        </w:rPr>
        <w:t>U kapitálových a kvazikapitálových finančních nástrojů se v praxi opakovaně objevují nejasnosti týkající se aplikace zákona č. 219/2000 Sb., o majetku České republiky a jejím vystupování v</w:t>
      </w:r>
      <w:r w:rsidR="002C5EA2">
        <w:rPr>
          <w:rFonts w:asciiTheme="minorHAnsi" w:hAnsiTheme="minorHAnsi"/>
          <w:lang w:val="cs-CZ"/>
        </w:rPr>
        <w:t> </w:t>
      </w:r>
      <w:r w:rsidRPr="000F2C87">
        <w:rPr>
          <w:rFonts w:asciiTheme="minorHAnsi" w:hAnsiTheme="minorHAnsi"/>
          <w:lang w:val="cs-CZ"/>
        </w:rPr>
        <w:t xml:space="preserve">právních vztazích. Tento zákon stanovuje striktní pravidla pro nakládání s majetkovými účastmi státu, včetně povinnosti získat souhlas vlády při vstupu do některých forem vlastnických podílů v obchodních korporacích. V důsledku rozdílných výkladů tak v určitých situacích vzniká </w:t>
      </w:r>
      <w:r w:rsidRPr="000F2C87">
        <w:rPr>
          <w:rFonts w:asciiTheme="minorHAnsi" w:hAnsiTheme="minorHAnsi"/>
          <w:b/>
          <w:bCs/>
          <w:lang w:val="cs-CZ"/>
        </w:rPr>
        <w:t>nejistota, zda a za jakých podmínek lze kapitálové či kvazikapitálové finanční nástroje realizovat</w:t>
      </w:r>
      <w:r w:rsidRPr="000F2C87">
        <w:rPr>
          <w:rFonts w:asciiTheme="minorHAnsi" w:hAnsiTheme="minorHAnsi"/>
          <w:lang w:val="cs-CZ"/>
        </w:rPr>
        <w:t xml:space="preserve"> prostřednictvím subjektů, jako je NRB nebo NRI.</w:t>
      </w:r>
    </w:p>
    <w:p w:rsidR="00AD225C" w:rsidRPr="000F2C87" w:rsidP="00AD225C" w14:paraId="14939362" w14:textId="79ABF580">
      <w:pPr>
        <w:jc w:val="both"/>
        <w:rPr>
          <w:rFonts w:asciiTheme="minorHAnsi" w:hAnsiTheme="minorHAnsi"/>
          <w:lang w:val="cs-CZ"/>
        </w:rPr>
      </w:pPr>
      <w:r w:rsidRPr="000F2C87">
        <w:rPr>
          <w:rFonts w:asciiTheme="minorHAnsi" w:hAnsiTheme="minorHAnsi"/>
          <w:lang w:val="cs-CZ"/>
        </w:rPr>
        <w:t>Tato interpretační nejistota může vést k nadměrně opatrnému či restriktivnímu přístupu k</w:t>
      </w:r>
      <w:r w:rsidR="002C5EA2">
        <w:rPr>
          <w:rFonts w:asciiTheme="minorHAnsi" w:hAnsiTheme="minorHAnsi"/>
          <w:lang w:val="cs-CZ"/>
        </w:rPr>
        <w:t> </w:t>
      </w:r>
      <w:r w:rsidRPr="000F2C87">
        <w:rPr>
          <w:rFonts w:asciiTheme="minorHAnsi" w:hAnsiTheme="minorHAnsi"/>
          <w:lang w:val="cs-CZ"/>
        </w:rPr>
        <w:t>využívání kapitálových nástrojů, a to i přesto, že jejich ekonomická logika a institucionální nastavení implementačních partnerů umožňují jejich realizaci bez toho, aby stát přímo nabýval nebo držel majetkovou účast.</w:t>
      </w:r>
    </w:p>
    <w:p w:rsidR="00CB2AE2" w:rsidRPr="000F2C87" w:rsidP="00CB2AE2" w14:paraId="1C650733" w14:textId="77777777">
      <w:pPr>
        <w:jc w:val="both"/>
        <w:rPr>
          <w:b/>
          <w:bCs/>
          <w:lang w:val="cs-CZ"/>
        </w:rPr>
      </w:pPr>
      <w:r w:rsidRPr="00FB7F6E">
        <w:rPr>
          <w:b/>
          <w:bCs/>
          <w:u w:val="single"/>
          <w:lang w:val="cs-CZ"/>
        </w:rPr>
        <w:t>Doporučená řešení</w:t>
      </w:r>
      <w:r w:rsidRPr="000F2C87">
        <w:rPr>
          <w:b/>
          <w:bCs/>
          <w:lang w:val="cs-CZ"/>
        </w:rPr>
        <w:t xml:space="preserve">: </w:t>
      </w:r>
    </w:p>
    <w:p w:rsidR="00B56A23" w:rsidRPr="000F2C87" w:rsidP="00B56A23" w14:paraId="1D9FB3D7" w14:textId="7FE2088D">
      <w:pPr>
        <w:jc w:val="both"/>
        <w:rPr>
          <w:rFonts w:asciiTheme="minorHAnsi" w:hAnsiTheme="minorHAnsi"/>
          <w:lang w:val="cs-CZ"/>
        </w:rPr>
      </w:pPr>
      <w:r w:rsidRPr="00DD70E6">
        <w:rPr>
          <w:rFonts w:asciiTheme="minorHAnsi" w:hAnsiTheme="minorHAnsi"/>
          <w:b/>
          <w:lang w:val="cs-CZ"/>
        </w:rPr>
        <w:t>Metodicky potvrdit</w:t>
      </w:r>
      <w:r w:rsidRPr="000F2C87">
        <w:rPr>
          <w:rFonts w:asciiTheme="minorHAnsi" w:hAnsiTheme="minorHAnsi"/>
          <w:lang w:val="cs-CZ"/>
        </w:rPr>
        <w:t>, že zákon č. 219/2000 Sb., o majetku České republiky, se vztahuje na</w:t>
      </w:r>
      <w:r w:rsidR="002C5EA2">
        <w:rPr>
          <w:rFonts w:asciiTheme="minorHAnsi" w:hAnsiTheme="minorHAnsi"/>
          <w:lang w:val="cs-CZ"/>
        </w:rPr>
        <w:t> </w:t>
      </w:r>
      <w:r w:rsidRPr="000F2C87">
        <w:rPr>
          <w:rFonts w:asciiTheme="minorHAnsi" w:hAnsiTheme="minorHAnsi"/>
          <w:lang w:val="cs-CZ"/>
        </w:rPr>
        <w:t xml:space="preserve">organizační složky státu a státní organizace, a </w:t>
      </w:r>
      <w:r w:rsidRPr="00DD70E6">
        <w:rPr>
          <w:rFonts w:asciiTheme="minorHAnsi" w:hAnsiTheme="minorHAnsi"/>
          <w:b/>
          <w:lang w:val="cs-CZ"/>
        </w:rPr>
        <w:t>nepředstavuje obecnou právní překážku pro</w:t>
      </w:r>
      <w:r w:rsidRPr="00DD70E6" w:rsidR="002C5EA2">
        <w:rPr>
          <w:rFonts w:asciiTheme="minorHAnsi" w:hAnsiTheme="minorHAnsi"/>
          <w:b/>
          <w:lang w:val="cs-CZ"/>
        </w:rPr>
        <w:t> </w:t>
      </w:r>
      <w:r w:rsidRPr="00DD70E6">
        <w:rPr>
          <w:rFonts w:asciiTheme="minorHAnsi" w:hAnsiTheme="minorHAnsi"/>
          <w:b/>
          <w:lang w:val="cs-CZ"/>
        </w:rPr>
        <w:t>realizaci kapitálových a kvazikapitálových finančních nástrojů</w:t>
      </w:r>
      <w:r w:rsidRPr="000F2C87">
        <w:rPr>
          <w:rFonts w:asciiTheme="minorHAnsi" w:hAnsiTheme="minorHAnsi"/>
          <w:lang w:val="cs-CZ"/>
        </w:rPr>
        <w:t xml:space="preserve"> prostřednictvím právnických osob s vlastní právní subjektivitou, jako jsou NRB a NRI. </w:t>
      </w:r>
    </w:p>
    <w:p w:rsidR="00B56A23" w:rsidRPr="000F2C87" w:rsidP="00B56A23" w14:paraId="12C3088A" w14:textId="77777777">
      <w:pPr>
        <w:jc w:val="both"/>
        <w:rPr>
          <w:rFonts w:asciiTheme="minorHAnsi" w:hAnsiTheme="minorHAnsi"/>
          <w:lang w:val="cs-CZ"/>
        </w:rPr>
      </w:pPr>
      <w:r w:rsidRPr="000F2C87">
        <w:rPr>
          <w:rFonts w:asciiTheme="minorHAnsi" w:hAnsiTheme="minorHAnsi"/>
          <w:lang w:val="cs-CZ"/>
        </w:rPr>
        <w:t>V případech, kde přetrvává výkladová nejistota, zvážit doplnění výkladového nebo metodického ukotvení v předpisech upravujících činnost NRB a NRI, případně cílené legislativní zpřesnění, které odstraní pochybnosti o možnosti realizace kapitálových a kvazikapitálových FN. </w:t>
      </w:r>
    </w:p>
    <w:p w:rsidR="006A132F" w:rsidRPr="00BD3F41" w:rsidP="006A132F" w14:paraId="1A05D8C4" w14:textId="77777777">
      <w:pPr>
        <w:jc w:val="both"/>
        <w:rPr>
          <w:b/>
          <w:u w:val="single"/>
          <w:lang w:val="cs-CZ"/>
        </w:rPr>
      </w:pPr>
      <w:r w:rsidRPr="00BD3F41">
        <w:rPr>
          <w:b/>
          <w:u w:val="single"/>
          <w:lang w:val="cs-CZ"/>
        </w:rPr>
        <w:t xml:space="preserve">Přínosy legislativní úpravy: </w:t>
      </w:r>
    </w:p>
    <w:p w:rsidR="00B36D84" w:rsidP="00B36D84" w14:paraId="62D40978" w14:textId="1D6F18F0">
      <w:pPr>
        <w:jc w:val="both"/>
        <w:rPr>
          <w:rFonts w:asciiTheme="minorHAnsi" w:hAnsiTheme="minorHAnsi"/>
          <w:lang w:val="cs-CZ"/>
        </w:rPr>
      </w:pPr>
      <w:r w:rsidRPr="000F2C87">
        <w:rPr>
          <w:rFonts w:asciiTheme="minorHAnsi" w:hAnsiTheme="minorHAnsi"/>
          <w:lang w:val="cs-CZ"/>
        </w:rPr>
        <w:t xml:space="preserve">Odstranění výkladových pochybností by jednak zvýšilo ochotu implementačních partnerů využívat kapitálové a kvazikapitálové nástroje a umožnilo by strukturovat podporu flexibilněji podle potřeb trhu. Zároveň by samotní správci, zejména NRI, získali potřebnou právní jistotu </w:t>
      </w:r>
      <w:r w:rsidRPr="000F2C87">
        <w:rPr>
          <w:rFonts w:asciiTheme="minorHAnsi" w:hAnsiTheme="minorHAnsi"/>
          <w:lang w:val="cs-CZ"/>
        </w:rPr>
        <w:t>k</w:t>
      </w:r>
      <w:r w:rsidRPr="000F2C87">
        <w:rPr>
          <w:rFonts w:ascii="Arial" w:hAnsi="Arial" w:cs="Arial"/>
          <w:lang w:val="cs-CZ"/>
        </w:rPr>
        <w:t> </w:t>
      </w:r>
      <w:r w:rsidRPr="000F2C87">
        <w:rPr>
          <w:rFonts w:asciiTheme="minorHAnsi" w:hAnsiTheme="minorHAnsi"/>
          <w:lang w:val="cs-CZ"/>
        </w:rPr>
        <w:t>dalšímu plánování těchto nástrojů. Mohli by tak plynule navázat na své dosavadní zkušenosti a</w:t>
      </w:r>
      <w:r w:rsidR="002C5EA2">
        <w:rPr>
          <w:rFonts w:asciiTheme="minorHAnsi" w:hAnsiTheme="minorHAnsi"/>
          <w:lang w:val="cs-CZ"/>
        </w:rPr>
        <w:t> </w:t>
      </w:r>
      <w:r w:rsidRPr="000F2C87">
        <w:rPr>
          <w:rFonts w:asciiTheme="minorHAnsi" w:hAnsiTheme="minorHAnsi"/>
          <w:lang w:val="cs-CZ"/>
        </w:rPr>
        <w:t>uplatnit je při rozvoji nových investičních schémat.</w:t>
      </w:r>
    </w:p>
    <w:p w:rsidR="00DF7793" w:rsidRPr="000F2C87" w:rsidP="00B36D84" w14:paraId="00011E45" w14:textId="77777777">
      <w:pPr>
        <w:jc w:val="both"/>
        <w:rPr>
          <w:rFonts w:asciiTheme="minorHAnsi" w:hAnsiTheme="minorHAnsi"/>
          <w:lang w:val="cs-CZ"/>
        </w:rPr>
      </w:pPr>
    </w:p>
    <w:p w:rsidR="00223F7A" w:rsidRPr="00B64BDB" w:rsidP="00B64BDB" w14:paraId="77BEA82C" w14:textId="4E933E25">
      <w:pPr>
        <w:pStyle w:val="Heading3"/>
      </w:pPr>
      <w:r w:rsidRPr="00B64BDB">
        <w:t>Zákon č. 211/2000 Sb., o Státním fondu podpory investic </w:t>
      </w:r>
    </w:p>
    <w:p w:rsidR="00736AA7" w:rsidRPr="000F2C87" w:rsidP="00736AA7" w14:paraId="04C10417" w14:textId="77777777">
      <w:pPr>
        <w:jc w:val="both"/>
        <w:rPr>
          <w:rFonts w:asciiTheme="minorHAnsi" w:hAnsiTheme="minorHAnsi"/>
          <w:lang w:val="cs-CZ"/>
        </w:rPr>
      </w:pPr>
      <w:r w:rsidRPr="000F2C87">
        <w:rPr>
          <w:rFonts w:asciiTheme="minorHAnsi" w:hAnsiTheme="minorHAnsi"/>
          <w:lang w:val="cs-CZ"/>
        </w:rPr>
        <w:t xml:space="preserve">Současné nastavení právního rámce restriktivně vymezuje věcný mandát SFPI, čímž zužuje investiční univerzum fondu a vylučuje část projektů, které by bylo racionální financovat návratnými instrumenty (např. v logice IROP). </w:t>
      </w:r>
    </w:p>
    <w:p w:rsidR="00736AA7" w:rsidRPr="000F2C87" w:rsidP="00736AA7" w14:paraId="44CC2492" w14:textId="38264538">
      <w:pPr>
        <w:jc w:val="both"/>
        <w:rPr>
          <w:rFonts w:asciiTheme="minorHAnsi" w:hAnsiTheme="minorHAnsi"/>
          <w:lang w:val="cs-CZ"/>
        </w:rPr>
      </w:pPr>
      <w:r w:rsidRPr="000F2C87">
        <w:rPr>
          <w:rFonts w:asciiTheme="minorHAnsi" w:hAnsiTheme="minorHAnsi"/>
          <w:lang w:val="cs-CZ"/>
        </w:rPr>
        <w:t xml:space="preserve">Produktová paleta je navíc strukturálně omezena: využití záručních schémat podléhá </w:t>
      </w:r>
      <w:r w:rsidRPr="000F2C87" w:rsidR="00D76518">
        <w:rPr>
          <w:rFonts w:asciiTheme="minorHAnsi" w:hAnsiTheme="minorHAnsi"/>
          <w:lang w:val="cs-CZ"/>
        </w:rPr>
        <w:t xml:space="preserve">přísné regulaci. </w:t>
      </w:r>
      <w:r w:rsidRPr="000F2C87">
        <w:rPr>
          <w:rFonts w:asciiTheme="minorHAnsi" w:hAnsiTheme="minorHAnsi"/>
          <w:lang w:val="cs-CZ"/>
        </w:rPr>
        <w:t>Další transakční zátěž vytváří vícestupňový schvalovací mechanismus, který podmiňuje parametry podpory rozhodnutím výboru a souhlasem vlády; u finančních nástrojů napojených na</w:t>
      </w:r>
      <w:r w:rsidR="002C5EA2">
        <w:rPr>
          <w:rFonts w:asciiTheme="minorHAnsi" w:hAnsiTheme="minorHAnsi"/>
          <w:lang w:val="cs-CZ"/>
        </w:rPr>
        <w:t> </w:t>
      </w:r>
      <w:r w:rsidRPr="000F2C87">
        <w:rPr>
          <w:rFonts w:asciiTheme="minorHAnsi" w:hAnsiTheme="minorHAnsi"/>
          <w:lang w:val="cs-CZ"/>
        </w:rPr>
        <w:t xml:space="preserve">již vládou schválené operační programy to vede k procedurálním prodlevám, zvýšeným administrativním nákladům a nižší predikovatelnosti pro příjemce i finanční partnery. </w:t>
      </w:r>
    </w:p>
    <w:p w:rsidR="00736AA7" w:rsidRPr="000F2C87" w:rsidP="00736AA7" w14:paraId="4EF5CE4F" w14:textId="2F3A3C3A">
      <w:pPr>
        <w:jc w:val="both"/>
        <w:rPr>
          <w:rFonts w:asciiTheme="minorHAnsi" w:hAnsiTheme="minorHAnsi"/>
          <w:lang w:val="cs-CZ"/>
        </w:rPr>
      </w:pPr>
      <w:r w:rsidRPr="000F2C87">
        <w:rPr>
          <w:rFonts w:asciiTheme="minorHAnsi" w:hAnsiTheme="minorHAnsi"/>
          <w:lang w:val="cs-CZ"/>
        </w:rPr>
        <w:t>Z hlediska správy programového cyklu je přitom efektivnější alokovat rozhodovací roli výboru do</w:t>
      </w:r>
      <w:r w:rsidR="002C5EA2">
        <w:rPr>
          <w:rFonts w:asciiTheme="minorHAnsi" w:hAnsiTheme="minorHAnsi"/>
          <w:lang w:val="cs-CZ"/>
        </w:rPr>
        <w:t> </w:t>
      </w:r>
      <w:r w:rsidRPr="000F2C87">
        <w:rPr>
          <w:rFonts w:asciiTheme="minorHAnsi" w:hAnsiTheme="minorHAnsi"/>
          <w:lang w:val="cs-CZ"/>
        </w:rPr>
        <w:t>fáze uzavírání dohody o financování (tj. k definici rámcových investičních parametrů, řízení rizik a governance), nikoli do operativního nastavování výzev, kde je klíčová rychlost, standardizace a právní jistota.</w:t>
      </w:r>
    </w:p>
    <w:p w:rsidR="00736AA7" w:rsidRPr="000F2C87" w:rsidP="00736AA7" w14:paraId="55452FDD" w14:textId="77777777">
      <w:pPr>
        <w:jc w:val="both"/>
        <w:rPr>
          <w:b/>
          <w:bCs/>
          <w:lang w:val="cs-CZ"/>
        </w:rPr>
      </w:pPr>
      <w:r w:rsidRPr="00FB7F6E">
        <w:rPr>
          <w:b/>
          <w:bCs/>
          <w:u w:val="single"/>
          <w:lang w:val="cs-CZ"/>
        </w:rPr>
        <w:t>Doporučená řešení</w:t>
      </w:r>
      <w:r w:rsidRPr="000F2C87">
        <w:rPr>
          <w:b/>
          <w:bCs/>
          <w:lang w:val="cs-CZ"/>
        </w:rPr>
        <w:t xml:space="preserve">: </w:t>
      </w:r>
    </w:p>
    <w:p w:rsidR="00067F7D" w:rsidRPr="000F2C87" w:rsidP="00067F7D" w14:paraId="1B7E3B5D" w14:textId="32011369">
      <w:pPr>
        <w:jc w:val="both"/>
        <w:rPr>
          <w:lang w:val="cs-CZ"/>
        </w:rPr>
      </w:pPr>
      <w:r w:rsidRPr="000F2C87">
        <w:rPr>
          <w:lang w:val="cs-CZ"/>
        </w:rPr>
        <w:t xml:space="preserve">Navrhované legislativní změny by měly </w:t>
      </w:r>
      <w:r w:rsidRPr="00746F4B">
        <w:rPr>
          <w:b/>
          <w:lang w:val="cs-CZ"/>
        </w:rPr>
        <w:t>zejména rozšířit okruh příjmů fondu</w:t>
      </w:r>
      <w:r w:rsidRPr="000F2C87">
        <w:rPr>
          <w:lang w:val="cs-CZ"/>
        </w:rPr>
        <w:t xml:space="preserve"> tak, aby bylo explicitně umožněno alokovat prostředky státního rozpočtu do finančních nástrojů (včetně přímých vkladů do jejich struktur), čímž se odstraní stávající zdrojová restrikce.</w:t>
      </w:r>
    </w:p>
    <w:p w:rsidR="00067F7D" w:rsidRPr="000F2C87" w:rsidP="00067F7D" w14:paraId="00F01205" w14:textId="6BB196D0">
      <w:pPr>
        <w:jc w:val="both"/>
        <w:rPr>
          <w:lang w:val="cs-CZ"/>
        </w:rPr>
      </w:pPr>
      <w:r w:rsidRPr="000F2C87">
        <w:rPr>
          <w:lang w:val="cs-CZ"/>
        </w:rPr>
        <w:t xml:space="preserve"> Současně je žádoucí </w:t>
      </w:r>
      <w:r w:rsidRPr="00746F4B">
        <w:rPr>
          <w:b/>
          <w:lang w:val="cs-CZ"/>
        </w:rPr>
        <w:t>rozšířit věcný mandát fondu</w:t>
      </w:r>
      <w:r w:rsidRPr="000F2C87">
        <w:rPr>
          <w:lang w:val="cs-CZ"/>
        </w:rPr>
        <w:t xml:space="preserve"> nad rámec dnes vyjmenovaných oblastí tak, aby odpovídal plnému rozsahu sektorů v gesci MMR, a umožnil tak efektivní nasazení nástrojů napříč celým investičním spektrem. </w:t>
      </w:r>
    </w:p>
    <w:p w:rsidR="00067F7D" w:rsidRPr="000F2C87" w:rsidP="00067F7D" w14:paraId="42BCD1B7" w14:textId="438B7685">
      <w:pPr>
        <w:jc w:val="both"/>
        <w:rPr>
          <w:lang w:val="cs-CZ"/>
        </w:rPr>
      </w:pPr>
      <w:r w:rsidRPr="000F2C87">
        <w:rPr>
          <w:lang w:val="cs-CZ"/>
        </w:rPr>
        <w:t xml:space="preserve">V oblasti governance se doporučuje </w:t>
      </w:r>
      <w:r w:rsidRPr="00746F4B">
        <w:rPr>
          <w:b/>
          <w:lang w:val="cs-CZ"/>
        </w:rPr>
        <w:t>upravit rozhodovací procedury pro finanční nástroje</w:t>
      </w:r>
      <w:r w:rsidRPr="000F2C87">
        <w:rPr>
          <w:lang w:val="cs-CZ"/>
        </w:rPr>
        <w:t xml:space="preserve"> tak, aby</w:t>
      </w:r>
      <w:r w:rsidR="002C5EA2">
        <w:rPr>
          <w:lang w:val="cs-CZ"/>
        </w:rPr>
        <w:t> </w:t>
      </w:r>
      <w:r w:rsidRPr="000F2C87">
        <w:rPr>
          <w:lang w:val="cs-CZ"/>
        </w:rPr>
        <w:t>v případech, kdy vláda již jednou schválila využití prostředků ve formě FN v rámci operačního programu, nebyla vyžadována duplicita schvalování parametrů podpory; tím se sníží transakční náklady, zrychlí implementační cyklus a zvýší predikovatelnost pro příjemce i finanční partnery.</w:t>
      </w:r>
    </w:p>
    <w:p w:rsidR="00EF3540" w:rsidRPr="00BD3F41" w:rsidP="00EF3540" w14:paraId="37532456" w14:textId="77777777">
      <w:pPr>
        <w:jc w:val="both"/>
        <w:rPr>
          <w:b/>
          <w:u w:val="single"/>
          <w:lang w:val="cs-CZ"/>
        </w:rPr>
      </w:pPr>
      <w:r w:rsidRPr="00BD3F41">
        <w:rPr>
          <w:b/>
          <w:u w:val="single"/>
          <w:lang w:val="cs-CZ"/>
        </w:rPr>
        <w:t xml:space="preserve">Přínosy legislativní úpravy: </w:t>
      </w:r>
    </w:p>
    <w:p w:rsidR="00DF63E1" w:rsidRPr="000F2C87" w:rsidP="006A132F" w14:paraId="0C349478" w14:textId="584EA9D3">
      <w:pPr>
        <w:jc w:val="both"/>
        <w:rPr>
          <w:lang w:val="cs-CZ"/>
        </w:rPr>
      </w:pPr>
      <w:r w:rsidRPr="000F2C87">
        <w:rPr>
          <w:lang w:val="cs-CZ"/>
        </w:rPr>
        <w:t>Navrhované legislativní změny odstraní klíčové bariéry, které dnes omezují působnost a</w:t>
      </w:r>
      <w:r w:rsidR="002C5EA2">
        <w:rPr>
          <w:lang w:val="cs-CZ"/>
        </w:rPr>
        <w:t> </w:t>
      </w:r>
      <w:r w:rsidRPr="000F2C87">
        <w:rPr>
          <w:lang w:val="cs-CZ"/>
        </w:rPr>
        <w:t>efektivitu SFPI, a umožní, aby se fond stal plnohodnotným, flexibilním a investičně orientovaným nástrojem státní politiky.</w:t>
      </w:r>
    </w:p>
    <w:p w:rsidR="00DF63E1" w:rsidRPr="000F2C87" w:rsidP="006A132F" w14:paraId="130012BE" w14:textId="2BADBB76">
      <w:pPr>
        <w:jc w:val="both"/>
        <w:rPr>
          <w:lang w:val="cs-CZ"/>
        </w:rPr>
      </w:pPr>
      <w:r w:rsidRPr="000F2C87">
        <w:rPr>
          <w:lang w:val="cs-CZ"/>
        </w:rPr>
        <w:t xml:space="preserve"> Posílení jeho mandátu a rozšíření produktových oprávnění umožní fondu vstupovat do širšího spektra investičních oblastí, pracovat s moderními formami finančních nástrojů a pružněji reagovat na investiční potřeby území. Tím se výrazně zvýší jeho schopnost podporovat systémové projekty v oblasti bydlení, infrastruktury a regionálního rozvoje, a zároveň se posílí kapacita státu řídit tyto investice návratnou a ekonomicky udržitelnou formou. </w:t>
      </w:r>
    </w:p>
    <w:p w:rsidR="006A132F" w:rsidP="006A132F" w14:paraId="5EE4BF05" w14:textId="0EF202EF">
      <w:pPr>
        <w:jc w:val="both"/>
        <w:rPr>
          <w:lang w:val="cs-CZ"/>
        </w:rPr>
      </w:pPr>
      <w:r w:rsidRPr="000F2C87">
        <w:rPr>
          <w:lang w:val="cs-CZ"/>
        </w:rPr>
        <w:t>Odstranění současných omezení také umožní, aby SFPI lépe mobilizoval další veřejné i soukromé zdroje, vytvářel větší multiplikační efekt a efektivněji přispíval k dosažení strategických cílů bytové politiky a územního rozvoje, včetně dlouhodobé udržitelnosti financování těchto oblastí.</w:t>
      </w:r>
    </w:p>
    <w:p w:rsidR="00DF7793" w:rsidRPr="000F2C87" w:rsidP="006A132F" w14:paraId="73ADA13F" w14:textId="77777777">
      <w:pPr>
        <w:jc w:val="both"/>
        <w:rPr>
          <w:lang w:val="cs-CZ"/>
        </w:rPr>
      </w:pPr>
    </w:p>
    <w:p w:rsidR="00740EF4" w:rsidRPr="00B64BDB" w:rsidP="00B64BDB" w14:paraId="0FB05D8D" w14:textId="518151CF">
      <w:pPr>
        <w:pStyle w:val="Heading3"/>
      </w:pPr>
      <w:r w:rsidRPr="00B64BDB">
        <w:t>Zákon č. 111/1998 Sb., o vysokých školách </w:t>
      </w:r>
    </w:p>
    <w:p w:rsidR="00162DBD" w:rsidRPr="000F2C87" w:rsidP="006C524F" w14:paraId="51F97B2B" w14:textId="062ABA21">
      <w:pPr>
        <w:jc w:val="both"/>
        <w:rPr>
          <w:rFonts w:asciiTheme="minorHAnsi" w:hAnsiTheme="minorHAnsi"/>
          <w:lang w:val="cs-CZ"/>
        </w:rPr>
      </w:pPr>
      <w:r w:rsidRPr="000F2C87">
        <w:rPr>
          <w:rFonts w:asciiTheme="minorHAnsi" w:hAnsiTheme="minorHAnsi"/>
          <w:lang w:val="cs-CZ"/>
        </w:rPr>
        <w:t xml:space="preserve">Zákon obecně odráží přístup, že </w:t>
      </w:r>
      <w:r w:rsidR="00EC1783">
        <w:rPr>
          <w:rFonts w:asciiTheme="minorHAnsi" w:hAnsiTheme="minorHAnsi"/>
          <w:lang w:val="cs-CZ"/>
        </w:rPr>
        <w:t>veřejné vysoké školy (</w:t>
      </w:r>
      <w:r w:rsidRPr="000F2C87">
        <w:rPr>
          <w:rFonts w:asciiTheme="minorHAnsi" w:hAnsiTheme="minorHAnsi"/>
          <w:lang w:val="cs-CZ"/>
        </w:rPr>
        <w:t>VVŠ</w:t>
      </w:r>
      <w:r w:rsidR="00EC1783">
        <w:rPr>
          <w:rFonts w:asciiTheme="minorHAnsi" w:hAnsiTheme="minorHAnsi"/>
          <w:lang w:val="cs-CZ"/>
        </w:rPr>
        <w:t>)</w:t>
      </w:r>
      <w:r w:rsidRPr="000F2C87">
        <w:rPr>
          <w:rFonts w:asciiTheme="minorHAnsi" w:hAnsiTheme="minorHAnsi"/>
          <w:lang w:val="cs-CZ"/>
        </w:rPr>
        <w:t xml:space="preserve"> jsou zřízeny k veřejně prospěšnému účelu, a</w:t>
      </w:r>
      <w:r w:rsidRPr="000F2C87">
        <w:rPr>
          <w:rFonts w:ascii="Arial" w:hAnsi="Arial" w:cs="Arial"/>
          <w:lang w:val="cs-CZ"/>
        </w:rPr>
        <w:t> </w:t>
      </w:r>
      <w:r w:rsidRPr="000F2C87">
        <w:rPr>
          <w:rFonts w:asciiTheme="minorHAnsi" w:hAnsiTheme="minorHAnsi"/>
          <w:lang w:val="cs-CZ"/>
        </w:rPr>
        <w:t>proto jsou financovány primárně příspěvkem ze státního rozpočtu a různými účelovými dotacemi na provoz a rozvoj, které jsou ovšem podmíněny dodržováním Rámce pro státní podporu výzkumu, vývoje a inovací (a dalších omezení co se týče struktury vlastních příjmů)</w:t>
      </w:r>
      <w:r w:rsidRPr="000F2C87">
        <w:rPr>
          <w:rFonts w:asciiTheme="minorHAnsi" w:hAnsiTheme="minorHAnsi"/>
          <w:lang w:val="cs-CZ"/>
        </w:rPr>
        <w:t>.</w:t>
      </w:r>
    </w:p>
    <w:p w:rsidR="001D0F51" w:rsidP="001D0F51" w14:paraId="76EE5A01" w14:textId="2FBE24AC">
      <w:pPr>
        <w:jc w:val="both"/>
        <w:rPr>
          <w:rFonts w:asciiTheme="minorHAnsi" w:hAnsiTheme="minorHAnsi"/>
          <w:lang w:val="cs-CZ"/>
        </w:rPr>
      </w:pPr>
      <w:r w:rsidRPr="001D0F51">
        <w:rPr>
          <w:rFonts w:asciiTheme="minorHAnsi" w:hAnsiTheme="minorHAnsi"/>
          <w:lang w:val="cs-CZ"/>
        </w:rPr>
        <w:t>Ustanovení §</w:t>
      </w:r>
      <w:r w:rsidRPr="3429D83B" w:rsidR="77714E23">
        <w:rPr>
          <w:rFonts w:ascii="Arial" w:hAnsi="Arial" w:cs="Arial"/>
          <w:lang w:val="cs-CZ"/>
        </w:rPr>
        <w:t> </w:t>
      </w:r>
      <w:r w:rsidRPr="3429D83B" w:rsidR="77714E23">
        <w:rPr>
          <w:rFonts w:asciiTheme="minorHAnsi" w:hAnsiTheme="minorHAnsi"/>
          <w:lang w:val="cs-CZ"/>
        </w:rPr>
        <w:t>15</w:t>
      </w:r>
      <w:r w:rsidRPr="001D0F51">
        <w:rPr>
          <w:rFonts w:asciiTheme="minorHAnsi" w:hAnsiTheme="minorHAnsi"/>
          <w:lang w:val="cs-CZ"/>
        </w:rPr>
        <w:t xml:space="preserve">, </w:t>
      </w:r>
      <w:r w:rsidRPr="001D0F51">
        <w:rPr>
          <w:lang w:val="cs-CZ"/>
        </w:rPr>
        <w:t>§</w:t>
      </w:r>
      <w:r w:rsidRPr="3429D83B" w:rsidR="77714E23">
        <w:rPr>
          <w:rFonts w:ascii="Arial" w:hAnsi="Arial" w:cs="Arial"/>
          <w:lang w:val="cs-CZ"/>
        </w:rPr>
        <w:t> </w:t>
      </w:r>
      <w:r w:rsidRPr="3429D83B" w:rsidR="77714E23">
        <w:rPr>
          <w:rFonts w:asciiTheme="minorHAnsi" w:hAnsiTheme="minorHAnsi"/>
          <w:lang w:val="cs-CZ"/>
        </w:rPr>
        <w:t>18</w:t>
      </w:r>
      <w:r w:rsidRPr="001D0F51">
        <w:rPr>
          <w:rFonts w:asciiTheme="minorHAnsi" w:hAnsiTheme="minorHAnsi"/>
          <w:lang w:val="cs-CZ"/>
        </w:rPr>
        <w:t xml:space="preserve"> a </w:t>
      </w:r>
      <w:r w:rsidRPr="001D0F51">
        <w:rPr>
          <w:lang w:val="cs-CZ"/>
        </w:rPr>
        <w:t>§</w:t>
      </w:r>
      <w:r w:rsidRPr="3429D83B" w:rsidR="77714E23">
        <w:rPr>
          <w:rFonts w:ascii="Arial" w:hAnsi="Arial" w:cs="Arial"/>
          <w:lang w:val="cs-CZ"/>
        </w:rPr>
        <w:t> </w:t>
      </w:r>
      <w:r w:rsidRPr="3429D83B" w:rsidR="77714E23">
        <w:rPr>
          <w:rFonts w:asciiTheme="minorHAnsi" w:hAnsiTheme="minorHAnsi"/>
          <w:lang w:val="cs-CZ"/>
        </w:rPr>
        <w:t>20</w:t>
      </w:r>
      <w:r w:rsidRPr="001D0F51">
        <w:rPr>
          <w:rFonts w:asciiTheme="minorHAnsi" w:hAnsiTheme="minorHAnsi"/>
          <w:lang w:val="cs-CZ"/>
        </w:rPr>
        <w:t xml:space="preserve"> ukazuj</w:t>
      </w:r>
      <w:r w:rsidRPr="001D0F51">
        <w:rPr>
          <w:lang w:val="cs-CZ"/>
        </w:rPr>
        <w:t>í</w:t>
      </w:r>
      <w:r w:rsidRPr="001D0F51">
        <w:rPr>
          <w:rFonts w:asciiTheme="minorHAnsi" w:hAnsiTheme="minorHAnsi"/>
          <w:lang w:val="cs-CZ"/>
        </w:rPr>
        <w:t xml:space="preserve">, </w:t>
      </w:r>
      <w:r w:rsidRPr="001D0F51">
        <w:rPr>
          <w:lang w:val="cs-CZ"/>
        </w:rPr>
        <w:t>ž</w:t>
      </w:r>
      <w:r w:rsidRPr="001D0F51">
        <w:rPr>
          <w:rFonts w:asciiTheme="minorHAnsi" w:hAnsiTheme="minorHAnsi"/>
          <w:lang w:val="cs-CZ"/>
        </w:rPr>
        <w:t>e finan</w:t>
      </w:r>
      <w:r w:rsidRPr="001D0F51">
        <w:rPr>
          <w:lang w:val="cs-CZ"/>
        </w:rPr>
        <w:t>č</w:t>
      </w:r>
      <w:r w:rsidRPr="001D0F51">
        <w:rPr>
          <w:rFonts w:asciiTheme="minorHAnsi" w:hAnsiTheme="minorHAnsi"/>
          <w:lang w:val="cs-CZ"/>
        </w:rPr>
        <w:t>n</w:t>
      </w:r>
      <w:r w:rsidRPr="001D0F51">
        <w:rPr>
          <w:lang w:val="cs-CZ"/>
        </w:rPr>
        <w:t>í</w:t>
      </w:r>
      <w:r w:rsidRPr="001D0F51">
        <w:rPr>
          <w:rFonts w:asciiTheme="minorHAnsi" w:hAnsiTheme="minorHAnsi"/>
          <w:lang w:val="cs-CZ"/>
        </w:rPr>
        <w:t xml:space="preserve"> n</w:t>
      </w:r>
      <w:r w:rsidRPr="001D0F51">
        <w:rPr>
          <w:lang w:val="cs-CZ"/>
        </w:rPr>
        <w:t>á</w:t>
      </w:r>
      <w:r w:rsidRPr="001D0F51">
        <w:rPr>
          <w:rFonts w:asciiTheme="minorHAnsi" w:hAnsiTheme="minorHAnsi"/>
          <w:lang w:val="cs-CZ"/>
        </w:rPr>
        <w:t>stroje, zejm</w:t>
      </w:r>
      <w:r w:rsidRPr="001D0F51">
        <w:rPr>
          <w:lang w:val="cs-CZ"/>
        </w:rPr>
        <w:t>é</w:t>
      </w:r>
      <w:r w:rsidRPr="001D0F51">
        <w:rPr>
          <w:rFonts w:asciiTheme="minorHAnsi" w:hAnsiTheme="minorHAnsi"/>
          <w:lang w:val="cs-CZ"/>
        </w:rPr>
        <w:t xml:space="preserve">na </w:t>
      </w:r>
      <w:r w:rsidRPr="001D0F51">
        <w:rPr>
          <w:lang w:val="cs-CZ"/>
        </w:rPr>
        <w:t>ú</w:t>
      </w:r>
      <w:r w:rsidRPr="001D0F51">
        <w:rPr>
          <w:rFonts w:asciiTheme="minorHAnsi" w:hAnsiTheme="minorHAnsi"/>
          <w:lang w:val="cs-CZ"/>
        </w:rPr>
        <w:t>v</w:t>
      </w:r>
      <w:r w:rsidRPr="001D0F51">
        <w:rPr>
          <w:lang w:val="cs-CZ"/>
        </w:rPr>
        <w:t>ě</w:t>
      </w:r>
      <w:r w:rsidRPr="001D0F51">
        <w:rPr>
          <w:rFonts w:asciiTheme="minorHAnsi" w:hAnsiTheme="minorHAnsi"/>
          <w:lang w:val="cs-CZ"/>
        </w:rPr>
        <w:t>ry a p</w:t>
      </w:r>
      <w:r w:rsidRPr="001D0F51">
        <w:rPr>
          <w:lang w:val="cs-CZ"/>
        </w:rPr>
        <w:t>ří</w:t>
      </w:r>
      <w:r w:rsidRPr="001D0F51">
        <w:rPr>
          <w:rFonts w:asciiTheme="minorHAnsi" w:hAnsiTheme="minorHAnsi"/>
          <w:lang w:val="cs-CZ"/>
        </w:rPr>
        <w:t>padn</w:t>
      </w:r>
      <w:r w:rsidRPr="001D0F51">
        <w:rPr>
          <w:lang w:val="cs-CZ"/>
        </w:rPr>
        <w:t>é</w:t>
      </w:r>
      <w:r w:rsidRPr="001D0F51">
        <w:rPr>
          <w:rFonts w:asciiTheme="minorHAnsi" w:hAnsiTheme="minorHAnsi"/>
          <w:lang w:val="cs-CZ"/>
        </w:rPr>
        <w:t xml:space="preserve"> kapit</w:t>
      </w:r>
      <w:r w:rsidRPr="001D0F51">
        <w:rPr>
          <w:lang w:val="cs-CZ"/>
        </w:rPr>
        <w:t>á</w:t>
      </w:r>
      <w:r w:rsidRPr="001D0F51">
        <w:rPr>
          <w:rFonts w:asciiTheme="minorHAnsi" w:hAnsiTheme="minorHAnsi"/>
          <w:lang w:val="cs-CZ"/>
        </w:rPr>
        <w:t>lov</w:t>
      </w:r>
      <w:r w:rsidRPr="001D0F51">
        <w:rPr>
          <w:lang w:val="cs-CZ"/>
        </w:rPr>
        <w:t>é</w:t>
      </w:r>
      <w:r w:rsidRPr="001D0F51">
        <w:rPr>
          <w:rFonts w:asciiTheme="minorHAnsi" w:hAnsiTheme="minorHAnsi"/>
          <w:lang w:val="cs-CZ"/>
        </w:rPr>
        <w:t xml:space="preserve"> vstupy, jsou v prost</w:t>
      </w:r>
      <w:r w:rsidRPr="001D0F51">
        <w:rPr>
          <w:lang w:val="cs-CZ"/>
        </w:rPr>
        <w:t>ř</w:t>
      </w:r>
      <w:r w:rsidRPr="001D0F51">
        <w:rPr>
          <w:rFonts w:asciiTheme="minorHAnsi" w:hAnsiTheme="minorHAnsi"/>
          <w:lang w:val="cs-CZ"/>
        </w:rPr>
        <w:t>ed</w:t>
      </w:r>
      <w:r w:rsidRPr="001D0F51">
        <w:rPr>
          <w:lang w:val="cs-CZ"/>
        </w:rPr>
        <w:t>í</w:t>
      </w:r>
      <w:r w:rsidRPr="001D0F51">
        <w:rPr>
          <w:rFonts w:asciiTheme="minorHAnsi" w:hAnsiTheme="minorHAnsi"/>
          <w:lang w:val="cs-CZ"/>
        </w:rPr>
        <w:t xml:space="preserve"> </w:t>
      </w:r>
      <w:r w:rsidR="00EC1783">
        <w:rPr>
          <w:rFonts w:asciiTheme="minorHAnsi" w:hAnsiTheme="minorHAnsi"/>
          <w:lang w:val="cs-CZ"/>
        </w:rPr>
        <w:t>VVŠ</w:t>
      </w:r>
      <w:r w:rsidRPr="001D0F51">
        <w:rPr>
          <w:rFonts w:asciiTheme="minorHAnsi" w:hAnsiTheme="minorHAnsi"/>
          <w:lang w:val="cs-CZ"/>
        </w:rPr>
        <w:t xml:space="preserve"> dosud sp</w:t>
      </w:r>
      <w:r w:rsidRPr="001D0F51">
        <w:rPr>
          <w:lang w:val="cs-CZ"/>
        </w:rPr>
        <w:t>íš</w:t>
      </w:r>
      <w:r w:rsidRPr="001D0F51">
        <w:rPr>
          <w:rFonts w:asciiTheme="minorHAnsi" w:hAnsiTheme="minorHAnsi"/>
          <w:lang w:val="cs-CZ"/>
        </w:rPr>
        <w:t>e okrajov</w:t>
      </w:r>
      <w:r w:rsidRPr="001D0F51">
        <w:rPr>
          <w:lang w:val="cs-CZ"/>
        </w:rPr>
        <w:t>ý</w:t>
      </w:r>
      <w:r w:rsidRPr="001D0F51">
        <w:rPr>
          <w:rFonts w:asciiTheme="minorHAnsi" w:hAnsiTheme="minorHAnsi"/>
          <w:lang w:val="cs-CZ"/>
        </w:rPr>
        <w:t>m institutem</w:t>
      </w:r>
      <w:r w:rsidR="00EC1783">
        <w:rPr>
          <w:rFonts w:asciiTheme="minorHAnsi" w:hAnsiTheme="minorHAnsi"/>
          <w:lang w:val="cs-CZ"/>
        </w:rPr>
        <w:t xml:space="preserve"> a jejich využívání je silně </w:t>
      </w:r>
      <w:r w:rsidR="00307190">
        <w:rPr>
          <w:rFonts w:asciiTheme="minorHAnsi" w:hAnsiTheme="minorHAnsi"/>
          <w:lang w:val="cs-CZ"/>
        </w:rPr>
        <w:t xml:space="preserve">individuální. </w:t>
      </w:r>
      <w:r w:rsidRPr="00067CD0">
        <w:rPr>
          <w:rFonts w:asciiTheme="minorHAnsi" w:hAnsiTheme="minorHAnsi"/>
          <w:b/>
          <w:lang w:val="cs-CZ"/>
        </w:rPr>
        <w:t>Pr</w:t>
      </w:r>
      <w:r w:rsidRPr="00067CD0">
        <w:rPr>
          <w:b/>
          <w:lang w:val="cs-CZ"/>
        </w:rPr>
        <w:t>á</w:t>
      </w:r>
      <w:r w:rsidRPr="00067CD0">
        <w:rPr>
          <w:rFonts w:asciiTheme="minorHAnsi" w:hAnsiTheme="minorHAnsi"/>
          <w:b/>
          <w:lang w:val="cs-CZ"/>
        </w:rPr>
        <w:t>vn</w:t>
      </w:r>
      <w:r w:rsidRPr="00067CD0">
        <w:rPr>
          <w:b/>
          <w:lang w:val="cs-CZ"/>
        </w:rPr>
        <w:t>í</w:t>
      </w:r>
      <w:r w:rsidRPr="00067CD0">
        <w:rPr>
          <w:rFonts w:asciiTheme="minorHAnsi" w:hAnsiTheme="minorHAnsi"/>
          <w:b/>
          <w:lang w:val="cs-CZ"/>
        </w:rPr>
        <w:t xml:space="preserve"> </w:t>
      </w:r>
      <w:r w:rsidRPr="00067CD0">
        <w:rPr>
          <w:b/>
          <w:lang w:val="cs-CZ"/>
        </w:rPr>
        <w:t>ú</w:t>
      </w:r>
      <w:r w:rsidRPr="00067CD0">
        <w:rPr>
          <w:rFonts w:asciiTheme="minorHAnsi" w:hAnsiTheme="minorHAnsi"/>
          <w:b/>
          <w:lang w:val="cs-CZ"/>
        </w:rPr>
        <w:t>prava klade v</w:t>
      </w:r>
      <w:r w:rsidRPr="00067CD0">
        <w:rPr>
          <w:b/>
          <w:lang w:val="cs-CZ"/>
        </w:rPr>
        <w:t>ý</w:t>
      </w:r>
      <w:r w:rsidRPr="00067CD0">
        <w:rPr>
          <w:rFonts w:asciiTheme="minorHAnsi" w:hAnsiTheme="minorHAnsi"/>
          <w:b/>
          <w:lang w:val="cs-CZ"/>
        </w:rPr>
        <w:t>razn</w:t>
      </w:r>
      <w:r w:rsidRPr="00067CD0">
        <w:rPr>
          <w:b/>
          <w:lang w:val="cs-CZ"/>
        </w:rPr>
        <w:t>á</w:t>
      </w:r>
      <w:r w:rsidRPr="00067CD0">
        <w:rPr>
          <w:rFonts w:asciiTheme="minorHAnsi" w:hAnsiTheme="minorHAnsi"/>
          <w:b/>
          <w:lang w:val="cs-CZ"/>
        </w:rPr>
        <w:t xml:space="preserve"> omezen</w:t>
      </w:r>
      <w:r w:rsidRPr="00067CD0">
        <w:rPr>
          <w:b/>
          <w:lang w:val="cs-CZ"/>
        </w:rPr>
        <w:t>í</w:t>
      </w:r>
      <w:r w:rsidRPr="00067CD0">
        <w:rPr>
          <w:rFonts w:asciiTheme="minorHAnsi" w:hAnsiTheme="minorHAnsi"/>
          <w:b/>
          <w:lang w:val="cs-CZ"/>
        </w:rPr>
        <w:t xml:space="preserve"> jak na hospoda</w:t>
      </w:r>
      <w:r w:rsidRPr="00067CD0">
        <w:rPr>
          <w:b/>
          <w:lang w:val="cs-CZ"/>
        </w:rPr>
        <w:t>ř</w:t>
      </w:r>
      <w:r w:rsidRPr="00067CD0">
        <w:rPr>
          <w:rFonts w:asciiTheme="minorHAnsi" w:hAnsiTheme="minorHAnsi"/>
          <w:b/>
          <w:lang w:val="cs-CZ"/>
        </w:rPr>
        <w:t>en</w:t>
      </w:r>
      <w:r w:rsidRPr="00067CD0">
        <w:rPr>
          <w:b/>
          <w:lang w:val="cs-CZ"/>
        </w:rPr>
        <w:t>í</w:t>
      </w:r>
      <w:r w:rsidRPr="00067CD0">
        <w:rPr>
          <w:rFonts w:asciiTheme="minorHAnsi" w:hAnsiTheme="minorHAnsi"/>
          <w:b/>
          <w:lang w:val="cs-CZ"/>
        </w:rPr>
        <w:t xml:space="preserve"> VV</w:t>
      </w:r>
      <w:r w:rsidRPr="00067CD0">
        <w:rPr>
          <w:b/>
          <w:lang w:val="cs-CZ"/>
        </w:rPr>
        <w:t>Š</w:t>
      </w:r>
      <w:r w:rsidRPr="00067CD0">
        <w:rPr>
          <w:rFonts w:asciiTheme="minorHAnsi" w:hAnsiTheme="minorHAnsi"/>
          <w:b/>
          <w:lang w:val="cs-CZ"/>
        </w:rPr>
        <w:t>, tak na jejich investi</w:t>
      </w:r>
      <w:r w:rsidRPr="00067CD0">
        <w:rPr>
          <w:b/>
          <w:lang w:val="cs-CZ"/>
        </w:rPr>
        <w:t>č</w:t>
      </w:r>
      <w:r w:rsidRPr="00067CD0">
        <w:rPr>
          <w:rFonts w:asciiTheme="minorHAnsi" w:hAnsiTheme="minorHAnsi"/>
          <w:b/>
          <w:lang w:val="cs-CZ"/>
        </w:rPr>
        <w:t>n</w:t>
      </w:r>
      <w:r w:rsidRPr="00067CD0">
        <w:rPr>
          <w:b/>
          <w:lang w:val="cs-CZ"/>
        </w:rPr>
        <w:t>í</w:t>
      </w:r>
      <w:r w:rsidRPr="00067CD0">
        <w:rPr>
          <w:rFonts w:asciiTheme="minorHAnsi" w:hAnsiTheme="minorHAnsi"/>
          <w:b/>
          <w:lang w:val="cs-CZ"/>
        </w:rPr>
        <w:t xml:space="preserve"> a majetkov</w:t>
      </w:r>
      <w:r w:rsidRPr="00067CD0">
        <w:rPr>
          <w:b/>
          <w:lang w:val="cs-CZ"/>
        </w:rPr>
        <w:t>é</w:t>
      </w:r>
      <w:r w:rsidRPr="00067CD0">
        <w:rPr>
          <w:rFonts w:asciiTheme="minorHAnsi" w:hAnsiTheme="minorHAnsi"/>
          <w:b/>
          <w:lang w:val="cs-CZ"/>
        </w:rPr>
        <w:t xml:space="preserve"> operace:</w:t>
      </w:r>
      <w:r w:rsidRPr="001D0F51">
        <w:rPr>
          <w:rFonts w:asciiTheme="minorHAnsi" w:hAnsiTheme="minorHAnsi"/>
          <w:lang w:val="cs-CZ"/>
        </w:rPr>
        <w:t xml:space="preserve"> rozpo</w:t>
      </w:r>
      <w:r w:rsidRPr="001D0F51">
        <w:rPr>
          <w:lang w:val="cs-CZ"/>
        </w:rPr>
        <w:t>č</w:t>
      </w:r>
      <w:r w:rsidRPr="001D0F51">
        <w:rPr>
          <w:rFonts w:asciiTheme="minorHAnsi" w:hAnsiTheme="minorHAnsi"/>
          <w:lang w:val="cs-CZ"/>
        </w:rPr>
        <w:t>et nesm</w:t>
      </w:r>
      <w:r w:rsidRPr="001D0F51">
        <w:rPr>
          <w:lang w:val="cs-CZ"/>
        </w:rPr>
        <w:t>í</w:t>
      </w:r>
      <w:r w:rsidRPr="001D0F51">
        <w:rPr>
          <w:rFonts w:asciiTheme="minorHAnsi" w:hAnsiTheme="minorHAnsi"/>
          <w:lang w:val="cs-CZ"/>
        </w:rPr>
        <w:t xml:space="preserve"> b</w:t>
      </w:r>
      <w:r w:rsidRPr="001D0F51">
        <w:rPr>
          <w:lang w:val="cs-CZ"/>
        </w:rPr>
        <w:t>ý</w:t>
      </w:r>
      <w:r w:rsidRPr="001D0F51">
        <w:rPr>
          <w:rFonts w:asciiTheme="minorHAnsi" w:hAnsiTheme="minorHAnsi"/>
          <w:lang w:val="cs-CZ"/>
        </w:rPr>
        <w:t>t deficitn</w:t>
      </w:r>
      <w:r w:rsidRPr="001D0F51">
        <w:rPr>
          <w:lang w:val="cs-CZ"/>
        </w:rPr>
        <w:t>í</w:t>
      </w:r>
      <w:r w:rsidRPr="001D0F51">
        <w:rPr>
          <w:rFonts w:asciiTheme="minorHAnsi" w:hAnsiTheme="minorHAnsi"/>
          <w:lang w:val="cs-CZ"/>
        </w:rPr>
        <w:t>, investice jsou limitov</w:t>
      </w:r>
      <w:r w:rsidRPr="001D0F51">
        <w:rPr>
          <w:lang w:val="cs-CZ"/>
        </w:rPr>
        <w:t>á</w:t>
      </w:r>
      <w:r w:rsidRPr="001D0F51">
        <w:rPr>
          <w:rFonts w:asciiTheme="minorHAnsi" w:hAnsiTheme="minorHAnsi"/>
          <w:lang w:val="cs-CZ"/>
        </w:rPr>
        <w:t>ny hranic</w:t>
      </w:r>
      <w:r w:rsidRPr="001D0F51">
        <w:rPr>
          <w:lang w:val="cs-CZ"/>
        </w:rPr>
        <w:t>í</w:t>
      </w:r>
      <w:r w:rsidRPr="001D0F51">
        <w:rPr>
          <w:rFonts w:asciiTheme="minorHAnsi" w:hAnsiTheme="minorHAnsi"/>
          <w:lang w:val="cs-CZ"/>
        </w:rPr>
        <w:t xml:space="preserve"> 10 mil. K</w:t>
      </w:r>
      <w:r w:rsidRPr="001D0F51">
        <w:rPr>
          <w:lang w:val="cs-CZ"/>
        </w:rPr>
        <w:t>č</w:t>
      </w:r>
      <w:r w:rsidRPr="001D0F51">
        <w:rPr>
          <w:rFonts w:asciiTheme="minorHAnsi" w:hAnsiTheme="minorHAnsi"/>
          <w:lang w:val="cs-CZ"/>
        </w:rPr>
        <w:t>, nad ni</w:t>
      </w:r>
      <w:r w:rsidRPr="001D0F51">
        <w:rPr>
          <w:lang w:val="cs-CZ"/>
        </w:rPr>
        <w:t>ž</w:t>
      </w:r>
      <w:r w:rsidRPr="001D0F51">
        <w:rPr>
          <w:rFonts w:asciiTheme="minorHAnsi" w:hAnsiTheme="minorHAnsi"/>
          <w:lang w:val="cs-CZ"/>
        </w:rPr>
        <w:t xml:space="preserve"> se ji</w:t>
      </w:r>
      <w:r w:rsidRPr="001D0F51">
        <w:rPr>
          <w:lang w:val="cs-CZ"/>
        </w:rPr>
        <w:t>ž</w:t>
      </w:r>
      <w:r w:rsidRPr="001D0F51">
        <w:rPr>
          <w:rFonts w:asciiTheme="minorHAnsi" w:hAnsiTheme="minorHAnsi"/>
          <w:lang w:val="cs-CZ"/>
        </w:rPr>
        <w:t xml:space="preserve"> jedn</w:t>
      </w:r>
      <w:r w:rsidRPr="001D0F51">
        <w:rPr>
          <w:lang w:val="cs-CZ"/>
        </w:rPr>
        <w:t>á</w:t>
      </w:r>
      <w:r w:rsidRPr="001D0F51">
        <w:rPr>
          <w:rFonts w:asciiTheme="minorHAnsi" w:hAnsiTheme="minorHAnsi"/>
          <w:lang w:val="cs-CZ"/>
        </w:rPr>
        <w:t xml:space="preserve"> o programov</w:t>
      </w:r>
      <w:r w:rsidRPr="001D0F51">
        <w:rPr>
          <w:lang w:val="cs-CZ"/>
        </w:rPr>
        <w:t>é</w:t>
      </w:r>
      <w:r w:rsidRPr="001D0F51">
        <w:rPr>
          <w:rFonts w:asciiTheme="minorHAnsi" w:hAnsiTheme="minorHAnsi"/>
          <w:lang w:val="cs-CZ"/>
        </w:rPr>
        <w:t xml:space="preserve"> financov</w:t>
      </w:r>
      <w:r w:rsidRPr="001D0F51">
        <w:rPr>
          <w:lang w:val="cs-CZ"/>
        </w:rPr>
        <w:t>á</w:t>
      </w:r>
      <w:r w:rsidRPr="001D0F51">
        <w:rPr>
          <w:rFonts w:asciiTheme="minorHAnsi" w:hAnsiTheme="minorHAnsi"/>
          <w:lang w:val="cs-CZ"/>
        </w:rPr>
        <w:t>n</w:t>
      </w:r>
      <w:r w:rsidRPr="001D0F51">
        <w:rPr>
          <w:lang w:val="cs-CZ"/>
        </w:rPr>
        <w:t>í</w:t>
      </w:r>
      <w:r w:rsidRPr="001D0F51">
        <w:rPr>
          <w:rFonts w:asciiTheme="minorHAnsi" w:hAnsiTheme="minorHAnsi"/>
          <w:lang w:val="cs-CZ"/>
        </w:rPr>
        <w:t xml:space="preserve"> (s v</w:t>
      </w:r>
      <w:r w:rsidRPr="001D0F51">
        <w:rPr>
          <w:lang w:val="cs-CZ"/>
        </w:rPr>
        <w:t>ý</w:t>
      </w:r>
      <w:r w:rsidRPr="001D0F51">
        <w:rPr>
          <w:rFonts w:asciiTheme="minorHAnsi" w:hAnsiTheme="minorHAnsi"/>
          <w:lang w:val="cs-CZ"/>
        </w:rPr>
        <w:t>jimkou evropsk</w:t>
      </w:r>
      <w:r w:rsidRPr="001D0F51">
        <w:rPr>
          <w:lang w:val="cs-CZ"/>
        </w:rPr>
        <w:t>ý</w:t>
      </w:r>
      <w:r w:rsidRPr="001D0F51">
        <w:rPr>
          <w:rFonts w:asciiTheme="minorHAnsi" w:hAnsiTheme="minorHAnsi"/>
          <w:lang w:val="cs-CZ"/>
        </w:rPr>
        <w:t>ch dotac</w:t>
      </w:r>
      <w:r w:rsidRPr="001D0F51">
        <w:rPr>
          <w:lang w:val="cs-CZ"/>
        </w:rPr>
        <w:t>í</w:t>
      </w:r>
      <w:r w:rsidRPr="001D0F51">
        <w:rPr>
          <w:rFonts w:asciiTheme="minorHAnsi" w:hAnsiTheme="minorHAnsi"/>
          <w:lang w:val="cs-CZ"/>
        </w:rPr>
        <w:t xml:space="preserve">), </w:t>
      </w:r>
      <w:r w:rsidR="00EC1783">
        <w:rPr>
          <w:lang w:val="cs-CZ"/>
        </w:rPr>
        <w:t>VV</w:t>
      </w:r>
      <w:r w:rsidRPr="3429D83B" w:rsidR="6DA19F36">
        <w:rPr>
          <w:lang w:val="cs-CZ"/>
        </w:rPr>
        <w:t>Š</w:t>
      </w:r>
      <w:r w:rsidRPr="001D0F51">
        <w:rPr>
          <w:rFonts w:asciiTheme="minorHAnsi" w:hAnsiTheme="minorHAnsi"/>
          <w:lang w:val="cs-CZ"/>
        </w:rPr>
        <w:t xml:space="preserve"> nesm</w:t>
      </w:r>
      <w:r w:rsidRPr="001D0F51">
        <w:rPr>
          <w:lang w:val="cs-CZ"/>
        </w:rPr>
        <w:t>í</w:t>
      </w:r>
      <w:r w:rsidRPr="001D0F51">
        <w:rPr>
          <w:rFonts w:asciiTheme="minorHAnsi" w:hAnsiTheme="minorHAnsi"/>
          <w:lang w:val="cs-CZ"/>
        </w:rPr>
        <w:t xml:space="preserve"> z</w:t>
      </w:r>
      <w:r w:rsidRPr="001D0F51">
        <w:rPr>
          <w:lang w:val="cs-CZ"/>
        </w:rPr>
        <w:t>ř</w:t>
      </w:r>
      <w:r w:rsidRPr="001D0F51">
        <w:rPr>
          <w:rFonts w:asciiTheme="minorHAnsi" w:hAnsiTheme="minorHAnsi"/>
          <w:lang w:val="cs-CZ"/>
        </w:rPr>
        <w:t>izovat z</w:t>
      </w:r>
      <w:r w:rsidRPr="001D0F51">
        <w:rPr>
          <w:lang w:val="cs-CZ"/>
        </w:rPr>
        <w:t>á</w:t>
      </w:r>
      <w:r w:rsidRPr="001D0F51">
        <w:rPr>
          <w:rFonts w:asciiTheme="minorHAnsi" w:hAnsiTheme="minorHAnsi"/>
          <w:lang w:val="cs-CZ"/>
        </w:rPr>
        <w:t>stavn</w:t>
      </w:r>
      <w:r w:rsidRPr="001D0F51">
        <w:rPr>
          <w:lang w:val="cs-CZ"/>
        </w:rPr>
        <w:t>í</w:t>
      </w:r>
      <w:r w:rsidRPr="001D0F51">
        <w:rPr>
          <w:rFonts w:asciiTheme="minorHAnsi" w:hAnsiTheme="minorHAnsi"/>
          <w:lang w:val="cs-CZ"/>
        </w:rPr>
        <w:t xml:space="preserve"> pr</w:t>
      </w:r>
      <w:r w:rsidRPr="001D0F51">
        <w:rPr>
          <w:lang w:val="cs-CZ"/>
        </w:rPr>
        <w:t>á</w:t>
      </w:r>
      <w:r w:rsidRPr="001D0F51">
        <w:rPr>
          <w:rFonts w:asciiTheme="minorHAnsi" w:hAnsiTheme="minorHAnsi"/>
          <w:lang w:val="cs-CZ"/>
        </w:rPr>
        <w:t>vo k nemovitostem ani vkl</w:t>
      </w:r>
      <w:r w:rsidRPr="001D0F51">
        <w:rPr>
          <w:lang w:val="cs-CZ"/>
        </w:rPr>
        <w:t>á</w:t>
      </w:r>
      <w:r w:rsidRPr="001D0F51">
        <w:rPr>
          <w:rFonts w:asciiTheme="minorHAnsi" w:hAnsiTheme="minorHAnsi"/>
          <w:lang w:val="cs-CZ"/>
        </w:rPr>
        <w:t>dat do obchodních společností či družstev nemovité věci nabyté od státu, státní příspěvky ani dotace. Zároveň stát neručí za závazky veřejné vysoké školy a jakékoli zakládání, rušení či přeměny právnických osob, stejně jako peněžité a</w:t>
      </w:r>
      <w:r w:rsidR="006805D8">
        <w:rPr>
          <w:rFonts w:asciiTheme="minorHAnsi" w:hAnsiTheme="minorHAnsi"/>
          <w:lang w:val="cs-CZ"/>
        </w:rPr>
        <w:t> </w:t>
      </w:r>
      <w:r w:rsidRPr="001D0F51">
        <w:rPr>
          <w:rFonts w:asciiTheme="minorHAnsi" w:hAnsiTheme="minorHAnsi"/>
          <w:lang w:val="cs-CZ"/>
        </w:rPr>
        <w:t>nepeněžité vklady do nich, podléhají předchozímu písemnému souhlasu správní rady a musí být upraveny vnitřními předpisy VVŠ.</w:t>
      </w:r>
      <w:r w:rsidR="001C441B">
        <w:rPr>
          <w:rFonts w:asciiTheme="minorHAnsi" w:hAnsiTheme="minorHAnsi"/>
          <w:lang w:val="cs-CZ"/>
        </w:rPr>
        <w:t xml:space="preserve"> </w:t>
      </w:r>
    </w:p>
    <w:p w:rsidR="00EC1783" w:rsidP="00DF7793" w14:paraId="5D46C2A3" w14:textId="7D4F80E5">
      <w:pPr>
        <w:jc w:val="both"/>
        <w:rPr>
          <w:rFonts w:asciiTheme="minorHAnsi" w:hAnsiTheme="minorHAnsi"/>
          <w:lang w:val="cs-CZ"/>
        </w:rPr>
      </w:pPr>
      <w:r w:rsidRPr="00F22616">
        <w:rPr>
          <w:rFonts w:asciiTheme="minorHAnsi" w:hAnsiTheme="minorHAnsi"/>
          <w:lang w:val="cs-CZ"/>
        </w:rPr>
        <w:t xml:space="preserve">Výsledkem </w:t>
      </w:r>
      <w:r w:rsidR="006C1DB3">
        <w:rPr>
          <w:rFonts w:asciiTheme="minorHAnsi" w:hAnsiTheme="minorHAnsi"/>
          <w:lang w:val="cs-CZ"/>
        </w:rPr>
        <w:t>stávající</w:t>
      </w:r>
      <w:r w:rsidRPr="00F22616">
        <w:rPr>
          <w:rFonts w:asciiTheme="minorHAnsi" w:hAnsiTheme="minorHAnsi"/>
          <w:lang w:val="cs-CZ"/>
        </w:rPr>
        <w:t xml:space="preserve"> právní úpravy je </w:t>
      </w:r>
      <w:r w:rsidR="006C1DB3">
        <w:rPr>
          <w:rFonts w:asciiTheme="minorHAnsi" w:hAnsiTheme="minorHAnsi"/>
          <w:lang w:val="cs-CZ"/>
        </w:rPr>
        <w:t>situace</w:t>
      </w:r>
      <w:r w:rsidRPr="00F22616">
        <w:rPr>
          <w:rFonts w:asciiTheme="minorHAnsi" w:hAnsiTheme="minorHAnsi"/>
          <w:lang w:val="cs-CZ"/>
        </w:rPr>
        <w:t xml:space="preserve">, kdy </w:t>
      </w:r>
      <w:r w:rsidRPr="00721F7A">
        <w:rPr>
          <w:rFonts w:asciiTheme="minorHAnsi" w:hAnsiTheme="minorHAnsi"/>
          <w:b/>
          <w:lang w:val="cs-CZ"/>
        </w:rPr>
        <w:t xml:space="preserve">VVŠ využívají finanční nástroje pouze velmi omezeně a diferencovaně, </w:t>
      </w:r>
      <w:r w:rsidRPr="00F22616">
        <w:rPr>
          <w:rFonts w:asciiTheme="minorHAnsi" w:hAnsiTheme="minorHAnsi"/>
          <w:lang w:val="cs-CZ"/>
        </w:rPr>
        <w:t>v závislosti na své velikosti, ekonomické kondici, majetkové struktuře a dalších souvisejících aktivitách, přičemž platí, že ne každá VVŠ má reálně možnost bez</w:t>
      </w:r>
      <w:r w:rsidR="002C5EA2">
        <w:rPr>
          <w:rFonts w:asciiTheme="minorHAnsi" w:hAnsiTheme="minorHAnsi"/>
          <w:lang w:val="cs-CZ"/>
        </w:rPr>
        <w:t> </w:t>
      </w:r>
      <w:r w:rsidRPr="00F22616">
        <w:rPr>
          <w:rFonts w:asciiTheme="minorHAnsi" w:hAnsiTheme="minorHAnsi"/>
          <w:lang w:val="cs-CZ"/>
        </w:rPr>
        <w:t>výrazných omezení či rizik čerpat vyšší úvěrové financování.</w:t>
      </w:r>
    </w:p>
    <w:p w:rsidR="00EC1783" w:rsidRPr="00EC1783" w:rsidP="00EC1783" w14:paraId="645BECE7" w14:textId="5C02AC95">
      <w:pPr>
        <w:jc w:val="both"/>
        <w:rPr>
          <w:b/>
          <w:bCs/>
          <w:lang w:val="cs-CZ"/>
        </w:rPr>
      </w:pPr>
      <w:r w:rsidRPr="00FB7F6E">
        <w:rPr>
          <w:b/>
          <w:bCs/>
          <w:u w:val="single"/>
          <w:lang w:val="cs-CZ"/>
        </w:rPr>
        <w:t>Doporučená řešení</w:t>
      </w:r>
      <w:r w:rsidRPr="000F2C87">
        <w:rPr>
          <w:b/>
          <w:bCs/>
          <w:lang w:val="cs-CZ"/>
        </w:rPr>
        <w:t xml:space="preserve">: </w:t>
      </w:r>
    </w:p>
    <w:p w:rsidR="00C070F8" w:rsidP="00C070F8" w14:paraId="3B29EEC5" w14:textId="4DFBB76A">
      <w:pPr>
        <w:spacing w:after="0" w:line="300" w:lineRule="atLeast"/>
        <w:jc w:val="both"/>
        <w:rPr>
          <w:rFonts w:asciiTheme="minorHAnsi" w:hAnsiTheme="minorHAnsi"/>
          <w:lang w:val="cs-CZ"/>
        </w:rPr>
      </w:pPr>
      <w:r w:rsidRPr="000F2C87">
        <w:rPr>
          <w:rFonts w:asciiTheme="minorHAnsi" w:hAnsiTheme="minorHAnsi"/>
          <w:lang w:val="cs-CZ"/>
        </w:rPr>
        <w:t xml:space="preserve">Širší využití finančních nástrojů by vyžadovalo systémovou úpravu příslušných ustanovení zákona, a to zejména v </w:t>
      </w:r>
      <w:r w:rsidRPr="004B215F">
        <w:rPr>
          <w:rFonts w:asciiTheme="minorHAnsi" w:hAnsiTheme="minorHAnsi"/>
          <w:b/>
          <w:lang w:val="cs-CZ"/>
        </w:rPr>
        <w:t>oblastech</w:t>
      </w:r>
      <w:r w:rsidRPr="004B215F">
        <w:rPr>
          <w:rFonts w:asciiTheme="minorHAnsi" w:hAnsiTheme="minorHAnsi"/>
          <w:b/>
          <w:lang w:val="cs-CZ"/>
        </w:rPr>
        <w:t xml:space="preserve"> týkajících</w:t>
      </w:r>
      <w:r w:rsidRPr="004B215F">
        <w:rPr>
          <w:rFonts w:asciiTheme="minorHAnsi" w:hAnsiTheme="minorHAnsi"/>
          <w:b/>
          <w:lang w:val="cs-CZ"/>
        </w:rPr>
        <w:t xml:space="preserve"> se specifického režimu návratných forem financování tak, aby </w:t>
      </w:r>
      <w:r w:rsidRPr="004B215F">
        <w:rPr>
          <w:rFonts w:asciiTheme="minorHAnsi" w:hAnsiTheme="minorHAnsi"/>
          <w:b/>
          <w:lang w:val="cs-CZ"/>
        </w:rPr>
        <w:t xml:space="preserve">neměly negativní dopad na </w:t>
      </w:r>
      <w:r w:rsidRPr="004B215F">
        <w:rPr>
          <w:rFonts w:asciiTheme="minorHAnsi" w:hAnsiTheme="minorHAnsi"/>
          <w:b/>
          <w:lang w:val="cs-CZ"/>
        </w:rPr>
        <w:t>rozpočty veřejných vysokých škol</w:t>
      </w:r>
      <w:r w:rsidRPr="00C070F8">
        <w:rPr>
          <w:rFonts w:asciiTheme="minorHAnsi" w:hAnsiTheme="minorHAnsi"/>
          <w:lang w:val="cs-CZ"/>
        </w:rPr>
        <w:t xml:space="preserve">. Současně by bylo žádoucí </w:t>
      </w:r>
      <w:r w:rsidRPr="000F2C87">
        <w:rPr>
          <w:rFonts w:asciiTheme="minorHAnsi" w:hAnsiTheme="minorHAnsi"/>
          <w:lang w:val="cs-CZ"/>
        </w:rPr>
        <w:t xml:space="preserve">vytvořit právní rámec </w:t>
      </w:r>
      <w:r w:rsidRPr="00C070F8">
        <w:rPr>
          <w:rFonts w:asciiTheme="minorHAnsi" w:hAnsiTheme="minorHAnsi"/>
          <w:lang w:val="cs-CZ"/>
        </w:rPr>
        <w:t xml:space="preserve">například </w:t>
      </w:r>
      <w:r w:rsidRPr="000F2C87">
        <w:rPr>
          <w:rFonts w:asciiTheme="minorHAnsi" w:hAnsiTheme="minorHAnsi"/>
          <w:lang w:val="cs-CZ"/>
        </w:rPr>
        <w:t>pro zřizování smluvního zástavního práva na</w:t>
      </w:r>
      <w:r w:rsidR="002C5EA2">
        <w:rPr>
          <w:rFonts w:asciiTheme="minorHAnsi" w:hAnsiTheme="minorHAnsi"/>
          <w:lang w:val="cs-CZ"/>
        </w:rPr>
        <w:t> </w:t>
      </w:r>
      <w:r w:rsidRPr="000F2C87">
        <w:rPr>
          <w:rFonts w:asciiTheme="minorHAnsi" w:hAnsiTheme="minorHAnsi"/>
          <w:lang w:val="cs-CZ"/>
        </w:rPr>
        <w:t>majetku veřejných vysokých škol</w:t>
      </w:r>
      <w:r w:rsidRPr="00C070F8">
        <w:rPr>
          <w:rFonts w:asciiTheme="minorHAnsi" w:hAnsiTheme="minorHAnsi"/>
          <w:lang w:val="cs-CZ"/>
        </w:rPr>
        <w:t xml:space="preserve"> či pro vymezení podmínek</w:t>
      </w:r>
      <w:r w:rsidRPr="000F2C87">
        <w:rPr>
          <w:rFonts w:asciiTheme="minorHAnsi" w:hAnsiTheme="minorHAnsi"/>
          <w:lang w:val="cs-CZ"/>
        </w:rPr>
        <w:t>, za nichž může stát poskytovat ručení ve prospěch těchto škol.</w:t>
      </w:r>
      <w:r w:rsidRPr="00C070F8">
        <w:rPr>
          <w:rFonts w:asciiTheme="minorHAnsi" w:hAnsiTheme="minorHAnsi"/>
          <w:lang w:val="cs-CZ"/>
        </w:rPr>
        <w:t xml:space="preserve"> Taková systémová změna musí vycházet z iniciativy gestora v</w:t>
      </w:r>
      <w:r w:rsidR="002C5EA2">
        <w:rPr>
          <w:rFonts w:asciiTheme="minorHAnsi" w:hAnsiTheme="minorHAnsi"/>
          <w:lang w:val="cs-CZ"/>
        </w:rPr>
        <w:t> </w:t>
      </w:r>
      <w:r w:rsidRPr="00C070F8">
        <w:rPr>
          <w:rFonts w:asciiTheme="minorHAnsi" w:hAnsiTheme="minorHAnsi"/>
          <w:lang w:val="cs-CZ"/>
        </w:rPr>
        <w:t xml:space="preserve">podobě Ministerstva školství, mládeže a tělovýchovy </w:t>
      </w:r>
      <w:r>
        <w:rPr>
          <w:rFonts w:asciiTheme="minorHAnsi" w:hAnsiTheme="minorHAnsi"/>
          <w:lang w:val="cs-CZ"/>
        </w:rPr>
        <w:t xml:space="preserve">(MŠMT) </w:t>
      </w:r>
      <w:r w:rsidRPr="00C070F8">
        <w:rPr>
          <w:rFonts w:asciiTheme="minorHAnsi" w:hAnsiTheme="minorHAnsi"/>
          <w:lang w:val="cs-CZ"/>
        </w:rPr>
        <w:t xml:space="preserve">a zároveň reflektovat potřeby, kapacity a odpovědnost jednotlivých </w:t>
      </w:r>
      <w:r w:rsidRPr="3429D83B" w:rsidR="2A82706A">
        <w:rPr>
          <w:rFonts w:asciiTheme="minorHAnsi" w:hAnsiTheme="minorHAnsi"/>
          <w:lang w:val="cs-CZ"/>
        </w:rPr>
        <w:t>VVŠ</w:t>
      </w:r>
      <w:r w:rsidRPr="00C070F8">
        <w:rPr>
          <w:rFonts w:asciiTheme="minorHAnsi" w:hAnsiTheme="minorHAnsi"/>
          <w:lang w:val="cs-CZ"/>
        </w:rPr>
        <w:t>. Tyto úpravy by mohly být začleněny do nově připravované legislativy v oblasti vysokého školství vznikající při MŠMT, která má ambici změnit strukturu financování i další aspekty fungování vysokých škol.</w:t>
      </w:r>
    </w:p>
    <w:p w:rsidR="00090625" w:rsidP="00C070F8" w14:paraId="78C278FF" w14:textId="77777777">
      <w:pPr>
        <w:spacing w:after="0" w:line="300" w:lineRule="atLeast"/>
        <w:jc w:val="both"/>
        <w:rPr>
          <w:rFonts w:asciiTheme="minorHAnsi" w:hAnsiTheme="minorHAnsi"/>
          <w:lang w:val="cs-CZ"/>
        </w:rPr>
      </w:pPr>
    </w:p>
    <w:p w:rsidR="00090625" w:rsidRPr="00F87522" w:rsidP="00A37F4B" w14:paraId="01CC14E0" w14:textId="10CCB04E">
      <w:pPr>
        <w:jc w:val="both"/>
        <w:rPr>
          <w:b/>
          <w:u w:val="single"/>
          <w:lang w:val="cs-CZ"/>
        </w:rPr>
      </w:pPr>
      <w:r w:rsidRPr="00F87522">
        <w:rPr>
          <w:b/>
          <w:u w:val="single"/>
          <w:lang w:val="cs-CZ"/>
        </w:rPr>
        <w:t xml:space="preserve">Přínosy legislativní úpravy: </w:t>
      </w:r>
    </w:p>
    <w:p w:rsidR="00090625" w:rsidP="00090625" w14:paraId="3FFBC5B1" w14:textId="26092176">
      <w:pPr>
        <w:spacing w:after="0" w:line="300" w:lineRule="atLeast"/>
        <w:jc w:val="both"/>
        <w:rPr>
          <w:rFonts w:asciiTheme="minorHAnsi" w:hAnsiTheme="minorHAnsi"/>
          <w:lang w:val="cs-CZ"/>
        </w:rPr>
      </w:pPr>
      <w:r w:rsidRPr="00090625">
        <w:rPr>
          <w:rFonts w:asciiTheme="minorHAnsi" w:hAnsiTheme="minorHAnsi"/>
          <w:lang w:val="cs-CZ"/>
        </w:rPr>
        <w:t xml:space="preserve">Legislativní úpravy v oblasti fungování a financování </w:t>
      </w:r>
      <w:r w:rsidR="00120D8E">
        <w:rPr>
          <w:rFonts w:asciiTheme="minorHAnsi" w:hAnsiTheme="minorHAnsi"/>
          <w:lang w:val="cs-CZ"/>
        </w:rPr>
        <w:t xml:space="preserve">VVŠ </w:t>
      </w:r>
      <w:r w:rsidRPr="00090625">
        <w:rPr>
          <w:rFonts w:asciiTheme="minorHAnsi" w:hAnsiTheme="minorHAnsi"/>
          <w:lang w:val="cs-CZ"/>
        </w:rPr>
        <w:t xml:space="preserve">by přinesly zejména </w:t>
      </w:r>
      <w:r w:rsidRPr="00770013">
        <w:rPr>
          <w:rFonts w:asciiTheme="minorHAnsi" w:hAnsiTheme="minorHAnsi"/>
          <w:b/>
          <w:lang w:val="cs-CZ"/>
        </w:rPr>
        <w:t>rozšíření jejich investičních možností a vyšší flexibilitu při realizaci strategických záměrů.</w:t>
      </w:r>
      <w:r w:rsidRPr="00090625">
        <w:rPr>
          <w:rFonts w:asciiTheme="minorHAnsi" w:hAnsiTheme="minorHAnsi"/>
          <w:lang w:val="cs-CZ"/>
        </w:rPr>
        <w:t xml:space="preserve"> Jasně vymezený právní rámec pro využívání návratných forem financování by umožnil lépe kombinovat dotace s</w:t>
      </w:r>
      <w:r w:rsidR="002C5EA2">
        <w:rPr>
          <w:rFonts w:asciiTheme="minorHAnsi" w:hAnsiTheme="minorHAnsi"/>
          <w:lang w:val="cs-CZ"/>
        </w:rPr>
        <w:t> </w:t>
      </w:r>
      <w:r w:rsidRPr="00090625">
        <w:rPr>
          <w:rFonts w:asciiTheme="minorHAnsi" w:hAnsiTheme="minorHAnsi"/>
          <w:lang w:val="cs-CZ"/>
        </w:rPr>
        <w:t>finančními nástroji, a to včetně evropských zdrojů, a současně by přispěl k větší stabilitě a</w:t>
      </w:r>
      <w:r w:rsidR="002C5EA2">
        <w:rPr>
          <w:rFonts w:asciiTheme="minorHAnsi" w:hAnsiTheme="minorHAnsi"/>
          <w:lang w:val="cs-CZ"/>
        </w:rPr>
        <w:t> </w:t>
      </w:r>
      <w:r w:rsidRPr="00090625">
        <w:rPr>
          <w:rFonts w:asciiTheme="minorHAnsi" w:hAnsiTheme="minorHAnsi"/>
          <w:lang w:val="cs-CZ"/>
        </w:rPr>
        <w:t>předvídatelnosti rozpočtového plánování</w:t>
      </w:r>
      <w:r w:rsidR="00120D8E">
        <w:rPr>
          <w:rFonts w:asciiTheme="minorHAnsi" w:hAnsiTheme="minorHAnsi"/>
          <w:lang w:val="cs-CZ"/>
        </w:rPr>
        <w:t xml:space="preserve"> VVŠ</w:t>
      </w:r>
      <w:r w:rsidRPr="00090625">
        <w:rPr>
          <w:rFonts w:asciiTheme="minorHAnsi" w:hAnsiTheme="minorHAnsi"/>
          <w:lang w:val="cs-CZ"/>
        </w:rPr>
        <w:t xml:space="preserve">. </w:t>
      </w:r>
    </w:p>
    <w:p w:rsidR="00120D8E" w:rsidRPr="00090625" w:rsidP="00090625" w14:paraId="71D92112" w14:textId="77777777">
      <w:pPr>
        <w:spacing w:after="0" w:line="300" w:lineRule="atLeast"/>
        <w:jc w:val="both"/>
        <w:rPr>
          <w:rFonts w:asciiTheme="minorHAnsi" w:hAnsiTheme="minorHAnsi"/>
          <w:lang w:val="cs-CZ"/>
        </w:rPr>
      </w:pPr>
    </w:p>
    <w:p w:rsidR="00090625" w:rsidRPr="00090625" w:rsidP="00090625" w14:paraId="38DBF6AF" w14:textId="43C45E2F">
      <w:pPr>
        <w:spacing w:after="0" w:line="300" w:lineRule="atLeast"/>
        <w:jc w:val="both"/>
        <w:rPr>
          <w:rFonts w:asciiTheme="minorHAnsi" w:hAnsiTheme="minorHAnsi"/>
          <w:lang w:val="cs-CZ"/>
        </w:rPr>
      </w:pPr>
      <w:r w:rsidRPr="00090625">
        <w:rPr>
          <w:rFonts w:asciiTheme="minorHAnsi" w:hAnsiTheme="minorHAnsi"/>
          <w:lang w:val="cs-CZ"/>
        </w:rPr>
        <w:t>Současně by tyto změny posílily finanční autonomii a odpovědnost jednotlivých veřejných vysokých škol, aniž by rezignovaly na nezbytné kontrolní mechanismy na úrovni státu a vnitřních orgánů VVŠ. Systémové nastavení pravidel, například pro státní ručení či zajištění, by mohlo zmírnit rozdíly mezi ekonomicky silnějšími a slabšími institucemi a vytvořit rovnější podmínky pro</w:t>
      </w:r>
      <w:r w:rsidR="002C5EA2">
        <w:rPr>
          <w:rFonts w:asciiTheme="minorHAnsi" w:hAnsiTheme="minorHAnsi"/>
          <w:lang w:val="cs-CZ"/>
        </w:rPr>
        <w:t> </w:t>
      </w:r>
      <w:r w:rsidRPr="00090625">
        <w:rPr>
          <w:rFonts w:asciiTheme="minorHAnsi" w:hAnsiTheme="minorHAnsi"/>
          <w:lang w:val="cs-CZ"/>
        </w:rPr>
        <w:t xml:space="preserve">jejich další rozvoj. V širším kontextu by modernizace legislativního rámce přispěla ke zvýšení </w:t>
      </w:r>
      <w:r w:rsidRPr="00090625">
        <w:rPr>
          <w:rFonts w:asciiTheme="minorHAnsi" w:hAnsiTheme="minorHAnsi"/>
          <w:lang w:val="cs-CZ"/>
        </w:rPr>
        <w:t xml:space="preserve">konkurenceschopnosti českých </w:t>
      </w:r>
      <w:r w:rsidR="009A241F">
        <w:rPr>
          <w:rFonts w:asciiTheme="minorHAnsi" w:hAnsiTheme="minorHAnsi"/>
          <w:lang w:val="cs-CZ"/>
        </w:rPr>
        <w:t xml:space="preserve">VVŠ </w:t>
      </w:r>
      <w:r w:rsidRPr="00090625">
        <w:rPr>
          <w:rFonts w:asciiTheme="minorHAnsi" w:hAnsiTheme="minorHAnsi"/>
          <w:lang w:val="cs-CZ"/>
        </w:rPr>
        <w:t>v mezinárodním prostředí a umožnila jim pružněji reagovat na měnící se požadavky v oblasti vzdělávání, výzkumu a inovací.</w:t>
      </w:r>
    </w:p>
    <w:p w:rsidR="00965FCB" w:rsidRPr="000F2C87" w:rsidP="00965FCB" w14:paraId="51AE16FE" w14:textId="77777777">
      <w:pPr>
        <w:rPr>
          <w:b/>
          <w:bCs/>
          <w:lang w:val="cs-CZ"/>
        </w:rPr>
      </w:pPr>
    </w:p>
    <w:p w:rsidR="00D025FA" w:rsidRPr="0082757B" w:rsidP="0082757B" w14:paraId="147E4D07" w14:textId="5B0E8ECA">
      <w:pPr>
        <w:rPr>
          <w:rStyle w:val="IntenseEmphasis"/>
        </w:rPr>
      </w:pPr>
      <w:r w:rsidRPr="0082757B">
        <w:rPr>
          <w:rStyle w:val="IntenseEmphasis"/>
        </w:rPr>
        <w:t xml:space="preserve">Rozpočtové a účetní aspekty finančních nástrojů </w:t>
      </w:r>
    </w:p>
    <w:p w:rsidR="00D025FA" w:rsidRPr="00655C48" w:rsidP="00D025FA" w14:paraId="4C5DC2FC" w14:textId="5EE17C48">
      <w:pPr>
        <w:jc w:val="both"/>
        <w:rPr>
          <w:rFonts w:asciiTheme="minorHAnsi" w:hAnsiTheme="minorHAnsi"/>
          <w:lang w:val="cs-CZ"/>
        </w:rPr>
      </w:pPr>
      <w:r w:rsidRPr="00655C48">
        <w:rPr>
          <w:rFonts w:asciiTheme="minorHAnsi" w:hAnsiTheme="minorHAnsi"/>
          <w:lang w:val="cs-CZ"/>
        </w:rPr>
        <w:t xml:space="preserve">Vedle explicitních legislativních bariér představuje významnou praktickou překážku širšího využívání finančních nástrojů také </w:t>
      </w:r>
      <w:r w:rsidRPr="00400EB3">
        <w:rPr>
          <w:rFonts w:asciiTheme="minorHAnsi" w:hAnsiTheme="minorHAnsi"/>
          <w:b/>
          <w:bCs/>
          <w:lang w:val="cs-CZ"/>
        </w:rPr>
        <w:t xml:space="preserve">nejednotný přístup k jejich rozpočtovému a účetnímu zachycení. </w:t>
      </w:r>
      <w:r w:rsidRPr="00655C48">
        <w:rPr>
          <w:rFonts w:asciiTheme="minorHAnsi" w:hAnsiTheme="minorHAnsi"/>
          <w:lang w:val="cs-CZ"/>
        </w:rPr>
        <w:t>Finanční nástroje se svou povahou liší od tradičních dotačních výdajů, neboť představují návratnou formu podpory, která je spojena s dlouhodobým oběhem prostředků a</w:t>
      </w:r>
      <w:r w:rsidR="009266C2">
        <w:rPr>
          <w:rFonts w:asciiTheme="minorHAnsi" w:hAnsiTheme="minorHAnsi"/>
          <w:lang w:val="cs-CZ"/>
        </w:rPr>
        <w:t> </w:t>
      </w:r>
      <w:r w:rsidRPr="00655C48">
        <w:rPr>
          <w:rFonts w:asciiTheme="minorHAnsi" w:hAnsiTheme="minorHAnsi"/>
          <w:lang w:val="cs-CZ"/>
        </w:rPr>
        <w:t>jejich opakovaným využitím. Z tohoto důvodu vyžaduje jejich implementace specifický přístup v oblasti rozpočtového plánování, evidence i vyhodnocování dopadů na veřejné finance.</w:t>
      </w:r>
    </w:p>
    <w:p w:rsidR="00D025FA" w:rsidRPr="00655C48" w:rsidP="00D025FA" w14:paraId="440E154A" w14:textId="77777777">
      <w:pPr>
        <w:jc w:val="both"/>
        <w:rPr>
          <w:rFonts w:asciiTheme="minorHAnsi" w:hAnsiTheme="minorHAnsi"/>
          <w:lang w:val="cs-CZ"/>
        </w:rPr>
      </w:pPr>
      <w:r w:rsidRPr="00655C48">
        <w:rPr>
          <w:rFonts w:asciiTheme="minorHAnsi" w:hAnsiTheme="minorHAnsi"/>
          <w:lang w:val="cs-CZ"/>
        </w:rPr>
        <w:t xml:space="preserve">Současná praxe ukazuje, že při využívání finančních nástrojů vznikají v některých případech interpretační nejasnosti ohledně jejich zařazení v rámci rozpočtové skladby a jejich dopadu na hospodaření státního rozpočtu. Tyto nejasnosti se týkají zejména rozlišení mezi výdajem státního rozpočtu a finanční operací, dále způsobu </w:t>
      </w:r>
      <w:r w:rsidRPr="3429D83B">
        <w:rPr>
          <w:rFonts w:asciiTheme="minorHAnsi" w:hAnsiTheme="minorHAnsi"/>
          <w:lang w:val="cs-CZ"/>
        </w:rPr>
        <w:t xml:space="preserve">účetního </w:t>
      </w:r>
      <w:r w:rsidRPr="00655C48">
        <w:rPr>
          <w:rFonts w:asciiTheme="minorHAnsi" w:hAnsiTheme="minorHAnsi"/>
          <w:lang w:val="cs-CZ"/>
        </w:rPr>
        <w:t xml:space="preserve">zachycení návratných prostředků a jejich následného </w:t>
      </w:r>
      <w:r w:rsidRPr="00655C48">
        <w:rPr>
          <w:rFonts w:asciiTheme="minorHAnsi" w:hAnsiTheme="minorHAnsi"/>
          <w:lang w:val="cs-CZ"/>
        </w:rPr>
        <w:t>revolvingu</w:t>
      </w:r>
      <w:r w:rsidRPr="00655C48">
        <w:rPr>
          <w:rFonts w:asciiTheme="minorHAnsi" w:hAnsiTheme="minorHAnsi"/>
          <w:lang w:val="cs-CZ"/>
        </w:rPr>
        <w:t xml:space="preserve"> v rámci programů </w:t>
      </w:r>
      <w:r w:rsidRPr="3429D83B">
        <w:rPr>
          <w:rFonts w:asciiTheme="minorHAnsi" w:hAnsiTheme="minorHAnsi"/>
          <w:lang w:val="cs-CZ"/>
        </w:rPr>
        <w:t>financovaných z veřejných zdrojů</w:t>
      </w:r>
      <w:r w:rsidRPr="00655C48">
        <w:rPr>
          <w:rFonts w:asciiTheme="minorHAnsi" w:hAnsiTheme="minorHAnsi"/>
          <w:lang w:val="cs-CZ"/>
        </w:rPr>
        <w:t>.</w:t>
      </w:r>
    </w:p>
    <w:p w:rsidR="00D025FA" w:rsidRPr="00655C48" w:rsidP="00D025FA" w14:paraId="6B538641" w14:textId="74E72963">
      <w:pPr>
        <w:jc w:val="both"/>
        <w:rPr>
          <w:rFonts w:asciiTheme="minorHAnsi" w:hAnsiTheme="minorHAnsi"/>
          <w:lang w:val="cs-CZ"/>
        </w:rPr>
      </w:pPr>
      <w:r w:rsidRPr="00655C48">
        <w:rPr>
          <w:rFonts w:asciiTheme="minorHAnsi" w:hAnsiTheme="minorHAnsi"/>
          <w:lang w:val="cs-CZ"/>
        </w:rPr>
        <w:t>V evropském kontextu jsou finanční nástroje standardně chápány jako finanční operace, jejichž cílem je mobilizace dodatečných veřejných a soukromých zdrojů a jejich dlouhodobé využívání v</w:t>
      </w:r>
      <w:r w:rsidR="009266C2">
        <w:rPr>
          <w:rFonts w:asciiTheme="minorHAnsi" w:hAnsiTheme="minorHAnsi"/>
          <w:lang w:val="cs-CZ"/>
        </w:rPr>
        <w:t> </w:t>
      </w:r>
      <w:r w:rsidRPr="00655C48">
        <w:rPr>
          <w:rFonts w:asciiTheme="minorHAnsi" w:hAnsiTheme="minorHAnsi"/>
          <w:lang w:val="cs-CZ"/>
        </w:rPr>
        <w:t>investičních projektech. Tento princip se promítá i do metodiky evropského statistického systému ESA 2010, který při posuzování dopadů finančních nástrojů na deficit a dluh sektoru vládních institucí zohledňuje jejich ekonomickou podstatu, zejména návratnost prostředků, rozdělení rizik a charakter poskytované podpory.</w:t>
      </w:r>
    </w:p>
    <w:p w:rsidR="00D025FA" w:rsidRPr="000F2C87" w:rsidP="00D025FA" w14:paraId="7E526BAA" w14:textId="77777777">
      <w:pPr>
        <w:jc w:val="both"/>
        <w:rPr>
          <w:rFonts w:asciiTheme="minorHAnsi" w:hAnsiTheme="minorHAnsi"/>
          <w:lang w:val="cs-CZ"/>
        </w:rPr>
      </w:pPr>
      <w:r w:rsidRPr="00655C48">
        <w:rPr>
          <w:rFonts w:asciiTheme="minorHAnsi" w:hAnsiTheme="minorHAnsi"/>
          <w:lang w:val="cs-CZ"/>
        </w:rPr>
        <w:t xml:space="preserve">V praxi to znamená, že jednotlivé typy finančních nástrojů – například úvěrové, záruční nebo kapitálové – mohou mít rozdílný dopad na veřejné finance a jejich statistické zachycení. </w:t>
      </w:r>
    </w:p>
    <w:p w:rsidR="00D025FA" w:rsidRPr="00655C48" w:rsidP="00D025FA" w14:paraId="3AF942EF" w14:textId="77777777">
      <w:pPr>
        <w:jc w:val="both"/>
        <w:rPr>
          <w:rFonts w:asciiTheme="minorHAnsi" w:hAnsiTheme="minorHAnsi"/>
          <w:b/>
          <w:bCs/>
          <w:lang w:val="cs-CZ"/>
        </w:rPr>
      </w:pPr>
      <w:r w:rsidRPr="00313401">
        <w:rPr>
          <w:rFonts w:asciiTheme="minorHAnsi" w:hAnsiTheme="minorHAnsi"/>
          <w:b/>
          <w:bCs/>
          <w:u w:val="single"/>
          <w:lang w:val="cs-CZ"/>
        </w:rPr>
        <w:t>Doporučení</w:t>
      </w:r>
      <w:r>
        <w:rPr>
          <w:rFonts w:asciiTheme="minorHAnsi" w:hAnsiTheme="minorHAnsi"/>
          <w:b/>
          <w:bCs/>
          <w:lang w:val="cs-CZ"/>
        </w:rPr>
        <w:t>:</w:t>
      </w:r>
    </w:p>
    <w:p w:rsidR="00D025FA" w:rsidRPr="00655C48" w:rsidP="00D025FA" w14:paraId="07898D24" w14:textId="1CFAD1ED">
      <w:pPr>
        <w:jc w:val="both"/>
        <w:rPr>
          <w:rFonts w:asciiTheme="minorHAnsi" w:hAnsiTheme="minorHAnsi"/>
          <w:lang w:val="cs-CZ"/>
        </w:rPr>
      </w:pPr>
      <w:r w:rsidRPr="00655C48">
        <w:rPr>
          <w:rFonts w:asciiTheme="minorHAnsi" w:hAnsiTheme="minorHAnsi"/>
          <w:lang w:val="cs-CZ"/>
        </w:rPr>
        <w:t>Pro stabilní a předvídatelné využívání finančních nástrojů je vhodné zajistit jednotný metodický přístup k jejich rozpočtovému a účetnímu zachycení, který bude respektovat jak národní rozpočtová pravidla, tak evropské fiskální standardy.</w:t>
      </w:r>
      <w:r>
        <w:rPr>
          <w:rFonts w:asciiTheme="minorHAnsi" w:hAnsiTheme="minorHAnsi"/>
          <w:lang w:val="cs-CZ"/>
        </w:rPr>
        <w:t xml:space="preserve"> </w:t>
      </w:r>
      <w:r w:rsidRPr="00655C48">
        <w:rPr>
          <w:rFonts w:asciiTheme="minorHAnsi" w:hAnsiTheme="minorHAnsi"/>
          <w:lang w:val="cs-CZ"/>
        </w:rPr>
        <w:t xml:space="preserve">V této souvislosti je žádoucí </w:t>
      </w:r>
      <w:r w:rsidRPr="00AC13B9">
        <w:rPr>
          <w:rFonts w:asciiTheme="minorHAnsi" w:hAnsiTheme="minorHAnsi"/>
          <w:b/>
          <w:lang w:val="cs-CZ"/>
        </w:rPr>
        <w:t xml:space="preserve">posílit metodické ukotvení finančních nástrojů v rámci systému řízení veřejných financí </w:t>
      </w:r>
      <w:r w:rsidRPr="00655C48">
        <w:rPr>
          <w:rFonts w:asciiTheme="minorHAnsi" w:hAnsiTheme="minorHAnsi"/>
          <w:lang w:val="cs-CZ"/>
        </w:rPr>
        <w:t>a zajistit koordinovaný postup mezi resorty a Ministerstvem financí při posuzování jejich rozpočtových a</w:t>
      </w:r>
      <w:r w:rsidR="009266C2">
        <w:rPr>
          <w:rFonts w:asciiTheme="minorHAnsi" w:hAnsiTheme="minorHAnsi"/>
          <w:lang w:val="cs-CZ"/>
        </w:rPr>
        <w:t> </w:t>
      </w:r>
      <w:r w:rsidRPr="00655C48">
        <w:rPr>
          <w:rFonts w:asciiTheme="minorHAnsi" w:hAnsiTheme="minorHAnsi"/>
          <w:lang w:val="cs-CZ"/>
        </w:rPr>
        <w:t>účetních dopadů.</w:t>
      </w:r>
      <w:r>
        <w:rPr>
          <w:rFonts w:asciiTheme="minorHAnsi" w:hAnsiTheme="minorHAnsi"/>
          <w:lang w:val="cs-CZ"/>
        </w:rPr>
        <w:t xml:space="preserve"> </w:t>
      </w:r>
      <w:r w:rsidRPr="00655C48">
        <w:rPr>
          <w:rFonts w:asciiTheme="minorHAnsi" w:hAnsiTheme="minorHAnsi"/>
          <w:lang w:val="cs-CZ"/>
        </w:rPr>
        <w:t>Jednotný metodický rámec by měl přispět ke snížení interpretační nejistoty, usnadnit přípravu víceletých programů založených na návratných formách podpory a zároveň zajistit transparentní vykazování dopadů finančních nástrojů na veřejné finance.</w:t>
      </w:r>
    </w:p>
    <w:p w:rsidR="00D025FA" w:rsidRPr="000F2C87" w:rsidP="00D025FA" w14:paraId="42F8480A" w14:textId="77777777">
      <w:pPr>
        <w:jc w:val="both"/>
        <w:rPr>
          <w:rFonts w:asciiTheme="minorHAnsi" w:hAnsiTheme="minorHAnsi"/>
          <w:b/>
          <w:bCs/>
          <w:lang w:val="cs-CZ"/>
        </w:rPr>
      </w:pPr>
    </w:p>
    <w:p w:rsidR="00D025FA" w:rsidRPr="0082757B" w:rsidP="0082757B" w14:paraId="49F076AF" w14:textId="77777777">
      <w:pPr>
        <w:rPr>
          <w:rStyle w:val="IntenseEmphasis"/>
        </w:rPr>
      </w:pPr>
      <w:r w:rsidRPr="0082757B">
        <w:rPr>
          <w:rStyle w:val="IntenseEmphasis"/>
        </w:rPr>
        <w:t>Fiskální dopady využívání finančních nástrojů</w:t>
      </w:r>
    </w:p>
    <w:p w:rsidR="00D025FA" w:rsidRPr="00655C48" w:rsidP="00D025FA" w14:paraId="2905E341" w14:textId="023C73DC">
      <w:pPr>
        <w:jc w:val="both"/>
        <w:rPr>
          <w:rFonts w:asciiTheme="minorHAnsi" w:hAnsiTheme="minorHAnsi"/>
          <w:lang w:val="cs-CZ"/>
        </w:rPr>
      </w:pPr>
      <w:r w:rsidRPr="00655C48">
        <w:rPr>
          <w:rFonts w:asciiTheme="minorHAnsi" w:hAnsiTheme="minorHAnsi"/>
          <w:lang w:val="cs-CZ"/>
        </w:rPr>
        <w:t xml:space="preserve">Při posuzování využívání finančních nástrojů je vedle legislativního rámce důležité zohlednit také jejich </w:t>
      </w:r>
      <w:r w:rsidRPr="00400EB3">
        <w:rPr>
          <w:rFonts w:asciiTheme="minorHAnsi" w:hAnsiTheme="minorHAnsi"/>
          <w:b/>
          <w:bCs/>
          <w:lang w:val="cs-CZ"/>
        </w:rPr>
        <w:t>dopady na státní rozpočet, vládní dluh a řízení finančních rizik</w:t>
      </w:r>
      <w:r w:rsidRPr="00655C48">
        <w:rPr>
          <w:rFonts w:asciiTheme="minorHAnsi" w:hAnsiTheme="minorHAnsi"/>
          <w:lang w:val="cs-CZ"/>
        </w:rPr>
        <w:t>. Finanční nástroje se v</w:t>
      </w:r>
      <w:r w:rsidR="009266C2">
        <w:rPr>
          <w:rFonts w:asciiTheme="minorHAnsi" w:hAnsiTheme="minorHAnsi"/>
          <w:lang w:val="cs-CZ"/>
        </w:rPr>
        <w:t> </w:t>
      </w:r>
      <w:r w:rsidRPr="00655C48">
        <w:rPr>
          <w:rFonts w:asciiTheme="minorHAnsi" w:hAnsiTheme="minorHAnsi"/>
          <w:lang w:val="cs-CZ"/>
        </w:rPr>
        <w:t>tomto ohledu liší od tradičních dotačních programů především tím, že prostředky nejsou poskytovány jednorázově bez návratnosti, ale jsou využívány ve formě návratné podpory a mohou být v čase opakovaně použity.</w:t>
      </w:r>
      <w:r>
        <w:rPr>
          <w:rFonts w:asciiTheme="minorHAnsi" w:hAnsiTheme="minorHAnsi"/>
          <w:lang w:val="cs-CZ"/>
        </w:rPr>
        <w:t xml:space="preserve"> </w:t>
      </w:r>
      <w:r w:rsidRPr="00655C48">
        <w:rPr>
          <w:rFonts w:asciiTheme="minorHAnsi" w:hAnsiTheme="minorHAnsi"/>
          <w:lang w:val="cs-CZ"/>
        </w:rPr>
        <w:t xml:space="preserve">V případě dotačních programů představuje poskytnutí prostředků přímý výdaj státního rozpočtu, který se bezprostředně promítá do salda hospodaření sektoru vládních institucí. U finančních nástrojů je situace odlišná, neboť část prostředků může mít </w:t>
      </w:r>
      <w:r w:rsidRPr="00655C48">
        <w:rPr>
          <w:rFonts w:asciiTheme="minorHAnsi" w:hAnsiTheme="minorHAnsi"/>
          <w:lang w:val="cs-CZ"/>
        </w:rPr>
        <w:t>charakter finanční operace a jejich ekonomický dopad je spojen s návratností investovaných zdrojů a s jejich dalším využitím v rámci revolvingových mechanismů.</w:t>
      </w:r>
    </w:p>
    <w:p w:rsidR="00D025FA" w:rsidRPr="00655C48" w:rsidP="00D025FA" w14:paraId="61EBF99F" w14:textId="79EE45E4">
      <w:pPr>
        <w:jc w:val="both"/>
        <w:rPr>
          <w:rFonts w:asciiTheme="minorHAnsi" w:hAnsiTheme="minorHAnsi"/>
          <w:lang w:val="cs-CZ"/>
        </w:rPr>
      </w:pPr>
      <w:r w:rsidRPr="00655C48">
        <w:rPr>
          <w:rFonts w:asciiTheme="minorHAnsi" w:hAnsiTheme="minorHAnsi"/>
          <w:lang w:val="cs-CZ"/>
        </w:rPr>
        <w:t>Z hlediska fiskálních dopadů je rovněž významné institucionální uspořádání implementace finančních nástrojů. Pokud jsou finanční nástroje realizovány prostřednictvím státních fondů nebo jiných veřejných institucí, zůstávají finanční toky zpravidla plně součástí sektoru vládních institucí a jejich operace se promítají do veřejných financí v souladu s pravidly národní metodiky i evropského statistického systému.</w:t>
      </w:r>
      <w:r>
        <w:rPr>
          <w:rFonts w:asciiTheme="minorHAnsi" w:hAnsiTheme="minorHAnsi"/>
          <w:lang w:val="cs-CZ"/>
        </w:rPr>
        <w:t xml:space="preserve"> </w:t>
      </w:r>
      <w:r w:rsidRPr="00655C48">
        <w:rPr>
          <w:rFonts w:asciiTheme="minorHAnsi" w:hAnsiTheme="minorHAnsi"/>
          <w:lang w:val="cs-CZ"/>
        </w:rPr>
        <w:t xml:space="preserve">Odlišná situace může nastat v případě implementace finančních nástrojů prostřednictvím specializovaných finančních institucí, jako je například Národní rozvojová banka. V takovém případě mohou být jednotlivé operace realizovány v rámci bilanční struktury finanční instituce, která zajišťuje financování prostřednictvím vlastních zdrojů, návratných prostředků nebo prostřednictvím finančních operací na kapitálovém trhu. </w:t>
      </w:r>
    </w:p>
    <w:p w:rsidR="00D025FA" w:rsidRPr="00CE3381" w:rsidP="00D025FA" w14:paraId="34D42DC4" w14:textId="77777777">
      <w:pPr>
        <w:jc w:val="both"/>
        <w:rPr>
          <w:rFonts w:asciiTheme="minorHAnsi" w:hAnsiTheme="minorHAnsi"/>
          <w:b/>
          <w:bCs/>
          <w:lang w:val="cs-CZ"/>
        </w:rPr>
      </w:pPr>
      <w:r w:rsidRPr="00313401">
        <w:rPr>
          <w:rFonts w:asciiTheme="minorHAnsi" w:hAnsiTheme="minorHAnsi"/>
          <w:b/>
          <w:bCs/>
          <w:u w:val="single"/>
          <w:lang w:val="cs-CZ"/>
        </w:rPr>
        <w:t>Doporučení</w:t>
      </w:r>
      <w:r>
        <w:rPr>
          <w:rFonts w:asciiTheme="minorHAnsi" w:hAnsiTheme="minorHAnsi"/>
          <w:b/>
          <w:bCs/>
          <w:lang w:val="cs-CZ"/>
        </w:rPr>
        <w:t>:</w:t>
      </w:r>
    </w:p>
    <w:p w:rsidR="00D025FA" w:rsidRPr="00655C48" w:rsidP="00D025FA" w14:paraId="4AEC8C59" w14:textId="77777777">
      <w:pPr>
        <w:jc w:val="both"/>
        <w:rPr>
          <w:rFonts w:asciiTheme="minorHAnsi" w:hAnsiTheme="minorHAnsi"/>
          <w:lang w:val="cs-CZ"/>
        </w:rPr>
      </w:pPr>
      <w:r w:rsidRPr="00655C48">
        <w:rPr>
          <w:rFonts w:asciiTheme="minorHAnsi" w:hAnsiTheme="minorHAnsi"/>
          <w:lang w:val="cs-CZ"/>
        </w:rPr>
        <w:t>Při přípravě a implementaci finančních nástrojů je vhodné systematicky zohledňovat jejich fiskální dopady, zejména ve vztahu ke státnímu rozpočtu, vládnímu dluhu a řízení finančních rizik.</w:t>
      </w:r>
    </w:p>
    <w:p w:rsidR="00763799" w:rsidP="00076CD1" w14:paraId="6FD10B7E" w14:textId="5CA78556">
      <w:pPr>
        <w:jc w:val="both"/>
        <w:rPr>
          <w:lang w:val="cs-CZ"/>
        </w:rPr>
      </w:pPr>
      <w:r w:rsidRPr="00655C48">
        <w:rPr>
          <w:lang w:val="cs-CZ"/>
        </w:rPr>
        <w:t>Současně je vhodné při návrhu jednotlivých nástrojů posuzovat i institucionální model jejich implementace a jeho dopady na veřejné finance. Vhodně zvolený model může přispět k</w:t>
      </w:r>
      <w:r w:rsidR="00076CD1">
        <w:rPr>
          <w:lang w:val="cs-CZ"/>
        </w:rPr>
        <w:t> </w:t>
      </w:r>
      <w:r w:rsidRPr="00655C48">
        <w:rPr>
          <w:lang w:val="cs-CZ"/>
        </w:rPr>
        <w:t>efektivnějšímu využití veřejných prostředků, omezení okamžitých rozpočtových dopadů a</w:t>
      </w:r>
      <w:r w:rsidR="00076CD1">
        <w:rPr>
          <w:lang w:val="cs-CZ"/>
        </w:rPr>
        <w:t> </w:t>
      </w:r>
      <w:r w:rsidRPr="00655C48">
        <w:rPr>
          <w:lang w:val="cs-CZ"/>
        </w:rPr>
        <w:t>současně k mobilizaci dodatečných investičních zdrojů.</w:t>
      </w:r>
      <w:r>
        <w:rPr>
          <w:lang w:val="cs-CZ"/>
        </w:rPr>
        <w:t xml:space="preserve"> </w:t>
      </w:r>
      <w:r w:rsidRPr="00655C48">
        <w:rPr>
          <w:lang w:val="cs-CZ"/>
        </w:rPr>
        <w:t>V této souvislosti je žádoucí zajistit transparentní pravidla pro evidenci finančních toků, průběžné vyhodnocování fiskálních dopadů a odpovídající nastavení systému řízení finančních rizik spojených s využíváním finančních nástrojů.</w:t>
      </w:r>
      <w:r>
        <w:rPr>
          <w:lang w:val="cs-CZ"/>
        </w:rPr>
        <w:br w:type="page"/>
      </w:r>
    </w:p>
    <w:p w:rsidR="00067B3F" w:rsidRPr="000F2C87" w:rsidP="006446B8" w14:paraId="0000015F" w14:textId="1A10E23E">
      <w:pPr>
        <w:pStyle w:val="Heading2"/>
      </w:pPr>
      <w:bookmarkStart w:id="18" w:name="_Toc256000011"/>
      <w:r w:rsidRPr="000F2C87">
        <w:t>Nelegislativní bariéry</w:t>
      </w:r>
      <w:bookmarkEnd w:id="18"/>
    </w:p>
    <w:p w:rsidR="000B2CFD" w:rsidRPr="00B64BDB" w:rsidP="00B64BDB" w14:paraId="7E8B82E3" w14:textId="50954880">
      <w:pPr>
        <w:pStyle w:val="Heading3"/>
      </w:pPr>
      <w:r w:rsidRPr="00B64BDB">
        <w:t>Fragmentace</w:t>
      </w:r>
    </w:p>
    <w:p w:rsidR="004753E2" w:rsidRPr="004753E2" w:rsidP="004753E2" w14:paraId="233B1410" w14:textId="69C2DD84">
      <w:pPr>
        <w:spacing w:line="257" w:lineRule="auto"/>
        <w:jc w:val="both"/>
        <w:rPr>
          <w:lang w:val="cs-CZ"/>
        </w:rPr>
      </w:pPr>
      <w:r w:rsidRPr="004753E2">
        <w:rPr>
          <w:lang w:val="cs-CZ"/>
        </w:rPr>
        <w:t xml:space="preserve">Realizace finančních nástrojů je v současné době charakterizována </w:t>
      </w:r>
      <w:r w:rsidRPr="00E02237">
        <w:rPr>
          <w:b/>
          <w:lang w:val="cs-CZ"/>
        </w:rPr>
        <w:t xml:space="preserve">vysokým počtem relativně malých nástrojů s omezenými alokacemi a často složitými </w:t>
      </w:r>
      <w:r w:rsidR="00631DFA">
        <w:rPr>
          <w:b/>
          <w:bCs/>
          <w:lang w:val="cs-CZ"/>
        </w:rPr>
        <w:t xml:space="preserve">a odlišnými </w:t>
      </w:r>
      <w:r w:rsidRPr="00E02237">
        <w:rPr>
          <w:b/>
          <w:lang w:val="cs-CZ"/>
        </w:rPr>
        <w:t>podmínkami</w:t>
      </w:r>
      <w:r w:rsidRPr="004753E2">
        <w:rPr>
          <w:lang w:val="cs-CZ"/>
        </w:rPr>
        <w:t>. Tento přístup vede k</w:t>
      </w:r>
      <w:r w:rsidR="002C5EA2">
        <w:rPr>
          <w:lang w:val="cs-CZ"/>
        </w:rPr>
        <w:t> </w:t>
      </w:r>
      <w:r w:rsidRPr="004753E2">
        <w:rPr>
          <w:lang w:val="cs-CZ"/>
        </w:rPr>
        <w:t>nízké přehlednosti systému, zejména z pohledu konečných příjemců, kteří se obtížně orientují v nabídce jednotlivých nástrojů a jejich parametrech. Současně chybí systematické provázání finančních nástrojů napříč zdroji financování, což omezuje možnost jejich kombinace a snižuje potenciál dosažení synergických efektů i vyšší efektivity veřejných intervencí.</w:t>
      </w:r>
    </w:p>
    <w:p w:rsidR="003978B5" w:rsidRPr="00DF7793" w:rsidP="007530CB" w14:paraId="5E4EFC39" w14:textId="6C00F4F8">
      <w:pPr>
        <w:spacing w:line="257" w:lineRule="auto"/>
        <w:jc w:val="both"/>
        <w:rPr>
          <w:lang w:val="cs-CZ"/>
        </w:rPr>
      </w:pPr>
      <w:r w:rsidRPr="004753E2">
        <w:rPr>
          <w:lang w:val="cs-CZ"/>
        </w:rPr>
        <w:t>Komplexní a individualizované nastavování finančních produktů, zejména u úvěrů a záruk, se</w:t>
      </w:r>
      <w:r w:rsidR="002C5EA2">
        <w:rPr>
          <w:lang w:val="cs-CZ"/>
        </w:rPr>
        <w:t> </w:t>
      </w:r>
      <w:r w:rsidRPr="0045628E">
        <w:rPr>
          <w:b/>
          <w:lang w:val="cs-CZ"/>
        </w:rPr>
        <w:t>negativně promítá do délky implementační fáze a zvyšuje administrativní náročnost jak na</w:t>
      </w:r>
      <w:r w:rsidRPr="0045628E" w:rsidR="002C5EA2">
        <w:rPr>
          <w:b/>
          <w:lang w:val="cs-CZ"/>
        </w:rPr>
        <w:t> </w:t>
      </w:r>
      <w:r w:rsidRPr="0045628E">
        <w:rPr>
          <w:b/>
          <w:lang w:val="cs-CZ"/>
        </w:rPr>
        <w:t xml:space="preserve">straně poskytovatelů, </w:t>
      </w:r>
      <w:r w:rsidRPr="0045628E" w:rsidR="00631DFA">
        <w:rPr>
          <w:b/>
          <w:lang w:val="cs-CZ"/>
        </w:rPr>
        <w:t xml:space="preserve">nositelů FN, </w:t>
      </w:r>
      <w:r w:rsidRPr="0045628E">
        <w:rPr>
          <w:b/>
          <w:lang w:val="cs-CZ"/>
        </w:rPr>
        <w:t>tak na straně konečných příjemců</w:t>
      </w:r>
      <w:r w:rsidRPr="004753E2">
        <w:rPr>
          <w:lang w:val="cs-CZ"/>
        </w:rPr>
        <w:t>. Výsledkem je systém, který není dostatečně komplementární, neumožňuje snadné škálování úspěšných nástrojů a</w:t>
      </w:r>
      <w:r w:rsidR="00D303D9">
        <w:rPr>
          <w:lang w:val="cs-CZ"/>
        </w:rPr>
        <w:t> </w:t>
      </w:r>
      <w:r w:rsidRPr="004753E2">
        <w:rPr>
          <w:lang w:val="cs-CZ"/>
        </w:rPr>
        <w:t xml:space="preserve">neposkytuje stabilní a srozumitelný rámec pro dlouhodobé plánování investic ve veřejném </w:t>
      </w:r>
      <w:r>
        <w:rPr>
          <w:lang w:val="cs-CZ"/>
        </w:rPr>
        <w:t>i</w:t>
      </w:r>
      <w:r w:rsidR="00D303D9">
        <w:rPr>
          <w:lang w:val="cs-CZ"/>
        </w:rPr>
        <w:t> </w:t>
      </w:r>
      <w:r>
        <w:rPr>
          <w:lang w:val="cs-CZ"/>
        </w:rPr>
        <w:t xml:space="preserve">soukromém </w:t>
      </w:r>
      <w:r w:rsidRPr="004753E2">
        <w:rPr>
          <w:lang w:val="cs-CZ"/>
        </w:rPr>
        <w:t>sektoru.</w:t>
      </w:r>
    </w:p>
    <w:p w:rsidR="003978B5" w:rsidRPr="009B5583" w:rsidP="007530CB" w14:paraId="374BDC82" w14:textId="70293D58">
      <w:pPr>
        <w:spacing w:line="257" w:lineRule="auto"/>
        <w:jc w:val="both"/>
        <w:rPr>
          <w:b/>
          <w:u w:val="single"/>
        </w:rPr>
      </w:pPr>
      <w:r w:rsidRPr="009B5583">
        <w:rPr>
          <w:b/>
          <w:u w:val="single"/>
        </w:rPr>
        <w:t>Doporučení</w:t>
      </w:r>
      <w:r w:rsidRPr="008351BB">
        <w:rPr>
          <w:b/>
        </w:rPr>
        <w:t>:</w:t>
      </w:r>
    </w:p>
    <w:p w:rsidR="002E7956" w:rsidRPr="002E7956" w:rsidP="002E7956" w14:paraId="2FACE1D9" w14:textId="103B8E24">
      <w:pPr>
        <w:spacing w:line="257" w:lineRule="auto"/>
        <w:jc w:val="both"/>
        <w:rPr>
          <w:lang w:val="cs-CZ"/>
        </w:rPr>
      </w:pPr>
      <w:r w:rsidRPr="002E7956">
        <w:rPr>
          <w:lang w:val="cs-CZ"/>
        </w:rPr>
        <w:t xml:space="preserve">Současný způsob nastavování a realizace finančních nástrojů je žádoucí koncepčně upravit tak, aby systém byl přehlednější, efektivnější a lépe využitelný pro konečné příjemce. Klíčovým cílem by měla být </w:t>
      </w:r>
      <w:r w:rsidRPr="005427C1">
        <w:rPr>
          <w:b/>
          <w:lang w:val="cs-CZ"/>
        </w:rPr>
        <w:t>konsolidace stávající praxe, snížení počtu dílčích a málo srozumitelných nástrojů a</w:t>
      </w:r>
      <w:r w:rsidRPr="005427C1" w:rsidR="0024069B">
        <w:rPr>
          <w:b/>
          <w:lang w:val="cs-CZ"/>
        </w:rPr>
        <w:t> </w:t>
      </w:r>
      <w:r w:rsidRPr="005427C1">
        <w:rPr>
          <w:b/>
          <w:lang w:val="cs-CZ"/>
        </w:rPr>
        <w:t>posílení jejich komplementarity,</w:t>
      </w:r>
      <w:r w:rsidRPr="002E7956">
        <w:rPr>
          <w:lang w:val="cs-CZ"/>
        </w:rPr>
        <w:t xml:space="preserve"> včetně možnosti kombinace s dalšími zdroji financování. Finanční nástroje by měly být navrhovány s důrazem na standardizaci základních parametrů, dostatečnou alokaci a jasně vymezený investiční záměr, aby bylo možné dosáhnout vyšší absorpční kapacity i pákového efektu.</w:t>
      </w:r>
    </w:p>
    <w:p w:rsidR="00EA1A9C" w:rsidRPr="002E7956" w:rsidP="00D47291" w14:paraId="35F57FA3" w14:textId="35735671">
      <w:pPr>
        <w:jc w:val="both"/>
        <w:rPr>
          <w:lang w:val="cs-CZ"/>
        </w:rPr>
      </w:pPr>
      <w:r w:rsidRPr="009B5583">
        <w:rPr>
          <w:b/>
          <w:lang w:val="cs-CZ"/>
        </w:rPr>
        <w:t>Jako vhodné se také jeví</w:t>
      </w:r>
      <w:r w:rsidRPr="009B5583">
        <w:rPr>
          <w:b/>
          <w:lang w:val="cs-CZ"/>
        </w:rPr>
        <w:t xml:space="preserve"> dohoda na několika klíčových tematických oblastech, které budou pro ČR a pro finanční nástroje prioritní.</w:t>
      </w:r>
      <w:r w:rsidRPr="000F2C87">
        <w:rPr>
          <w:lang w:val="cs-CZ"/>
        </w:rPr>
        <w:t xml:space="preserve"> Stejně důležité je přesně definovat, které typy intervencí </w:t>
      </w:r>
      <w:r>
        <w:rPr>
          <w:lang w:val="cs-CZ"/>
        </w:rPr>
        <w:t>je smysluplné financovat</w:t>
      </w:r>
      <w:r w:rsidRPr="00202E2C">
        <w:rPr>
          <w:lang w:val="cs-CZ"/>
        </w:rPr>
        <w:t xml:space="preserve"> </w:t>
      </w:r>
      <w:r w:rsidRPr="000F2C87">
        <w:rPr>
          <w:lang w:val="cs-CZ"/>
        </w:rPr>
        <w:t xml:space="preserve">prostřednictvím finančních nástrojů a které prostřednictvím dotací, </w:t>
      </w:r>
      <w:r w:rsidR="008F3894">
        <w:rPr>
          <w:lang w:val="cs-CZ"/>
        </w:rPr>
        <w:t>případně jejich kombinací,</w:t>
      </w:r>
      <w:r w:rsidRPr="000F2C87">
        <w:rPr>
          <w:lang w:val="cs-CZ"/>
        </w:rPr>
        <w:t xml:space="preserve"> přičemž je nutné zabránit překryvům či duplicitám.</w:t>
      </w:r>
    </w:p>
    <w:p w:rsidR="002E7956" w:rsidRPr="002E7956" w:rsidP="002E7956" w14:paraId="166109D7" w14:textId="593DCBC1">
      <w:pPr>
        <w:spacing w:line="257" w:lineRule="auto"/>
        <w:jc w:val="both"/>
        <w:rPr>
          <w:lang w:val="cs-CZ"/>
        </w:rPr>
      </w:pPr>
      <w:r w:rsidRPr="002E7956">
        <w:rPr>
          <w:lang w:val="cs-CZ"/>
        </w:rPr>
        <w:t xml:space="preserve">Tato změna by měla být systémově zakotvena v rámci přípravy </w:t>
      </w:r>
      <w:r w:rsidRPr="002E7956">
        <w:rPr>
          <w:b/>
          <w:bCs/>
          <w:lang w:val="cs-CZ"/>
        </w:rPr>
        <w:t>NRPP</w:t>
      </w:r>
      <w:r w:rsidRPr="002E7956">
        <w:rPr>
          <w:lang w:val="cs-CZ"/>
        </w:rPr>
        <w:t>, kde budou finanční nástroje stanovovány předem, včetně vymezení oblastí intervence, cílových skupin a rámcového finančního objemu. NRPP tak vytvoří stabilní a předvídatelný rámec pro jejich přípravu a</w:t>
      </w:r>
      <w:r w:rsidR="0024069B">
        <w:rPr>
          <w:lang w:val="cs-CZ"/>
        </w:rPr>
        <w:t> </w:t>
      </w:r>
      <w:r w:rsidRPr="002E7956">
        <w:rPr>
          <w:lang w:val="cs-CZ"/>
        </w:rPr>
        <w:t xml:space="preserve">následnou implementaci v programovém období. </w:t>
      </w:r>
      <w:r w:rsidRPr="002E7956">
        <w:rPr>
          <w:b/>
          <w:bCs/>
          <w:lang w:val="cs-CZ"/>
        </w:rPr>
        <w:t xml:space="preserve">Koordinační roli v tomto směru </w:t>
      </w:r>
      <w:r w:rsidR="00ED60CC">
        <w:rPr>
          <w:b/>
          <w:bCs/>
          <w:lang w:val="cs-CZ"/>
        </w:rPr>
        <w:t>plní</w:t>
      </w:r>
      <w:r w:rsidRPr="002E7956">
        <w:rPr>
          <w:b/>
          <w:bCs/>
          <w:lang w:val="cs-CZ"/>
        </w:rPr>
        <w:t xml:space="preserve"> </w:t>
      </w:r>
      <w:r w:rsidR="00DF77E5">
        <w:rPr>
          <w:b/>
          <w:bCs/>
          <w:lang w:val="cs-CZ"/>
        </w:rPr>
        <w:t>Národní orgán</w:t>
      </w:r>
      <w:r w:rsidRPr="002E7956">
        <w:rPr>
          <w:b/>
          <w:bCs/>
          <w:lang w:val="cs-CZ"/>
        </w:rPr>
        <w:t xml:space="preserve"> pro </w:t>
      </w:r>
      <w:r w:rsidR="00DF77E5">
        <w:rPr>
          <w:b/>
          <w:bCs/>
          <w:lang w:val="cs-CZ"/>
        </w:rPr>
        <w:t>koordinaci (NOK)</w:t>
      </w:r>
      <w:r w:rsidRPr="002E7956">
        <w:rPr>
          <w:lang w:val="cs-CZ"/>
        </w:rPr>
        <w:t>, kter</w:t>
      </w:r>
      <w:r w:rsidR="00DF77E5">
        <w:rPr>
          <w:lang w:val="cs-CZ"/>
        </w:rPr>
        <w:t>ý</w:t>
      </w:r>
      <w:r w:rsidRPr="002E7956">
        <w:rPr>
          <w:lang w:val="cs-CZ"/>
        </w:rPr>
        <w:t xml:space="preserve"> </w:t>
      </w:r>
      <w:r w:rsidR="00ED60CC">
        <w:rPr>
          <w:lang w:val="cs-CZ"/>
        </w:rPr>
        <w:t xml:space="preserve">ve spolupráci s věcně příslušnými </w:t>
      </w:r>
      <w:r w:rsidR="004C1E2D">
        <w:rPr>
          <w:lang w:val="cs-CZ"/>
        </w:rPr>
        <w:t xml:space="preserve">resorty a </w:t>
      </w:r>
      <w:r w:rsidR="00953AA8">
        <w:rPr>
          <w:lang w:val="cs-CZ"/>
        </w:rPr>
        <w:t xml:space="preserve">subjekty realizujícími FN </w:t>
      </w:r>
      <w:r w:rsidRPr="002E7956">
        <w:rPr>
          <w:lang w:val="cs-CZ"/>
        </w:rPr>
        <w:t>zajistí jednotný rámec přípravy finančních nástrojů, jejich vzájemnou provázanost a soulad s celkovou strategií veřejných investic.</w:t>
      </w:r>
    </w:p>
    <w:p w:rsidR="00DF77E5" w:rsidRPr="000F2C87" w:rsidP="00C13D55" w14:paraId="46CB372B" w14:textId="77777777">
      <w:pPr>
        <w:jc w:val="both"/>
        <w:rPr>
          <w:lang w:val="cs-CZ"/>
        </w:rPr>
      </w:pPr>
    </w:p>
    <w:p w:rsidR="00EF6D4E" w:rsidRPr="00B64BDB" w:rsidP="00B64BDB" w14:paraId="101465D6" w14:textId="08F9457F">
      <w:pPr>
        <w:pStyle w:val="Heading3"/>
      </w:pPr>
      <w:r w:rsidRPr="00B64BDB">
        <w:t>Náročnost podmínek</w:t>
      </w:r>
    </w:p>
    <w:p w:rsidR="00A7048E" w:rsidRPr="000F2C87" w:rsidP="00A7048E" w14:paraId="5E15695E" w14:textId="24626837">
      <w:pPr>
        <w:jc w:val="both"/>
        <w:rPr>
          <w:lang w:val="cs-CZ"/>
        </w:rPr>
      </w:pPr>
      <w:r w:rsidRPr="000F2C87">
        <w:rPr>
          <w:lang w:val="cs-CZ"/>
        </w:rPr>
        <w:t xml:space="preserve">Současná implementace finančních nástrojů je často </w:t>
      </w:r>
      <w:r w:rsidRPr="009B5583">
        <w:rPr>
          <w:b/>
          <w:lang w:val="cs-CZ"/>
        </w:rPr>
        <w:t>zatížena složitostí podmínek jednotlivých výzev a vysokou administrativní náročností</w:t>
      </w:r>
      <w:r w:rsidRPr="000F2C87">
        <w:rPr>
          <w:lang w:val="cs-CZ"/>
        </w:rPr>
        <w:t>. Konečný příjemce musí v</w:t>
      </w:r>
      <w:r w:rsidRPr="000F2C87">
        <w:rPr>
          <w:rFonts w:ascii="Arial" w:hAnsi="Arial" w:cs="Arial"/>
          <w:lang w:val="cs-CZ"/>
        </w:rPr>
        <w:t> </w:t>
      </w:r>
      <w:r w:rsidRPr="000F2C87">
        <w:rPr>
          <w:lang w:val="cs-CZ"/>
        </w:rPr>
        <w:t>řadě případů komunikovat se dvěma různými institucemi – s poskytovatelem podpory a zároveň s</w:t>
      </w:r>
      <w:r w:rsidR="0024069B">
        <w:rPr>
          <w:lang w:val="cs-CZ"/>
        </w:rPr>
        <w:t> </w:t>
      </w:r>
      <w:r w:rsidRPr="000F2C87">
        <w:rPr>
          <w:lang w:val="cs-CZ"/>
        </w:rPr>
        <w:t xml:space="preserve">finančním partnerem – což celý proces prodlužuje a </w:t>
      </w:r>
      <w:r w:rsidRPr="000F2C87" w:rsidR="00CB2B75">
        <w:rPr>
          <w:lang w:val="cs-CZ"/>
        </w:rPr>
        <w:t>nadměrně zatěžuje</w:t>
      </w:r>
      <w:r w:rsidRPr="000F2C87">
        <w:rPr>
          <w:lang w:val="cs-CZ"/>
        </w:rPr>
        <w:t xml:space="preserve">. Nastavení podmínek </w:t>
      </w:r>
      <w:r w:rsidRPr="000F2C87" w:rsidR="00CB2B75">
        <w:rPr>
          <w:lang w:val="cs-CZ"/>
        </w:rPr>
        <w:t xml:space="preserve">výzev </w:t>
      </w:r>
      <w:r w:rsidRPr="000F2C87" w:rsidR="002559E2">
        <w:rPr>
          <w:lang w:val="cs-CZ"/>
        </w:rPr>
        <w:t>FN často</w:t>
      </w:r>
      <w:r w:rsidRPr="000F2C87" w:rsidR="00CB2B75">
        <w:rPr>
          <w:lang w:val="cs-CZ"/>
        </w:rPr>
        <w:t xml:space="preserve"> </w:t>
      </w:r>
      <w:r w:rsidRPr="000F2C87" w:rsidR="00132E6F">
        <w:rPr>
          <w:lang w:val="cs-CZ"/>
        </w:rPr>
        <w:t xml:space="preserve">obsahuje nároky srovnatelné s dotačními </w:t>
      </w:r>
      <w:r w:rsidRPr="000F2C87" w:rsidR="007C1934">
        <w:rPr>
          <w:lang w:val="cs-CZ"/>
        </w:rPr>
        <w:t>výzvami,</w:t>
      </w:r>
      <w:r w:rsidRPr="000F2C87" w:rsidR="00132E6F">
        <w:rPr>
          <w:lang w:val="cs-CZ"/>
        </w:rPr>
        <w:t xml:space="preserve"> </w:t>
      </w:r>
      <w:r w:rsidRPr="000F2C87">
        <w:rPr>
          <w:lang w:val="cs-CZ"/>
        </w:rPr>
        <w:t>přestože se jedná o návratnou formu podpory, u níž se prostředky vracejí zpět do systému</w:t>
      </w:r>
      <w:r w:rsidRPr="000F2C87" w:rsidR="00132E6F">
        <w:rPr>
          <w:lang w:val="cs-CZ"/>
        </w:rPr>
        <w:t xml:space="preserve">. </w:t>
      </w:r>
    </w:p>
    <w:p w:rsidR="00FD1B60" w:rsidRPr="000F2C87" w:rsidP="00FD1B60" w14:paraId="0303CAE7" w14:textId="65F490AC">
      <w:pPr>
        <w:jc w:val="both"/>
        <w:rPr>
          <w:lang w:val="cs-CZ"/>
        </w:rPr>
      </w:pPr>
      <w:r w:rsidRPr="000F2C87">
        <w:rPr>
          <w:lang w:val="cs-CZ"/>
        </w:rPr>
        <w:t xml:space="preserve">Složitost podmínek a vysoká administrativní zátěž se následně </w:t>
      </w:r>
      <w:r w:rsidRPr="00B60C62">
        <w:rPr>
          <w:b/>
          <w:lang w:val="cs-CZ"/>
        </w:rPr>
        <w:t xml:space="preserve">promítají i do nízkého zájmu komerčních bank o zapojení </w:t>
      </w:r>
      <w:r w:rsidRPr="000F2C87">
        <w:rPr>
          <w:lang w:val="cs-CZ"/>
        </w:rPr>
        <w:t>do implementace finančních nástrojů. Banky často vyhodnocují tyto produkty jako příliš komplikované a málo atraktivní vzhledem k dodatečným požadavkům a</w:t>
      </w:r>
      <w:r w:rsidR="0024069B">
        <w:rPr>
          <w:lang w:val="cs-CZ"/>
        </w:rPr>
        <w:t> </w:t>
      </w:r>
      <w:r w:rsidRPr="000F2C87">
        <w:rPr>
          <w:lang w:val="cs-CZ"/>
        </w:rPr>
        <w:t>procesům, které nejsou běžné v komerční praxi. Stát tím přichází o významný pákový efekt, který by vznikl kombinací veřejných a soukromých zdrojů, a zároveň o možnost doplnit chybějící financování u projektů a investic, které jsou pro rozvoj regionů a ekonomiky nezbytné.</w:t>
      </w:r>
    </w:p>
    <w:p w:rsidR="00F20464" w:rsidRPr="00E3307C" w:rsidP="00F20464" w14:paraId="2C1D8B08" w14:textId="77777777">
      <w:pPr>
        <w:spacing w:line="257" w:lineRule="auto"/>
        <w:jc w:val="both"/>
        <w:rPr>
          <w:b/>
          <w:bCs/>
          <w:u w:val="single"/>
        </w:rPr>
      </w:pPr>
      <w:r w:rsidRPr="00E3307C">
        <w:rPr>
          <w:b/>
          <w:bCs/>
          <w:u w:val="single"/>
        </w:rPr>
        <w:t>Doporučení</w:t>
      </w:r>
      <w:r w:rsidRPr="008351BB">
        <w:rPr>
          <w:b/>
          <w:bCs/>
        </w:rPr>
        <w:t>:</w:t>
      </w:r>
    </w:p>
    <w:p w:rsidR="00F00896" w:rsidRPr="00F00896" w:rsidP="00F00896" w14:paraId="46098058" w14:textId="30C6FBDC">
      <w:pPr>
        <w:jc w:val="both"/>
        <w:rPr>
          <w:lang w:val="cs-CZ"/>
        </w:rPr>
      </w:pPr>
      <w:r w:rsidRPr="00F00896">
        <w:rPr>
          <w:lang w:val="cs-CZ"/>
        </w:rPr>
        <w:t>Je žádoucí zásadně zjednodušit a sjednotit podmínky implementace finančních nástrojů tak, aby</w:t>
      </w:r>
      <w:r w:rsidR="0024069B">
        <w:rPr>
          <w:lang w:val="cs-CZ"/>
        </w:rPr>
        <w:t> </w:t>
      </w:r>
      <w:r w:rsidRPr="00D8355F">
        <w:rPr>
          <w:b/>
          <w:lang w:val="cs-CZ"/>
        </w:rPr>
        <w:t>odpovídaly jejich povaze návratné podpory a byly více přizpůsobeny tržní praxi</w:t>
      </w:r>
      <w:r w:rsidRPr="00F00896">
        <w:rPr>
          <w:lang w:val="cs-CZ"/>
        </w:rPr>
        <w:t>. Podmínky výzev by měly být standardizované, přehledné a co nejvíce harmonizované napříč jednotlivými finančními nástroji i programy, v souladu s pravidly fondů EU. Cílem je snížit administrativní zátěž konečných příjemců, omezit duplicitu procesů a minimalizovat nutnost paralelní komunikace s</w:t>
      </w:r>
      <w:r w:rsidR="0024069B">
        <w:rPr>
          <w:lang w:val="cs-CZ"/>
        </w:rPr>
        <w:t> </w:t>
      </w:r>
      <w:r w:rsidRPr="00F00896">
        <w:rPr>
          <w:lang w:val="cs-CZ"/>
        </w:rPr>
        <w:t>více institucemi.</w:t>
      </w:r>
    </w:p>
    <w:p w:rsidR="00F00896" w:rsidRPr="00F00896" w:rsidP="00F00896" w14:paraId="601D0F6C" w14:textId="4CC05B7B">
      <w:pPr>
        <w:jc w:val="both"/>
        <w:rPr>
          <w:lang w:val="cs-CZ"/>
        </w:rPr>
      </w:pPr>
      <w:r w:rsidRPr="00F00896">
        <w:rPr>
          <w:lang w:val="cs-CZ"/>
        </w:rPr>
        <w:t xml:space="preserve">Současně je nezbytné nastavit </w:t>
      </w:r>
      <w:r w:rsidRPr="009B5583">
        <w:rPr>
          <w:b/>
          <w:bCs/>
          <w:lang w:val="cs-CZ"/>
        </w:rPr>
        <w:t>implementační model tak, aby byl atraktivní i pro komerční banky a další finanční partnery.</w:t>
      </w:r>
      <w:r w:rsidRPr="00F00896">
        <w:rPr>
          <w:lang w:val="cs-CZ"/>
        </w:rPr>
        <w:t xml:space="preserve"> To předpokládá omezení nadstandardních požadavků, které</w:t>
      </w:r>
      <w:r w:rsidR="0024069B">
        <w:rPr>
          <w:lang w:val="cs-CZ"/>
        </w:rPr>
        <w:t> </w:t>
      </w:r>
      <w:r w:rsidRPr="00F00896">
        <w:rPr>
          <w:lang w:val="cs-CZ"/>
        </w:rPr>
        <w:t>nejsou běžné v komerční praxi, a vytvoření jednotného rámce podmínek umožňujícího efektivní zapojení soukromého kapitálu. Zjednodušení a sjednocení podmínek je klíčovým předpokladem pro dosažení vyššího pákového efektu</w:t>
      </w:r>
      <w:r w:rsidR="003407FB">
        <w:rPr>
          <w:lang w:val="cs-CZ"/>
        </w:rPr>
        <w:t xml:space="preserve"> a</w:t>
      </w:r>
      <w:r w:rsidRPr="00F00896">
        <w:rPr>
          <w:lang w:val="cs-CZ"/>
        </w:rPr>
        <w:t xml:space="preserve"> širšího využívání </w:t>
      </w:r>
      <w:r w:rsidR="003407FB">
        <w:rPr>
          <w:lang w:val="cs-CZ"/>
        </w:rPr>
        <w:t>FN.</w:t>
      </w:r>
    </w:p>
    <w:p w:rsidR="005F054B" w:rsidRPr="000F2C87" w:rsidP="00FD1B60" w14:paraId="2BFD5719" w14:textId="7A623FCA">
      <w:pPr>
        <w:jc w:val="both"/>
        <w:rPr>
          <w:lang w:val="cs-CZ"/>
        </w:rPr>
      </w:pPr>
    </w:p>
    <w:p w:rsidR="00075A71" w:rsidRPr="00B64BDB" w:rsidP="00B64BDB" w14:paraId="0081AA45" w14:textId="053B808C">
      <w:pPr>
        <w:pStyle w:val="Heading3"/>
      </w:pPr>
      <w:r w:rsidRPr="00B64BDB">
        <w:t>Nedostatečné poradenství</w:t>
      </w:r>
    </w:p>
    <w:p w:rsidR="00E840CD" w:rsidP="00841AAD" w14:paraId="5892D514" w14:textId="77777777">
      <w:pPr>
        <w:spacing w:after="0" w:line="257" w:lineRule="auto"/>
        <w:jc w:val="both"/>
        <w:rPr>
          <w:lang w:val="cs-CZ"/>
        </w:rPr>
      </w:pPr>
      <w:r w:rsidRPr="00F01F20">
        <w:rPr>
          <w:lang w:val="cs-CZ"/>
        </w:rPr>
        <w:t>V současnosti není v České republice k dispozici plně ucelený a systematicky řízený systém poradenství pro finanční nástroje.</w:t>
      </w:r>
      <w:r>
        <w:rPr>
          <w:lang w:val="cs-CZ"/>
        </w:rPr>
        <w:t xml:space="preserve"> </w:t>
      </w:r>
    </w:p>
    <w:p w:rsidR="00E840CD" w:rsidP="00841AAD" w14:paraId="148826AE" w14:textId="77777777">
      <w:pPr>
        <w:spacing w:after="0" w:line="257" w:lineRule="auto"/>
        <w:jc w:val="both"/>
        <w:rPr>
          <w:lang w:val="cs-CZ"/>
        </w:rPr>
      </w:pPr>
    </w:p>
    <w:p w:rsidR="3D3DFFBE" w:rsidRPr="009B5583" w:rsidP="002C6D23" w14:paraId="29779F7A" w14:textId="7C9C557A">
      <w:pPr>
        <w:spacing w:line="257" w:lineRule="auto"/>
        <w:jc w:val="both"/>
        <w:rPr>
          <w:lang w:val="cs-CZ"/>
        </w:rPr>
      </w:pPr>
      <w:r w:rsidRPr="025137AC">
        <w:t xml:space="preserve">Poradenské služby pro finanční nástroje by měly být koncipovány jako </w:t>
      </w:r>
      <w:r w:rsidRPr="025137AC">
        <w:rPr>
          <w:b/>
          <w:bCs/>
        </w:rPr>
        <w:t>ucelený a systémově řízený nástroj podpory veřejných investic</w:t>
      </w:r>
      <w:r w:rsidRPr="025137AC">
        <w:t>. Jejich cílem je zajistit, aby jednotliví investoři z řad státu, krajů a obcí měli k dispozici odbornou podporu ve všech fázích přípravy a realizace projektů, a to včetně návrhu vhodného finančního nástroje a jeho následného využití. Současně je nezbytné zajistit, aby systém byl pro uživatele přehledný, srozumitelný a institucionálně stabilní.</w:t>
      </w:r>
    </w:p>
    <w:p w:rsidR="3D3DFFBE" w:rsidP="00841AAD" w14:paraId="0C54C09D" w14:textId="12B5B4DE">
      <w:pPr>
        <w:spacing w:line="257" w:lineRule="auto"/>
        <w:jc w:val="both"/>
      </w:pPr>
      <w:r w:rsidRPr="025137AC">
        <w:t>Poradenské služby by měly být organizovány do několika vzájemně provázaných funkčních oblastí. V první řadě se jedná o strategické a koncepční poradenství, které zahrnuje zejména přípravu sektorových strategií, identifikaci investičních potřeb a posuzování vhodnosti využití finančních nástrojů. Na tuto vrstvu navazuje podpora přípravy projektového zásobníku, včetně identifikace konkrétních projektů, jejich prioritizace a přípravy do fáze investiční připravenosti.</w:t>
      </w:r>
    </w:p>
    <w:p w:rsidR="3D3DFFBE" w:rsidP="00841AAD" w14:paraId="436B4FEF" w14:textId="24089C98">
      <w:pPr>
        <w:spacing w:line="257" w:lineRule="auto"/>
        <w:jc w:val="both"/>
      </w:pPr>
      <w:r w:rsidRPr="025137AC">
        <w:t>Bez ohledu na zvolený implementační model by měl systém poradenství pro finanční nástroje obsahovat tyto vrstvy:</w:t>
      </w:r>
    </w:p>
    <w:p w:rsidR="3D3DFFBE" w:rsidP="001311E2" w14:paraId="7885F179" w14:textId="2B7643C0">
      <w:pPr>
        <w:pStyle w:val="ListParagraph"/>
        <w:numPr>
          <w:ilvl w:val="0"/>
          <w:numId w:val="7"/>
        </w:numPr>
        <w:spacing w:after="0" w:line="257" w:lineRule="auto"/>
        <w:jc w:val="both"/>
      </w:pPr>
      <w:r w:rsidRPr="008F795D">
        <w:rPr>
          <w:b/>
          <w:bCs/>
        </w:rPr>
        <w:t>Strategické a koncepční poradenství</w:t>
      </w:r>
      <w:r w:rsidRPr="025137AC">
        <w:t xml:space="preserve"> (příprava finančního nástroje včetně zajištění mobilizace soukromého kapitálu)</w:t>
      </w:r>
    </w:p>
    <w:p w:rsidR="3D3DFFBE" w:rsidP="001311E2" w14:paraId="6503385D" w14:textId="4D7DF973">
      <w:pPr>
        <w:pStyle w:val="ListParagraph"/>
        <w:numPr>
          <w:ilvl w:val="0"/>
          <w:numId w:val="7"/>
        </w:numPr>
        <w:spacing w:after="0" w:line="257" w:lineRule="auto"/>
        <w:jc w:val="both"/>
      </w:pPr>
      <w:r w:rsidRPr="008F795D">
        <w:rPr>
          <w:b/>
          <w:bCs/>
        </w:rPr>
        <w:t xml:space="preserve">Příprava projektů a </w:t>
      </w:r>
      <w:r w:rsidRPr="008F795D">
        <w:rPr>
          <w:b/>
          <w:bCs/>
        </w:rPr>
        <w:t>pipeline</w:t>
      </w:r>
      <w:r w:rsidRPr="025137AC">
        <w:t xml:space="preserve"> (zejména s konečnými příjemci ve veřejném sektoru)</w:t>
      </w:r>
    </w:p>
    <w:p w:rsidR="3D3DFFBE" w:rsidP="001311E2" w14:paraId="4FBA9A16" w14:textId="66E64312">
      <w:pPr>
        <w:pStyle w:val="ListParagraph"/>
        <w:numPr>
          <w:ilvl w:val="0"/>
          <w:numId w:val="7"/>
        </w:numPr>
        <w:spacing w:after="0" w:line="257" w:lineRule="auto"/>
        <w:jc w:val="both"/>
      </w:pPr>
      <w:r w:rsidRPr="008F795D">
        <w:rPr>
          <w:b/>
          <w:bCs/>
        </w:rPr>
        <w:t>Implementační podpora finančních nástrojů</w:t>
      </w:r>
      <w:r w:rsidRPr="025137AC">
        <w:t xml:space="preserve"> (např. technická podpora v podobě energetických posudků atd.)</w:t>
      </w:r>
    </w:p>
    <w:p w:rsidR="3D3DFFBE" w:rsidRPr="008F795D" w:rsidP="001311E2" w14:paraId="26A9E82C" w14:textId="3046F61B">
      <w:pPr>
        <w:pStyle w:val="ListParagraph"/>
        <w:numPr>
          <w:ilvl w:val="0"/>
          <w:numId w:val="7"/>
        </w:numPr>
        <w:spacing w:after="0" w:line="257" w:lineRule="auto"/>
        <w:jc w:val="both"/>
        <w:rPr>
          <w:b/>
          <w:bCs/>
        </w:rPr>
      </w:pPr>
      <w:r w:rsidRPr="008F795D">
        <w:rPr>
          <w:b/>
          <w:bCs/>
        </w:rPr>
        <w:t xml:space="preserve">Znalostní a metodická platforma </w:t>
      </w:r>
    </w:p>
    <w:p w:rsidR="3429D83B" w:rsidP="3429D83B" w14:paraId="41D4BE90" w14:textId="2E35156E">
      <w:pPr>
        <w:spacing w:line="257" w:lineRule="auto"/>
        <w:jc w:val="both"/>
      </w:pPr>
    </w:p>
    <w:p w:rsidR="3D3DFFBE" w:rsidP="00841AAD" w14:paraId="3133B552" w14:textId="44F29AEC">
      <w:pPr>
        <w:spacing w:line="257" w:lineRule="auto"/>
        <w:jc w:val="both"/>
      </w:pPr>
      <w:r w:rsidRPr="025137AC">
        <w:t>Poradenství zároveň musí pokrývat celý životní cyklus finančního nástroje:</w:t>
      </w:r>
    </w:p>
    <w:p w:rsidR="3D3DFFBE" w:rsidP="001311E2" w14:paraId="71BBC533" w14:textId="3E5439A5">
      <w:pPr>
        <w:pStyle w:val="ListParagraph"/>
        <w:numPr>
          <w:ilvl w:val="0"/>
          <w:numId w:val="6"/>
        </w:numPr>
        <w:spacing w:after="0" w:line="257" w:lineRule="auto"/>
        <w:jc w:val="both"/>
      </w:pPr>
      <w:r w:rsidRPr="025137AC">
        <w:t xml:space="preserve">ex ante (analýzy, strategie, design FN), </w:t>
      </w:r>
    </w:p>
    <w:p w:rsidR="3D3DFFBE" w:rsidP="001311E2" w14:paraId="29D9C350" w14:textId="6AC4C22E">
      <w:pPr>
        <w:pStyle w:val="ListParagraph"/>
        <w:numPr>
          <w:ilvl w:val="0"/>
          <w:numId w:val="6"/>
        </w:numPr>
        <w:spacing w:after="0" w:line="257" w:lineRule="auto"/>
        <w:jc w:val="both"/>
      </w:pPr>
      <w:r w:rsidRPr="025137AC">
        <w:t xml:space="preserve">implementace (nastavení a spuštění nástrojů), </w:t>
      </w:r>
    </w:p>
    <w:p w:rsidR="00A54026" w:rsidP="00587F7A" w14:paraId="32643128" w14:textId="1A959286">
      <w:pPr>
        <w:pStyle w:val="ListParagraph"/>
        <w:numPr>
          <w:ilvl w:val="0"/>
          <w:numId w:val="6"/>
        </w:numPr>
        <w:spacing w:after="240" w:line="257" w:lineRule="auto"/>
        <w:jc w:val="both"/>
        <w:rPr>
          <w:b/>
          <w:u w:val="single"/>
        </w:rPr>
      </w:pPr>
      <w:r w:rsidRPr="025137AC">
        <w:t xml:space="preserve">ex post (evaluace, úpravy, </w:t>
      </w:r>
      <w:r w:rsidRPr="025137AC">
        <w:t>scaling</w:t>
      </w:r>
      <w:r w:rsidRPr="025137AC">
        <w:t>).</w:t>
      </w:r>
    </w:p>
    <w:p w:rsidR="00872A96" w:rsidRPr="009B5583" w:rsidP="009E4976" w14:paraId="09C9052C" w14:textId="3732C960">
      <w:pPr>
        <w:spacing w:line="257" w:lineRule="auto"/>
        <w:jc w:val="both"/>
        <w:rPr>
          <w:b/>
          <w:u w:val="single"/>
        </w:rPr>
      </w:pPr>
      <w:r w:rsidRPr="009B5583">
        <w:rPr>
          <w:b/>
          <w:u w:val="single"/>
        </w:rPr>
        <w:t>Doporučení:</w:t>
      </w:r>
    </w:p>
    <w:p w:rsidR="003C33AF" w:rsidRPr="003C33AF" w:rsidP="003C33AF" w14:paraId="48BA532F" w14:textId="77777777">
      <w:pPr>
        <w:spacing w:line="257" w:lineRule="auto"/>
        <w:jc w:val="both"/>
        <w:rPr>
          <w:lang w:val="cs-CZ"/>
        </w:rPr>
      </w:pPr>
      <w:r w:rsidRPr="003C33AF">
        <w:rPr>
          <w:lang w:val="cs-CZ"/>
        </w:rPr>
        <w:t xml:space="preserve">Systém poradenských služeb by měl mít jasně vymezené kompetence pro </w:t>
      </w:r>
      <w:r w:rsidRPr="003C33AF">
        <w:rPr>
          <w:b/>
          <w:bCs/>
          <w:lang w:val="cs-CZ"/>
        </w:rPr>
        <w:t>nastavení finančních produktů a práci se zadavateli</w:t>
      </w:r>
      <w:r w:rsidRPr="003C33AF">
        <w:rPr>
          <w:lang w:val="cs-CZ"/>
        </w:rPr>
        <w:t>, včetně metodické podpory při přípravě trhu, mobilizaci soukromého kapitálu a zapojení finančních partnerů.</w:t>
      </w:r>
    </w:p>
    <w:p w:rsidR="003C33AF" w:rsidP="003C33AF" w14:paraId="2F161AFA" w14:textId="76AA23A9">
      <w:pPr>
        <w:spacing w:line="257" w:lineRule="auto"/>
        <w:jc w:val="both"/>
        <w:rPr>
          <w:lang w:val="cs-CZ"/>
        </w:rPr>
      </w:pPr>
      <w:r w:rsidRPr="003C33AF">
        <w:rPr>
          <w:lang w:val="cs-CZ"/>
        </w:rPr>
        <w:t xml:space="preserve">Současně je nezbytné zajistit </w:t>
      </w:r>
      <w:r w:rsidRPr="003C33AF">
        <w:rPr>
          <w:b/>
          <w:bCs/>
          <w:lang w:val="cs-CZ"/>
        </w:rPr>
        <w:t>poradenskou podporu v území</w:t>
      </w:r>
      <w:r w:rsidRPr="003C33AF">
        <w:rPr>
          <w:lang w:val="cs-CZ"/>
        </w:rPr>
        <w:t>, zaměřenou na kraje, obce a další veřejné investory. V návaznosti na zvolený implementační model musí být určeny subjekty, které</w:t>
      </w:r>
      <w:r w:rsidR="002E4426">
        <w:rPr>
          <w:lang w:val="cs-CZ"/>
        </w:rPr>
        <w:t> </w:t>
      </w:r>
      <w:r w:rsidRPr="003C33AF">
        <w:rPr>
          <w:lang w:val="cs-CZ"/>
        </w:rPr>
        <w:t>tuto službu fakticky zajistí, zejména při přípravě konkrétních projektů a jejich uvedení do</w:t>
      </w:r>
      <w:r w:rsidR="002E4426">
        <w:rPr>
          <w:lang w:val="cs-CZ"/>
        </w:rPr>
        <w:t> </w:t>
      </w:r>
      <w:r w:rsidRPr="003C33AF">
        <w:rPr>
          <w:lang w:val="cs-CZ"/>
        </w:rPr>
        <w:t>pipeline</w:t>
      </w:r>
      <w:r w:rsidRPr="003C33AF">
        <w:rPr>
          <w:lang w:val="cs-CZ"/>
        </w:rPr>
        <w:t xml:space="preserve"> finančních nástrojů.</w:t>
      </w:r>
    </w:p>
    <w:p w:rsidR="00D7439F" w:rsidRPr="003C33AF" w:rsidP="003C33AF" w14:paraId="51DE99C8" w14:textId="1F10F9ED">
      <w:pPr>
        <w:spacing w:line="257" w:lineRule="auto"/>
        <w:jc w:val="both"/>
        <w:rPr>
          <w:lang w:val="cs-CZ"/>
        </w:rPr>
      </w:pPr>
      <w:r w:rsidRPr="00BF61C3">
        <w:rPr>
          <w:lang w:val="cs-CZ"/>
        </w:rPr>
        <w:t xml:space="preserve">Zároveň je vhodné </w:t>
      </w:r>
      <w:r w:rsidRPr="00BF61C3">
        <w:rPr>
          <w:b/>
          <w:bCs/>
          <w:lang w:val="cs-CZ"/>
        </w:rPr>
        <w:t>maximálně využít stávající sítě, institucionální kapacity a územní působnost existujících subjektů</w:t>
      </w:r>
      <w:r w:rsidRPr="00BF61C3">
        <w:rPr>
          <w:lang w:val="cs-CZ"/>
        </w:rPr>
        <w:t>, zejména SFPI, Centra pro regionální rozvoj České republiky (CRR) a dalších relevantních organizací působících v území. Tyto instituce již disponují funkčními kontakty na kraje, obce a další veřejné investory, praktickou znalostí místního kontextu a</w:t>
      </w:r>
      <w:r w:rsidR="003B6896">
        <w:rPr>
          <w:lang w:val="cs-CZ"/>
        </w:rPr>
        <w:t> </w:t>
      </w:r>
      <w:r w:rsidRPr="00BF61C3">
        <w:rPr>
          <w:lang w:val="cs-CZ"/>
        </w:rPr>
        <w:t>zkušenostmi s přípravou projektů, což umožňuje zajistit poradenskou podporu efektivně a bez nutnosti vytvářet zcela nové struktury. Zapojení těchto existujících kapacit zároveň přispěje k</w:t>
      </w:r>
      <w:r w:rsidR="003B6896">
        <w:rPr>
          <w:lang w:val="cs-CZ"/>
        </w:rPr>
        <w:t> </w:t>
      </w:r>
      <w:r w:rsidRPr="00BF61C3">
        <w:rPr>
          <w:lang w:val="cs-CZ"/>
        </w:rPr>
        <w:t xml:space="preserve">rychlejší operacionalizaci poradenského systému, vyšší dostupnosti služeb v území a lepší provázanosti přípravy projektů s </w:t>
      </w:r>
      <w:r w:rsidRPr="00BF61C3">
        <w:rPr>
          <w:lang w:val="cs-CZ"/>
        </w:rPr>
        <w:t>pipeline</w:t>
      </w:r>
      <w:r w:rsidRPr="00BF61C3">
        <w:rPr>
          <w:lang w:val="cs-CZ"/>
        </w:rPr>
        <w:t xml:space="preserve"> finančních nástrojů.</w:t>
      </w:r>
    </w:p>
    <w:p w:rsidR="002814FF" w:rsidP="009E4976" w14:paraId="2B131B1E" w14:textId="1C431ABA">
      <w:pPr>
        <w:spacing w:line="257" w:lineRule="auto"/>
        <w:jc w:val="both"/>
        <w:rPr>
          <w:lang w:val="cs-CZ"/>
        </w:rPr>
      </w:pPr>
      <w:r w:rsidRPr="0079306A">
        <w:rPr>
          <w:lang w:val="cs-CZ"/>
        </w:rPr>
        <w:t xml:space="preserve">Nedílnou součástí systému musí být </w:t>
      </w:r>
      <w:r w:rsidRPr="00E67895">
        <w:rPr>
          <w:b/>
          <w:lang w:val="cs-CZ"/>
        </w:rPr>
        <w:t>edukace, proškolování a předávání know</w:t>
      </w:r>
      <w:r w:rsidRPr="00E67895">
        <w:rPr>
          <w:b/>
          <w:lang w:val="cs-CZ"/>
        </w:rPr>
        <w:noBreakHyphen/>
        <w:t>how</w:t>
      </w:r>
      <w:r w:rsidRPr="0079306A">
        <w:rPr>
          <w:lang w:val="cs-CZ"/>
        </w:rPr>
        <w:t>, které by měly být ideálně zajišťovány z pozice NOK ve spolupráci s dalšími klíčovými aktéry, s cílem koordinovat implementaci finančních nástrojů, a to jak z hlediska jednotného metodického přístupu k jejich využívání, tak i jejich komplementarity napříč územím a sektory.</w:t>
      </w:r>
    </w:p>
    <w:p w:rsidR="00B64BDB" w:rsidRPr="002814FF" w:rsidP="009E4976" w14:paraId="4132D5D7" w14:textId="77777777">
      <w:pPr>
        <w:spacing w:line="257" w:lineRule="auto"/>
        <w:jc w:val="both"/>
        <w:rPr>
          <w:lang w:val="cs-CZ"/>
        </w:rPr>
      </w:pPr>
    </w:p>
    <w:p w:rsidR="0077510C" w:rsidRPr="00B64BDB" w:rsidP="00B64BDB" w14:paraId="78673693" w14:textId="7C99CC6D">
      <w:pPr>
        <w:pStyle w:val="Heading3"/>
      </w:pPr>
      <w:r w:rsidRPr="00B64BDB">
        <w:t>Personální a technické kapacity</w:t>
      </w:r>
    </w:p>
    <w:p w:rsidR="0077510C" w:rsidRPr="000F2C87" w:rsidP="0077510C" w14:paraId="2AA5A754" w14:textId="77777777">
      <w:pPr>
        <w:jc w:val="both"/>
        <w:rPr>
          <w:lang w:val="cs-CZ"/>
        </w:rPr>
      </w:pPr>
      <w:r w:rsidRPr="000F2C87">
        <w:rPr>
          <w:lang w:val="cs-CZ"/>
        </w:rPr>
        <w:t xml:space="preserve">Limitujícím faktorem širšího a systematického využívání finančních nástrojů v českém prostředí je rovněž omezená technická a personální kapacita na úrovni subjektů, které finanční nástroje připravují, spravují či implementují. Mnohé instituce se potýkají </w:t>
      </w:r>
      <w:r w:rsidRPr="00957CCB">
        <w:rPr>
          <w:b/>
          <w:lang w:val="cs-CZ"/>
        </w:rPr>
        <w:t>s nedostatkem kvalifikovaných odborníků,</w:t>
      </w:r>
      <w:r w:rsidRPr="000F2C87">
        <w:rPr>
          <w:lang w:val="cs-CZ"/>
        </w:rPr>
        <w:t xml:space="preserve"> kteří by disponovali potřebnými znalostmi v oblasti investičního financování, řízení rizik, přípravy finančních modelů či hodnoticích metodik zaměřených na návratnost projektů. Tento deficit se projevuje jak ve fázi návrhu nástroje, tak v jeho praktickém provádění, monitoringu a následném vyhodnocování dopadů.</w:t>
      </w:r>
    </w:p>
    <w:p w:rsidR="0077510C" w:rsidRPr="000F2C87" w:rsidP="0077510C" w14:paraId="18AE1531" w14:textId="4ACDD72A">
      <w:pPr>
        <w:jc w:val="both"/>
        <w:rPr>
          <w:lang w:val="cs-CZ"/>
        </w:rPr>
      </w:pPr>
      <w:r w:rsidRPr="000F2C87">
        <w:rPr>
          <w:lang w:val="cs-CZ"/>
        </w:rPr>
        <w:t xml:space="preserve">Úspěšná implementace finančních nástrojů přitom předpokládá nejen vhodné legislativní, institucionální a finanční prostředí, ale také dostatečně rozvinuté personální a organizační kapacity. Finanční nástroje svou povahou představují komplexnější formu podpory než tradiční dotace </w:t>
      </w:r>
      <w:r w:rsidR="00C01756">
        <w:rPr>
          <w:lang w:val="cs-CZ"/>
        </w:rPr>
        <w:t>–</w:t>
      </w:r>
      <w:r w:rsidRPr="000F2C87">
        <w:rPr>
          <w:lang w:val="cs-CZ"/>
        </w:rPr>
        <w:t xml:space="preserve"> jejich nastavení je více technické, vyžaduje sofistikovanější analýzy, práci s rizikovými scénáři a aktivní správu investic. Tím se </w:t>
      </w:r>
      <w:r w:rsidRPr="000E4444">
        <w:rPr>
          <w:b/>
          <w:lang w:val="cs-CZ"/>
        </w:rPr>
        <w:t>zvyšují nároky na znalosti v oblasti kapitálových trhů, úvěrových mechanismů, strukturování finančních produktů či sledování výkonnosti portfolia</w:t>
      </w:r>
      <w:r w:rsidRPr="000F2C87">
        <w:rPr>
          <w:lang w:val="cs-CZ"/>
        </w:rPr>
        <w:t>.</w:t>
      </w:r>
    </w:p>
    <w:p w:rsidR="0077510C" w:rsidRPr="000F2C87" w:rsidP="0077510C" w14:paraId="1B2545CD" w14:textId="615BBC29">
      <w:pPr>
        <w:jc w:val="both"/>
        <w:rPr>
          <w:lang w:val="cs-CZ"/>
        </w:rPr>
      </w:pPr>
      <w:r w:rsidRPr="000F2C87">
        <w:rPr>
          <w:lang w:val="cs-CZ"/>
        </w:rPr>
        <w:t>Z těchto důvodů je nezbytné systematicky posilovat odborné zázemí jak u řídicích orgánů a</w:t>
      </w:r>
      <w:r w:rsidR="00263FC5">
        <w:rPr>
          <w:lang w:val="cs-CZ"/>
        </w:rPr>
        <w:t> </w:t>
      </w:r>
      <w:r w:rsidRPr="000F2C87">
        <w:rPr>
          <w:lang w:val="cs-CZ"/>
        </w:rPr>
        <w:t xml:space="preserve">implementačních partnerů, tak u poskytovatelů podpory či institucí spravujících jednotlivé nástroje. Klíčovou roli zde může hrát cílené odborné vzdělávání, sdílení zkušeností a zavádění jednotných metodických postupů. Stejně důležitá je však i stabilizace lidských </w:t>
      </w:r>
      <w:r w:rsidRPr="000F2C87" w:rsidR="00A34012">
        <w:rPr>
          <w:lang w:val="cs-CZ"/>
        </w:rPr>
        <w:t xml:space="preserve">zdrojů </w:t>
      </w:r>
      <w:r w:rsidR="00A34012">
        <w:rPr>
          <w:lang w:val="cs-CZ"/>
        </w:rPr>
        <w:t>– schopnost</w:t>
      </w:r>
      <w:r w:rsidRPr="000F2C87">
        <w:rPr>
          <w:lang w:val="cs-CZ"/>
        </w:rPr>
        <w:t xml:space="preserve"> dlouhodobě udržet kvalifikované pracovníky a budovat týmy s kontinuálním know</w:t>
      </w:r>
      <w:r w:rsidRPr="000F2C87">
        <w:rPr>
          <w:lang w:val="cs-CZ"/>
        </w:rPr>
        <w:noBreakHyphen/>
        <w:t>how, které se mohou rozvíjet napříč programovými obdobími.</w:t>
      </w:r>
    </w:p>
    <w:p w:rsidR="00FB7F6E" w:rsidP="009B5583" w14:paraId="03EABE45" w14:textId="77777777">
      <w:pPr>
        <w:spacing w:line="257" w:lineRule="auto"/>
        <w:jc w:val="both"/>
        <w:rPr>
          <w:lang w:val="cs-CZ"/>
        </w:rPr>
      </w:pPr>
      <w:r w:rsidRPr="000F2C87">
        <w:rPr>
          <w:lang w:val="cs-CZ"/>
        </w:rPr>
        <w:t>Posílení těchto kapacit je předpokladem pro to, aby finanční nástroje mohly být v budoucnu využívány efektivněji a ambiciózněji, a aby jejich potenciál pro podporu investic byl v českém prostředí plně rozvinut.</w:t>
      </w:r>
    </w:p>
    <w:p w:rsidR="00216C7B" w:rsidRPr="009B5583" w:rsidP="009B5583" w14:paraId="2F4BD06B" w14:textId="3AAFC379">
      <w:pPr>
        <w:spacing w:line="257" w:lineRule="auto"/>
        <w:jc w:val="both"/>
        <w:rPr>
          <w:b/>
          <w:u w:val="single"/>
        </w:rPr>
      </w:pPr>
      <w:r w:rsidRPr="00E3307C">
        <w:rPr>
          <w:b/>
          <w:bCs/>
          <w:u w:val="single"/>
        </w:rPr>
        <w:t>Doporučení:</w:t>
      </w:r>
    </w:p>
    <w:p w:rsidR="00D30247" w:rsidRPr="00D30247" w:rsidP="00D30247" w14:paraId="524E7F6A" w14:textId="3B658ADC">
      <w:pPr>
        <w:jc w:val="both"/>
        <w:rPr>
          <w:lang w:val="cs-CZ"/>
        </w:rPr>
      </w:pPr>
      <w:r w:rsidRPr="00216C7B">
        <w:rPr>
          <w:lang w:val="cs-CZ"/>
        </w:rPr>
        <w:t xml:space="preserve">Je nezbytné systematicky posílit odborné a personální kapacity institucí zapojených do přípravy, řízení a implementace finančních nástrojů, </w:t>
      </w:r>
      <w:r w:rsidRPr="009B5583">
        <w:rPr>
          <w:b/>
          <w:bCs/>
          <w:lang w:val="cs-CZ"/>
        </w:rPr>
        <w:t xml:space="preserve">a to prostřednictvím cílených investic </w:t>
      </w:r>
      <w:r w:rsidRPr="00263FC5">
        <w:rPr>
          <w:b/>
          <w:lang w:val="cs-CZ"/>
        </w:rPr>
        <w:t>do</w:t>
      </w:r>
      <w:r w:rsidR="00263FC5">
        <w:rPr>
          <w:b/>
          <w:bCs/>
          <w:lang w:val="cs-CZ"/>
        </w:rPr>
        <w:t> </w:t>
      </w:r>
      <w:r w:rsidRPr="00263FC5">
        <w:rPr>
          <w:b/>
          <w:lang w:val="cs-CZ"/>
        </w:rPr>
        <w:t xml:space="preserve">odborného </w:t>
      </w:r>
      <w:r w:rsidRPr="009B5583">
        <w:rPr>
          <w:b/>
          <w:bCs/>
          <w:lang w:val="cs-CZ"/>
        </w:rPr>
        <w:t xml:space="preserve">vzdělávání, </w:t>
      </w:r>
      <w:r w:rsidRPr="00D30247">
        <w:rPr>
          <w:lang w:val="cs-CZ"/>
        </w:rPr>
        <w:t>rozvoje specializovaných kompetencí a zavádění jednotných metodických postupů v oblasti investičního financování, řízení rizik, finančního modelování a</w:t>
      </w:r>
      <w:r w:rsidR="00263FC5">
        <w:rPr>
          <w:lang w:val="cs-CZ"/>
        </w:rPr>
        <w:t> </w:t>
      </w:r>
      <w:r w:rsidRPr="00D30247">
        <w:rPr>
          <w:lang w:val="cs-CZ"/>
        </w:rPr>
        <w:t>hodnocení návratnosti projektů.</w:t>
      </w:r>
      <w:r>
        <w:rPr>
          <w:lang w:val="cs-CZ"/>
        </w:rPr>
        <w:t xml:space="preserve"> </w:t>
      </w:r>
      <w:r w:rsidRPr="00D30247">
        <w:rPr>
          <w:lang w:val="cs-CZ"/>
        </w:rPr>
        <w:t xml:space="preserve">Součástí řešení by mělo být také vytvoření stabilního metodického a znalostního zázemí, které </w:t>
      </w:r>
      <w:r w:rsidRPr="009B5583">
        <w:rPr>
          <w:b/>
          <w:bCs/>
          <w:lang w:val="cs-CZ"/>
        </w:rPr>
        <w:t>sníží závislost na ad</w:t>
      </w:r>
      <w:r w:rsidRPr="009B5583">
        <w:rPr>
          <w:b/>
          <w:bCs/>
          <w:lang w:val="cs-CZ"/>
        </w:rPr>
        <w:noBreakHyphen/>
        <w:t xml:space="preserve">hoc expertních kapacitách </w:t>
      </w:r>
      <w:r w:rsidRPr="00263FC5">
        <w:rPr>
          <w:b/>
          <w:lang w:val="cs-CZ"/>
        </w:rPr>
        <w:t>a</w:t>
      </w:r>
      <w:r w:rsidR="00263FC5">
        <w:rPr>
          <w:b/>
          <w:bCs/>
          <w:lang w:val="cs-CZ"/>
        </w:rPr>
        <w:t> </w:t>
      </w:r>
      <w:r w:rsidRPr="00263FC5">
        <w:rPr>
          <w:b/>
          <w:lang w:val="cs-CZ"/>
        </w:rPr>
        <w:t>u</w:t>
      </w:r>
      <w:r w:rsidRPr="009B5583">
        <w:rPr>
          <w:b/>
          <w:bCs/>
          <w:lang w:val="cs-CZ"/>
        </w:rPr>
        <w:t>možní efektivnější přípravu i správu finančních nástrojů napříč programy</w:t>
      </w:r>
      <w:r w:rsidRPr="00D30247">
        <w:rPr>
          <w:lang w:val="cs-CZ"/>
        </w:rPr>
        <w:t>.</w:t>
      </w:r>
    </w:p>
    <w:p w:rsidR="00D30247" w:rsidRPr="00D30247" w:rsidP="00D30247" w14:paraId="287AE498" w14:textId="77777777">
      <w:pPr>
        <w:jc w:val="both"/>
        <w:rPr>
          <w:lang w:val="cs-CZ"/>
        </w:rPr>
      </w:pPr>
      <w:r w:rsidRPr="00D30247">
        <w:rPr>
          <w:lang w:val="cs-CZ"/>
        </w:rPr>
        <w:t>Současně je žádoucí zaměřit se na</w:t>
      </w:r>
      <w:r w:rsidRPr="009B5583">
        <w:rPr>
          <w:b/>
          <w:bCs/>
          <w:lang w:val="cs-CZ"/>
        </w:rPr>
        <w:t xml:space="preserve"> dlouhodobou stabilizaci lidských zdrojů a budování institucionální paměti</w:t>
      </w:r>
      <w:r w:rsidRPr="00D30247">
        <w:rPr>
          <w:lang w:val="cs-CZ"/>
        </w:rPr>
        <w:t>. Finanční nástroje by neměly být rozvíjeny pouze projektově, ale jako trvalá součást systému veřejných investic, což předpokládá kontinuitu odborných týmů napříč programovými obdobími. Posílení kapacit v této oblasti je klíčovým předpokladem pro kvalitní návrh finančních nástrojů, jejich efektivní implementaci i schopnost reagovat na nové investiční potřeby a strategické priority.</w:t>
      </w:r>
    </w:p>
    <w:p w:rsidR="025137AC" w:rsidP="025137AC" w14:paraId="47422B31" w14:textId="2911BD31">
      <w:pPr>
        <w:jc w:val="both"/>
        <w:rPr>
          <w:lang w:val="cs-CZ"/>
        </w:rPr>
      </w:pPr>
    </w:p>
    <w:p w:rsidR="00A37F4B" w:rsidRPr="00B64BDB" w:rsidP="00B64BDB" w14:paraId="39E54FA7" w14:textId="33445FD1">
      <w:pPr>
        <w:pStyle w:val="Heading3"/>
      </w:pPr>
      <w:r w:rsidRPr="00B64BDB">
        <w:t>Institucionální roztříštěnost</w:t>
      </w:r>
    </w:p>
    <w:p w:rsidR="004B7934" w:rsidRPr="004B7934" w:rsidP="004B7934" w14:paraId="6CF34375" w14:textId="08D7F511">
      <w:pPr>
        <w:spacing w:line="257" w:lineRule="auto"/>
        <w:jc w:val="both"/>
        <w:rPr>
          <w:lang w:val="cs-CZ"/>
        </w:rPr>
      </w:pPr>
      <w:r w:rsidRPr="004B7934">
        <w:rPr>
          <w:lang w:val="cs-CZ"/>
        </w:rPr>
        <w:t xml:space="preserve">V současnosti je poskytování </w:t>
      </w:r>
      <w:r w:rsidR="007B69DF">
        <w:rPr>
          <w:lang w:val="cs-CZ"/>
        </w:rPr>
        <w:t>FN</w:t>
      </w:r>
      <w:r w:rsidRPr="004B7934">
        <w:rPr>
          <w:lang w:val="cs-CZ"/>
        </w:rPr>
        <w:t xml:space="preserve"> </w:t>
      </w:r>
      <w:r w:rsidRPr="004B7934">
        <w:rPr>
          <w:b/>
          <w:lang w:val="cs-CZ"/>
        </w:rPr>
        <w:t>zajišťováno souběžně několika institucemi, často v</w:t>
      </w:r>
      <w:r w:rsidR="00C01756">
        <w:rPr>
          <w:b/>
          <w:lang w:val="cs-CZ"/>
        </w:rPr>
        <w:t> </w:t>
      </w:r>
      <w:r w:rsidRPr="004B7934">
        <w:rPr>
          <w:b/>
          <w:lang w:val="cs-CZ"/>
        </w:rPr>
        <w:t>obdobných oblastech podpory, avšak pod hlavičkou různých resortů</w:t>
      </w:r>
      <w:r>
        <w:rPr>
          <w:lang w:val="cs-CZ"/>
        </w:rPr>
        <w:t>.</w:t>
      </w:r>
    </w:p>
    <w:p w:rsidR="00BD17FF" w:rsidP="00BD17FF" w14:paraId="10007EC2" w14:textId="5F7A1857">
      <w:pPr>
        <w:spacing w:line="257" w:lineRule="auto"/>
        <w:jc w:val="both"/>
        <w:rPr>
          <w:lang w:val="cs-CZ"/>
        </w:rPr>
      </w:pPr>
      <w:r>
        <w:rPr>
          <w:lang w:val="cs-CZ"/>
        </w:rPr>
        <w:t>Tato i</w:t>
      </w:r>
      <w:r w:rsidRPr="00BD17FF">
        <w:rPr>
          <w:lang w:val="cs-CZ"/>
        </w:rPr>
        <w:t xml:space="preserve">nstitucionální roztříštěnost a překryv kompetencí mezi jednotlivými subjekty zapojenými do implementace </w:t>
      </w:r>
      <w:r>
        <w:rPr>
          <w:lang w:val="cs-CZ"/>
        </w:rPr>
        <w:t xml:space="preserve">FN </w:t>
      </w:r>
      <w:r w:rsidRPr="00BD17FF">
        <w:rPr>
          <w:lang w:val="cs-CZ"/>
        </w:rPr>
        <w:t>vedou k nejasnému rozdělení odpovědností, duplicitním činnostem a</w:t>
      </w:r>
      <w:r w:rsidR="00C01756">
        <w:rPr>
          <w:lang w:val="cs-CZ"/>
        </w:rPr>
        <w:t> </w:t>
      </w:r>
      <w:r w:rsidRPr="00BD17FF">
        <w:rPr>
          <w:lang w:val="cs-CZ"/>
        </w:rPr>
        <w:t xml:space="preserve">neefektivnímu využívání veřejných zdrojů. V praxi to komplikuje přípravu a koordinaci finančních nástrojů, prodlužuje rozhodovací procesy a zvyšuje administrativní zátěž jak na straně institucí, tak konečných příjemců. </w:t>
      </w:r>
    </w:p>
    <w:p w:rsidR="004B7934" w:rsidRPr="004B7934" w:rsidP="00E472BD" w14:paraId="0BCC3914" w14:textId="57CC92C9">
      <w:pPr>
        <w:spacing w:line="257" w:lineRule="auto"/>
        <w:jc w:val="both"/>
        <w:rPr>
          <w:lang w:val="cs-CZ"/>
        </w:rPr>
      </w:pPr>
      <w:r w:rsidRPr="00BD17FF">
        <w:rPr>
          <w:lang w:val="cs-CZ"/>
        </w:rPr>
        <w:t>Současně tato roztříštěnost oslabuje strategické řízení portfolia finančních nástrojů, ztěžuje dosažení komplementarity mezi jednotlivými intervencemi a omezuje schopnost systému pružně reagovat na měnící se investiční potřeby.</w:t>
      </w:r>
    </w:p>
    <w:p w:rsidR="00736496" w:rsidRPr="004B7934" w:rsidP="00DF7793" w14:paraId="2EC2BA4E" w14:textId="773C0E87">
      <w:pPr>
        <w:spacing w:before="240" w:after="240" w:line="257" w:lineRule="auto"/>
        <w:jc w:val="both"/>
        <w:rPr>
          <w:b/>
          <w:u w:val="single"/>
        </w:rPr>
      </w:pPr>
      <w:r w:rsidRPr="004B7934">
        <w:rPr>
          <w:b/>
          <w:u w:val="single"/>
        </w:rPr>
        <w:t>Doporučení</w:t>
      </w:r>
      <w:r w:rsidRPr="004B7934" w:rsidR="001F737F">
        <w:rPr>
          <w:b/>
          <w:u w:val="single"/>
        </w:rPr>
        <w:t>:</w:t>
      </w:r>
    </w:p>
    <w:p w:rsidR="002A7E87" w:rsidP="002A7E87" w14:paraId="4427CD3F" w14:textId="53D0DDE0">
      <w:pPr>
        <w:spacing w:line="257" w:lineRule="auto"/>
        <w:jc w:val="both"/>
        <w:rPr>
          <w:lang w:val="cs-CZ"/>
        </w:rPr>
      </w:pPr>
      <w:r w:rsidRPr="002A7E87">
        <w:rPr>
          <w:lang w:val="cs-CZ"/>
        </w:rPr>
        <w:t xml:space="preserve">Pro omezení negativních dopadů institucionální roztříštěnosti je nezbytné jasně vymezit kompetence všech subjektů zapojených do přípravy a implementace </w:t>
      </w:r>
      <w:r>
        <w:rPr>
          <w:lang w:val="cs-CZ"/>
        </w:rPr>
        <w:t>FN</w:t>
      </w:r>
      <w:r w:rsidRPr="002A7E87">
        <w:rPr>
          <w:lang w:val="cs-CZ"/>
        </w:rPr>
        <w:t>, zejména N</w:t>
      </w:r>
      <w:r>
        <w:rPr>
          <w:lang w:val="cs-CZ"/>
        </w:rPr>
        <w:t xml:space="preserve">RB a </w:t>
      </w:r>
      <w:r w:rsidRPr="002A7E87">
        <w:rPr>
          <w:lang w:val="cs-CZ"/>
        </w:rPr>
        <w:t xml:space="preserve">státních fondů a jednotlivých resortů. </w:t>
      </w:r>
    </w:p>
    <w:p w:rsidR="007E644E" w:rsidP="00E472BD" w14:paraId="2A0400D7" w14:textId="77777777">
      <w:pPr>
        <w:spacing w:line="257" w:lineRule="auto"/>
        <w:jc w:val="both"/>
        <w:rPr>
          <w:lang w:val="cs-CZ"/>
        </w:rPr>
      </w:pPr>
      <w:r w:rsidRPr="00AE28AB">
        <w:rPr>
          <w:lang w:val="cs-CZ"/>
        </w:rPr>
        <w:t>Cílem je vytvořit stabilní a předvídatelný implementační rámec, který umožní efektivní řízení portfolia finančních nástrojů a jejich komplementární využívání.</w:t>
      </w:r>
    </w:p>
    <w:p w:rsidR="002835F4" w:rsidP="002835F4" w14:paraId="64329FEF" w14:textId="232FA834">
      <w:pPr>
        <w:spacing w:after="0" w:line="300" w:lineRule="atLeast"/>
        <w:jc w:val="both"/>
        <w:rPr>
          <w:lang w:val="cs-CZ"/>
        </w:rPr>
      </w:pPr>
      <w:r w:rsidRPr="00CE3AB5">
        <w:rPr>
          <w:lang w:val="cs-CZ"/>
        </w:rPr>
        <w:t>V kontextu českého institucionálního a správního prostředí realizace veřejných politik lze identifikovat dv</w:t>
      </w:r>
      <w:r w:rsidR="00D3053F">
        <w:rPr>
          <w:lang w:val="cs-CZ"/>
        </w:rPr>
        <w:t>a</w:t>
      </w:r>
      <w:r w:rsidRPr="00CE3AB5">
        <w:rPr>
          <w:lang w:val="cs-CZ"/>
        </w:rPr>
        <w:t xml:space="preserve"> základní </w:t>
      </w:r>
      <w:r w:rsidR="00D3053F">
        <w:rPr>
          <w:lang w:val="cs-CZ"/>
        </w:rPr>
        <w:t>modely</w:t>
      </w:r>
      <w:r w:rsidRPr="00CE3AB5">
        <w:rPr>
          <w:lang w:val="cs-CZ"/>
        </w:rPr>
        <w:t xml:space="preserve"> implementace finančních nástrojů, které se liší zejména mírou centralizace, rozdělením rolí mezi jednotlivé instituce a způsobem zapojení odborných a</w:t>
      </w:r>
      <w:r>
        <w:rPr>
          <w:lang w:val="cs-CZ"/>
        </w:rPr>
        <w:t> </w:t>
      </w:r>
      <w:r w:rsidRPr="00CE3AB5">
        <w:rPr>
          <w:lang w:val="cs-CZ"/>
        </w:rPr>
        <w:t>kapacitních zdrojů.</w:t>
      </w:r>
    </w:p>
    <w:p w:rsidR="002D4A4C" w:rsidP="002835F4" w14:paraId="4A3696EF" w14:textId="77777777">
      <w:pPr>
        <w:spacing w:after="0" w:line="300" w:lineRule="atLeast"/>
        <w:jc w:val="both"/>
        <w:rPr>
          <w:lang w:val="cs-CZ"/>
        </w:rPr>
      </w:pPr>
    </w:p>
    <w:p w:rsidR="002835F4" w:rsidRPr="00CE3AB5" w:rsidP="002835F4" w14:paraId="052E86FE" w14:textId="77777777">
      <w:pPr>
        <w:spacing w:after="0" w:line="300" w:lineRule="atLeast"/>
        <w:jc w:val="both"/>
        <w:rPr>
          <w:lang w:val="cs-CZ"/>
        </w:rPr>
      </w:pPr>
    </w:p>
    <w:p w:rsidR="002835F4" w:rsidRPr="00CE1FAD" w:rsidP="00CE1FAD" w14:paraId="64FD78B7" w14:textId="7654A95B">
      <w:pPr>
        <w:rPr>
          <w:rStyle w:val="IntenseEmphasis"/>
        </w:rPr>
      </w:pPr>
      <w:r w:rsidRPr="00CE1FAD">
        <w:rPr>
          <w:rStyle w:val="IntenseEmphasis"/>
        </w:rPr>
        <w:t>Decentralizovaný model – rozdělení podle odborných kompetencí</w:t>
      </w:r>
    </w:p>
    <w:p w:rsidR="002835F4" w:rsidP="002835F4" w14:paraId="6B0CF864" w14:textId="2A63BBD9">
      <w:pPr>
        <w:spacing w:before="240" w:after="240"/>
        <w:jc w:val="both"/>
        <w:rPr>
          <w:lang w:val="cs-CZ"/>
        </w:rPr>
      </w:pPr>
      <w:r>
        <w:rPr>
          <w:lang w:val="cs-CZ"/>
        </w:rPr>
        <w:t xml:space="preserve">První model je založen na principu </w:t>
      </w:r>
      <w:r w:rsidRPr="025137AC">
        <w:rPr>
          <w:b/>
          <w:bCs/>
          <w:lang w:val="cs-CZ"/>
        </w:rPr>
        <w:t>účelné</w:t>
      </w:r>
      <w:r>
        <w:rPr>
          <w:b/>
          <w:bCs/>
          <w:lang w:val="cs-CZ"/>
        </w:rPr>
        <w:t>ho</w:t>
      </w:r>
      <w:r w:rsidRPr="025137AC">
        <w:rPr>
          <w:b/>
          <w:bCs/>
          <w:lang w:val="cs-CZ"/>
        </w:rPr>
        <w:t xml:space="preserve"> rozdělení implementace mezi více specializovaných institucí podle jejich odborného zaměření a zkušeností</w:t>
      </w:r>
      <w:r w:rsidRPr="025137AC">
        <w:rPr>
          <w:lang w:val="cs-CZ"/>
        </w:rPr>
        <w:t xml:space="preserve">. </w:t>
      </w:r>
      <w:r>
        <w:rPr>
          <w:lang w:val="cs-CZ"/>
        </w:rPr>
        <w:t xml:space="preserve">Model vychází </w:t>
      </w:r>
      <w:r w:rsidRPr="000F2C87">
        <w:rPr>
          <w:lang w:val="cs-CZ"/>
        </w:rPr>
        <w:t xml:space="preserve">ze stávající struktury „trhu správců“ a již zavedeného institucionálního ekosystému. </w:t>
      </w:r>
      <w:r w:rsidRPr="025137AC">
        <w:rPr>
          <w:lang w:val="cs-CZ"/>
        </w:rPr>
        <w:t xml:space="preserve"> Tento přístup umožňuje využít existující kapacity a sektorové know-how jednotlivých subjektů.</w:t>
      </w:r>
      <w:r>
        <w:rPr>
          <w:lang w:val="cs-CZ"/>
        </w:rPr>
        <w:t xml:space="preserve"> Decentralizovaný model pracuje na základě kooperace mezi NRB a stá</w:t>
      </w:r>
      <w:r w:rsidR="000C5EB4">
        <w:rPr>
          <w:lang w:val="cs-CZ"/>
        </w:rPr>
        <w:t>t</w:t>
      </w:r>
      <w:r>
        <w:rPr>
          <w:lang w:val="cs-CZ"/>
        </w:rPr>
        <w:t xml:space="preserve">ními fondy a využívá znalostní základnu státního aparátu. </w:t>
      </w:r>
    </w:p>
    <w:p w:rsidR="002835F4" w:rsidP="002835F4" w14:paraId="6BA21474" w14:textId="2FCC8949">
      <w:pPr>
        <w:spacing w:before="240" w:after="240"/>
        <w:jc w:val="both"/>
        <w:rPr>
          <w:lang w:val="cs-CZ"/>
        </w:rPr>
      </w:pPr>
      <w:r>
        <w:rPr>
          <w:lang w:val="cs-CZ"/>
        </w:rPr>
        <w:t xml:space="preserve">V praxi to znamená, že </w:t>
      </w:r>
      <w:r w:rsidR="00E21E08">
        <w:rPr>
          <w:lang w:val="cs-CZ"/>
        </w:rPr>
        <w:t xml:space="preserve">například </w:t>
      </w:r>
      <w:r w:rsidRPr="56D5C414">
        <w:rPr>
          <w:b/>
          <w:lang w:val="cs-CZ"/>
        </w:rPr>
        <w:t>SFŽP</w:t>
      </w:r>
      <w:r w:rsidRPr="025137AC">
        <w:rPr>
          <w:b/>
          <w:bCs/>
          <w:lang w:val="cs-CZ"/>
        </w:rPr>
        <w:t xml:space="preserve"> zajišť</w:t>
      </w:r>
      <w:r w:rsidR="00E21E08">
        <w:rPr>
          <w:b/>
          <w:bCs/>
          <w:lang w:val="cs-CZ"/>
        </w:rPr>
        <w:t>uje</w:t>
      </w:r>
      <w:r w:rsidRPr="025137AC">
        <w:rPr>
          <w:b/>
          <w:bCs/>
          <w:lang w:val="cs-CZ"/>
        </w:rPr>
        <w:t xml:space="preserve"> finanční nástroje v oblasti životního prostředí</w:t>
      </w:r>
      <w:r w:rsidRPr="025137AC">
        <w:rPr>
          <w:lang w:val="cs-CZ"/>
        </w:rPr>
        <w:t xml:space="preserve">, včetně </w:t>
      </w:r>
      <w:r w:rsidRPr="025137AC">
        <w:rPr>
          <w:b/>
          <w:bCs/>
          <w:lang w:val="cs-CZ"/>
        </w:rPr>
        <w:t>vodohospodářské infrastruktury, brownfieldů či renovací veřejných budov</w:t>
      </w:r>
      <w:r w:rsidRPr="025137AC">
        <w:rPr>
          <w:lang w:val="cs-CZ"/>
        </w:rPr>
        <w:t xml:space="preserve">, zatímco </w:t>
      </w:r>
      <w:r w:rsidRPr="025137AC">
        <w:rPr>
          <w:b/>
          <w:bCs/>
          <w:lang w:val="cs-CZ"/>
        </w:rPr>
        <w:t>SFPI se zaměř</w:t>
      </w:r>
      <w:r w:rsidR="00E21E08">
        <w:rPr>
          <w:b/>
          <w:bCs/>
          <w:lang w:val="cs-CZ"/>
        </w:rPr>
        <w:t>uje</w:t>
      </w:r>
      <w:r w:rsidRPr="025137AC">
        <w:rPr>
          <w:b/>
          <w:bCs/>
          <w:lang w:val="cs-CZ"/>
        </w:rPr>
        <w:t xml:space="preserve"> na oblast regionálních investic a bydlení</w:t>
      </w:r>
      <w:r w:rsidRPr="025137AC">
        <w:rPr>
          <w:lang w:val="cs-CZ"/>
        </w:rPr>
        <w:t xml:space="preserve">. </w:t>
      </w:r>
      <w:r>
        <w:rPr>
          <w:lang w:val="cs-CZ"/>
        </w:rPr>
        <w:t xml:space="preserve">V obdobné logice </w:t>
      </w:r>
      <w:r w:rsidR="00E21E08">
        <w:rPr>
          <w:lang w:val="cs-CZ"/>
        </w:rPr>
        <w:t>lze využít</w:t>
      </w:r>
      <w:r>
        <w:rPr>
          <w:lang w:val="cs-CZ"/>
        </w:rPr>
        <w:t xml:space="preserve"> odborn</w:t>
      </w:r>
      <w:r w:rsidR="00E21E08">
        <w:rPr>
          <w:lang w:val="cs-CZ"/>
        </w:rPr>
        <w:t>ou</w:t>
      </w:r>
      <w:r>
        <w:rPr>
          <w:lang w:val="cs-CZ"/>
        </w:rPr>
        <w:t xml:space="preserve"> základn</w:t>
      </w:r>
      <w:r w:rsidR="00E21E08">
        <w:rPr>
          <w:lang w:val="cs-CZ"/>
        </w:rPr>
        <w:t>u</w:t>
      </w:r>
      <w:r>
        <w:rPr>
          <w:lang w:val="cs-CZ"/>
        </w:rPr>
        <w:t xml:space="preserve"> i u dalších fondů jako je </w:t>
      </w:r>
      <w:r w:rsidRPr="56D5C414">
        <w:rPr>
          <w:b/>
          <w:lang w:val="cs-CZ"/>
        </w:rPr>
        <w:t xml:space="preserve">SFDI </w:t>
      </w:r>
      <w:r>
        <w:rPr>
          <w:lang w:val="cs-CZ"/>
        </w:rPr>
        <w:t xml:space="preserve">nebo </w:t>
      </w:r>
      <w:r w:rsidRPr="56D5C414">
        <w:rPr>
          <w:b/>
          <w:lang w:val="cs-CZ"/>
        </w:rPr>
        <w:t>PGRLF</w:t>
      </w:r>
      <w:r>
        <w:rPr>
          <w:lang w:val="cs-CZ"/>
        </w:rPr>
        <w:t>.</w:t>
      </w:r>
    </w:p>
    <w:p w:rsidR="002835F4" w:rsidP="002835F4" w14:paraId="43F7975B" w14:textId="04F9C23A">
      <w:pPr>
        <w:spacing w:before="240" w:after="240"/>
        <w:jc w:val="both"/>
        <w:rPr>
          <w:lang w:val="cs-CZ"/>
        </w:rPr>
      </w:pPr>
      <w:r w:rsidRPr="56D5C414">
        <w:rPr>
          <w:b/>
          <w:lang w:val="cs-CZ"/>
        </w:rPr>
        <w:t>NRB</w:t>
      </w:r>
      <w:r w:rsidRPr="00702851">
        <w:rPr>
          <w:lang w:val="cs-CZ"/>
        </w:rPr>
        <w:t xml:space="preserve"> v tomto modelu nadále hr</w:t>
      </w:r>
      <w:r w:rsidR="00E21E08">
        <w:rPr>
          <w:lang w:val="cs-CZ"/>
        </w:rPr>
        <w:t>aje</w:t>
      </w:r>
      <w:r w:rsidRPr="00702851">
        <w:rPr>
          <w:lang w:val="cs-CZ"/>
        </w:rPr>
        <w:t xml:space="preserve"> klíčovou roli zejména v oblastech podpory podnikání, inovací a dalších ekonomicky návratných projektů</w:t>
      </w:r>
      <w:r w:rsidRPr="025137AC">
        <w:rPr>
          <w:lang w:val="cs-CZ"/>
        </w:rPr>
        <w:t xml:space="preserve">, a současně </w:t>
      </w:r>
      <w:r w:rsidR="00E82A3D">
        <w:rPr>
          <w:lang w:val="cs-CZ"/>
        </w:rPr>
        <w:t>může</w:t>
      </w:r>
      <w:r w:rsidRPr="025137AC">
        <w:rPr>
          <w:lang w:val="cs-CZ"/>
        </w:rPr>
        <w:t xml:space="preserve"> napříč všemi nástroji zajišťovat </w:t>
      </w:r>
      <w:r w:rsidRPr="00702851">
        <w:rPr>
          <w:lang w:val="cs-CZ"/>
        </w:rPr>
        <w:t>mobilizaci soukromého kapitálu a finanční strukturování</w:t>
      </w:r>
      <w:r w:rsidRPr="025137AC">
        <w:rPr>
          <w:lang w:val="cs-CZ"/>
        </w:rPr>
        <w:t>.</w:t>
      </w:r>
    </w:p>
    <w:p w:rsidR="002835F4" w:rsidP="002835F4" w14:paraId="3927FCA8" w14:textId="77777777">
      <w:pPr>
        <w:spacing w:before="240" w:after="240"/>
        <w:jc w:val="both"/>
        <w:rPr>
          <w:lang w:val="cs-CZ"/>
        </w:rPr>
      </w:pPr>
      <w:r w:rsidRPr="025137AC">
        <w:rPr>
          <w:lang w:val="cs-CZ"/>
        </w:rPr>
        <w:t xml:space="preserve">Hlavní výhodou tohoto modelu je </w:t>
      </w:r>
      <w:r w:rsidRPr="025137AC">
        <w:rPr>
          <w:b/>
          <w:bCs/>
          <w:lang w:val="cs-CZ"/>
        </w:rPr>
        <w:t>lepší zohlednění sektorových specifik, vyšší odbornost při přípravě a implementaci nástrojů a větší flexibilita</w:t>
      </w:r>
      <w:r w:rsidRPr="025137AC">
        <w:rPr>
          <w:lang w:val="cs-CZ"/>
        </w:rPr>
        <w:t xml:space="preserve">. Zároveň umožňuje </w:t>
      </w:r>
      <w:r w:rsidRPr="025137AC">
        <w:rPr>
          <w:b/>
          <w:bCs/>
          <w:lang w:val="cs-CZ"/>
        </w:rPr>
        <w:t>rozložení kapacitního zatížení mezi více institucí</w:t>
      </w:r>
      <w:r w:rsidRPr="025137AC">
        <w:rPr>
          <w:lang w:val="cs-CZ"/>
        </w:rPr>
        <w:t xml:space="preserve"> a snižuje riziko závislosti na jednom implementačním subjektu.</w:t>
      </w:r>
    </w:p>
    <w:p w:rsidR="002835F4" w:rsidP="002835F4" w14:paraId="4E1492F2" w14:textId="77777777">
      <w:pPr>
        <w:spacing w:line="257" w:lineRule="auto"/>
        <w:jc w:val="both"/>
        <w:rPr>
          <w:lang w:val="cs-CZ"/>
        </w:rPr>
      </w:pPr>
      <w:r w:rsidRPr="1B334BF4">
        <w:t xml:space="preserve">Rizikem </w:t>
      </w:r>
      <w:r>
        <w:t>decentralizovaného přístupu je</w:t>
      </w:r>
      <w:r w:rsidRPr="1B334BF4">
        <w:t xml:space="preserve"> n</w:t>
      </w:r>
      <w:r>
        <w:t>ižší</w:t>
      </w:r>
      <w:r w:rsidRPr="1B334BF4">
        <w:t xml:space="preserve"> pákový efekt veřejných prostředků a omezené zapojení komerčních bank a institucionálních investorů. </w:t>
      </w:r>
      <w:r>
        <w:t>Nicméně z</w:t>
      </w:r>
      <w:r w:rsidRPr="006456BC">
        <w:rPr>
          <w:lang w:val="cs-CZ"/>
        </w:rPr>
        <w:t>e zkušeností s</w:t>
      </w:r>
      <w:r w:rsidRPr="006456BC">
        <w:rPr>
          <w:rFonts w:ascii="Arial" w:hAnsi="Arial" w:cs="Arial"/>
          <w:lang w:val="cs-CZ"/>
        </w:rPr>
        <w:t> </w:t>
      </w:r>
      <w:r w:rsidRPr="006456BC">
        <w:rPr>
          <w:lang w:val="cs-CZ"/>
        </w:rPr>
        <w:t xml:space="preserve">některými již implementovanými, ale i připravovanými finančními nástroji </w:t>
      </w:r>
      <w:r>
        <w:rPr>
          <w:lang w:val="cs-CZ"/>
        </w:rPr>
        <w:t>však</w:t>
      </w:r>
      <w:r w:rsidRPr="006456BC">
        <w:rPr>
          <w:lang w:val="cs-CZ"/>
        </w:rPr>
        <w:t xml:space="preserve"> vyplývá, že klíčovým faktorem je především nastavení konkrétního finančního produktu</w:t>
      </w:r>
      <w:r w:rsidRPr="009B5583">
        <w:rPr>
          <w:b/>
          <w:lang w:val="cs-CZ"/>
        </w:rPr>
        <w:t>. Pákový efekt není omezen institucí, která finanční nástroj spravuje, ale vychází z rozhodnutí o způsobu nastavení produktu.</w:t>
      </w:r>
      <w:r w:rsidRPr="00F07A33">
        <w:rPr>
          <w:lang w:val="cs-CZ"/>
        </w:rPr>
        <w:t xml:space="preserve"> </w:t>
      </w:r>
      <w:r>
        <w:rPr>
          <w:lang w:val="cs-CZ"/>
        </w:rPr>
        <w:t xml:space="preserve">I státní </w:t>
      </w:r>
      <w:r w:rsidRPr="006456BC">
        <w:rPr>
          <w:lang w:val="cs-CZ"/>
        </w:rPr>
        <w:t>fondy</w:t>
      </w:r>
      <w:r>
        <w:rPr>
          <w:lang w:val="cs-CZ"/>
        </w:rPr>
        <w:t xml:space="preserve"> mohou plnohodnotně </w:t>
      </w:r>
      <w:r w:rsidRPr="006456BC">
        <w:rPr>
          <w:lang w:val="cs-CZ"/>
        </w:rPr>
        <w:t>využívat</w:t>
      </w:r>
      <w:r>
        <w:rPr>
          <w:lang w:val="cs-CZ"/>
        </w:rPr>
        <w:t xml:space="preserve"> spolupráci s</w:t>
      </w:r>
      <w:r w:rsidRPr="006456BC">
        <w:rPr>
          <w:lang w:val="cs-CZ"/>
        </w:rPr>
        <w:t xml:space="preserve"> </w:t>
      </w:r>
      <w:r>
        <w:rPr>
          <w:lang w:val="cs-CZ"/>
        </w:rPr>
        <w:t xml:space="preserve">komerčními bankami a zapojovat soukromé zdroje obdobně jako u </w:t>
      </w:r>
      <w:r w:rsidRPr="006456BC">
        <w:rPr>
          <w:lang w:val="cs-CZ"/>
        </w:rPr>
        <w:t>on</w:t>
      </w:r>
      <w:r w:rsidRPr="006456BC">
        <w:rPr>
          <w:lang w:val="cs-CZ"/>
        </w:rPr>
        <w:noBreakHyphen/>
      </w:r>
      <w:r w:rsidRPr="006456BC">
        <w:rPr>
          <w:lang w:val="cs-CZ"/>
        </w:rPr>
        <w:t>lendingových</w:t>
      </w:r>
      <w:r w:rsidRPr="006456BC">
        <w:rPr>
          <w:lang w:val="cs-CZ"/>
        </w:rPr>
        <w:t xml:space="preserve"> nástrojů</w:t>
      </w:r>
      <w:r>
        <w:rPr>
          <w:lang w:val="cs-CZ"/>
        </w:rPr>
        <w:t xml:space="preserve"> realizovaných </w:t>
      </w:r>
      <w:r w:rsidRPr="006456BC">
        <w:rPr>
          <w:lang w:val="cs-CZ"/>
        </w:rPr>
        <w:t>ve spolupráci s</w:t>
      </w:r>
      <w:r w:rsidRPr="006456BC">
        <w:rPr>
          <w:rFonts w:ascii="Arial" w:hAnsi="Arial" w:cs="Arial"/>
          <w:lang w:val="cs-CZ"/>
        </w:rPr>
        <w:t> </w:t>
      </w:r>
      <w:r w:rsidRPr="006456BC">
        <w:rPr>
          <w:lang w:val="cs-CZ"/>
        </w:rPr>
        <w:t>NRB</w:t>
      </w:r>
      <w:r>
        <w:rPr>
          <w:lang w:val="cs-CZ"/>
        </w:rPr>
        <w:t>.</w:t>
      </w:r>
    </w:p>
    <w:p w:rsidR="002835F4" w:rsidP="002835F4" w14:paraId="0656268F" w14:textId="77777777">
      <w:pPr>
        <w:spacing w:line="257" w:lineRule="auto"/>
        <w:jc w:val="both"/>
        <w:rPr>
          <w:lang w:val="cs-CZ"/>
        </w:rPr>
      </w:pPr>
    </w:p>
    <w:p w:rsidR="002835F4" w:rsidP="002835F4" w14:paraId="3211EADB" w14:textId="77777777">
      <w:pPr>
        <w:pStyle w:val="Caption"/>
        <w:keepNext/>
        <w:jc w:val="both"/>
      </w:pPr>
      <w:r>
        <w:t xml:space="preserve">Obrázek </w:t>
      </w:r>
      <w:r>
        <w:fldChar w:fldCharType="begin"/>
      </w:r>
      <w:r>
        <w:instrText xml:space="preserve"> SEQ Obrázek \* ARABIC </w:instrText>
      </w:r>
      <w:r>
        <w:fldChar w:fldCharType="separate"/>
      </w:r>
      <w:r>
        <w:t>3</w:t>
      </w:r>
      <w:r>
        <w:rPr>
          <w:noProof/>
        </w:rPr>
        <w:fldChar w:fldCharType="end"/>
      </w:r>
      <w:r>
        <w:t>: SWOT analýza decentralizované varianty implementační struktury FN v 2028+, zdroj: MMR-NOK</w:t>
      </w:r>
    </w:p>
    <w:p w:rsidR="002835F4" w:rsidP="002835F4" w14:paraId="746BA228" w14:textId="77777777">
      <w:pPr>
        <w:spacing w:line="257" w:lineRule="auto"/>
        <w:jc w:val="both"/>
        <w:rPr>
          <w:lang w:val="cs-CZ"/>
        </w:rPr>
      </w:pPr>
      <w:r>
        <w:rPr>
          <w:noProof/>
          <w:lang w:val="cs-CZ"/>
        </w:rPr>
        <w:drawing>
          <wp:inline distT="0" distB="0" distL="0" distR="0">
            <wp:extent cx="5691226" cy="4275177"/>
            <wp:effectExtent l="0" t="0" r="5080" b="0"/>
            <wp:docPr id="95967954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79544" name="Picture 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350" cy="4293299"/>
                    </a:xfrm>
                    <a:prstGeom prst="rect">
                      <a:avLst/>
                    </a:prstGeom>
                    <a:noFill/>
                  </pic:spPr>
                </pic:pic>
              </a:graphicData>
            </a:graphic>
          </wp:inline>
        </w:drawing>
      </w:r>
    </w:p>
    <w:p w:rsidR="002835F4" w:rsidP="002835F4" w14:paraId="6038C720" w14:textId="77777777">
      <w:pPr>
        <w:spacing w:line="257" w:lineRule="auto"/>
        <w:jc w:val="both"/>
        <w:rPr>
          <w:lang w:val="cs-CZ"/>
        </w:rPr>
      </w:pPr>
    </w:p>
    <w:p w:rsidR="002835F4" w:rsidRPr="00CE1FAD" w:rsidP="00CE1FAD" w14:paraId="7D3BF45B" w14:textId="2E1DDB77">
      <w:pPr>
        <w:rPr>
          <w:rStyle w:val="IntenseEmphasis"/>
        </w:rPr>
      </w:pPr>
      <w:r w:rsidRPr="00CE1FAD">
        <w:rPr>
          <w:rStyle w:val="IntenseEmphasis"/>
        </w:rPr>
        <w:t>Centralizovaný model – jednotná implementace prostřednictvím NRB</w:t>
      </w:r>
    </w:p>
    <w:p w:rsidR="002835F4" w:rsidP="002835F4" w14:paraId="001A502E" w14:textId="23FC5C01">
      <w:pPr>
        <w:spacing w:before="240" w:after="240"/>
        <w:jc w:val="both"/>
        <w:rPr>
          <w:lang w:val="cs-CZ"/>
        </w:rPr>
      </w:pPr>
      <w:r w:rsidRPr="025137AC">
        <w:rPr>
          <w:lang w:val="cs-CZ"/>
        </w:rPr>
        <w:t xml:space="preserve">Tento model je založen na principu, že </w:t>
      </w:r>
      <w:r w:rsidRPr="025137AC">
        <w:rPr>
          <w:b/>
          <w:bCs/>
          <w:lang w:val="cs-CZ"/>
        </w:rPr>
        <w:t>veškeré finanční nástroje jsou implementovány jednou institucí – NRB</w:t>
      </w:r>
      <w:r w:rsidRPr="025137AC">
        <w:rPr>
          <w:lang w:val="cs-CZ"/>
        </w:rPr>
        <w:t>, a to napříč sektory i typy příjemců. NRB v tomto uspořádání zajišť</w:t>
      </w:r>
      <w:r w:rsidR="00E82A3D">
        <w:rPr>
          <w:lang w:val="cs-CZ"/>
        </w:rPr>
        <w:t>uje</w:t>
      </w:r>
      <w:r w:rsidRPr="025137AC">
        <w:rPr>
          <w:lang w:val="cs-CZ"/>
        </w:rPr>
        <w:t xml:space="preserve"> implementaci nástrojů jak pro </w:t>
      </w:r>
      <w:r w:rsidRPr="025137AC">
        <w:rPr>
          <w:b/>
          <w:bCs/>
          <w:lang w:val="cs-CZ"/>
        </w:rPr>
        <w:t>soukromý sektor (podnikání, inovace)</w:t>
      </w:r>
      <w:r w:rsidRPr="025137AC">
        <w:rPr>
          <w:lang w:val="cs-CZ"/>
        </w:rPr>
        <w:t xml:space="preserve">, tak pro </w:t>
      </w:r>
      <w:r w:rsidRPr="025137AC">
        <w:rPr>
          <w:b/>
          <w:bCs/>
          <w:lang w:val="cs-CZ"/>
        </w:rPr>
        <w:t>veřejný sektor (regionální infrastruktura, sociální oblast, vysoké školy apod.)</w:t>
      </w:r>
      <w:r w:rsidRPr="025137AC">
        <w:rPr>
          <w:lang w:val="cs-CZ"/>
        </w:rPr>
        <w:t>, a to včetně nástrojů kombinovaných s dotací.</w:t>
      </w:r>
    </w:p>
    <w:p w:rsidR="002835F4" w:rsidP="002835F4" w14:paraId="239C2233" w14:textId="77777777">
      <w:pPr>
        <w:spacing w:before="240" w:after="240"/>
        <w:jc w:val="both"/>
        <w:rPr>
          <w:lang w:val="cs-CZ"/>
        </w:rPr>
      </w:pPr>
      <w:r w:rsidRPr="025137AC">
        <w:rPr>
          <w:lang w:val="cs-CZ"/>
        </w:rPr>
        <w:t xml:space="preserve">Hlavní výhodou tohoto přístupu je </w:t>
      </w:r>
      <w:r w:rsidRPr="025137AC">
        <w:rPr>
          <w:b/>
          <w:bCs/>
          <w:lang w:val="cs-CZ"/>
        </w:rPr>
        <w:t>vysoká míra standardizace, koncentrace know-how a</w:t>
      </w:r>
      <w:r>
        <w:rPr>
          <w:b/>
          <w:bCs/>
          <w:lang w:val="cs-CZ"/>
        </w:rPr>
        <w:t> </w:t>
      </w:r>
      <w:r w:rsidRPr="025137AC">
        <w:rPr>
          <w:b/>
          <w:bCs/>
          <w:lang w:val="cs-CZ"/>
        </w:rPr>
        <w:t>jednotné metodické vedení</w:t>
      </w:r>
      <w:r w:rsidRPr="025137AC">
        <w:rPr>
          <w:lang w:val="cs-CZ"/>
        </w:rPr>
        <w:t xml:space="preserve">, které může vést k vyšší efektivitě a snížení transakčních nákladů. Centralizace zároveň umožňuje </w:t>
      </w:r>
      <w:r w:rsidRPr="025137AC">
        <w:rPr>
          <w:b/>
          <w:bCs/>
          <w:lang w:val="cs-CZ"/>
        </w:rPr>
        <w:t>lépe koordinovat portfolia nástrojů a předcházet jejich fragmentaci</w:t>
      </w:r>
      <w:r w:rsidRPr="025137AC">
        <w:rPr>
          <w:lang w:val="cs-CZ"/>
        </w:rPr>
        <w:t>.</w:t>
      </w:r>
    </w:p>
    <w:p w:rsidR="002835F4" w:rsidP="002835F4" w14:paraId="37D8B9E9" w14:textId="7A962C7C">
      <w:pPr>
        <w:spacing w:before="240" w:after="240"/>
        <w:jc w:val="both"/>
        <w:rPr>
          <w:lang w:val="cs-CZ"/>
        </w:rPr>
      </w:pPr>
      <w:r w:rsidRPr="025137AC">
        <w:rPr>
          <w:lang w:val="cs-CZ"/>
        </w:rPr>
        <w:t xml:space="preserve">NRB současně </w:t>
      </w:r>
      <w:r w:rsidR="00653554">
        <w:rPr>
          <w:lang w:val="cs-CZ"/>
        </w:rPr>
        <w:t>může</w:t>
      </w:r>
      <w:r w:rsidRPr="025137AC">
        <w:rPr>
          <w:lang w:val="cs-CZ"/>
        </w:rPr>
        <w:t xml:space="preserve"> plně využít své postavení regulované finanční instituce k </w:t>
      </w:r>
      <w:r w:rsidRPr="025137AC">
        <w:rPr>
          <w:b/>
          <w:bCs/>
          <w:lang w:val="cs-CZ"/>
        </w:rPr>
        <w:t>systematické mobilizaci dodatečných zdrojů</w:t>
      </w:r>
      <w:r w:rsidRPr="025137AC">
        <w:rPr>
          <w:lang w:val="cs-CZ"/>
        </w:rPr>
        <w:t xml:space="preserve">, zejména ze strany </w:t>
      </w:r>
      <w:r w:rsidRPr="025137AC">
        <w:rPr>
          <w:b/>
          <w:bCs/>
          <w:lang w:val="cs-CZ"/>
        </w:rPr>
        <w:t>bank, investičních fondů či pojišťoven</w:t>
      </w:r>
      <w:r w:rsidRPr="025137AC">
        <w:rPr>
          <w:lang w:val="cs-CZ"/>
        </w:rPr>
        <w:t>, a</w:t>
      </w:r>
      <w:r>
        <w:rPr>
          <w:lang w:val="cs-CZ"/>
        </w:rPr>
        <w:t> </w:t>
      </w:r>
      <w:r w:rsidRPr="025137AC">
        <w:rPr>
          <w:lang w:val="cs-CZ"/>
        </w:rPr>
        <w:t>posilovat tak multiplikační efekt veřejných prostředků.</w:t>
      </w:r>
    </w:p>
    <w:p w:rsidR="002835F4" w:rsidP="002835F4" w14:paraId="1060E465" w14:textId="77777777">
      <w:pPr>
        <w:spacing w:line="257" w:lineRule="auto"/>
        <w:jc w:val="both"/>
        <w:rPr>
          <w:lang w:val="cs-CZ"/>
        </w:rPr>
      </w:pPr>
      <w:r w:rsidRPr="025137AC">
        <w:rPr>
          <w:lang w:val="cs-CZ"/>
        </w:rPr>
        <w:t xml:space="preserve">Na druhé straně tento model nese riziko </w:t>
      </w:r>
      <w:r w:rsidRPr="025137AC">
        <w:rPr>
          <w:b/>
          <w:bCs/>
          <w:lang w:val="cs-CZ"/>
        </w:rPr>
        <w:t>přetížení jedné instituce</w:t>
      </w:r>
      <w:r w:rsidRPr="025137AC">
        <w:rPr>
          <w:lang w:val="cs-CZ"/>
        </w:rPr>
        <w:t xml:space="preserve">, omezené schopnosti reflektovat </w:t>
      </w:r>
      <w:r w:rsidRPr="025137AC">
        <w:rPr>
          <w:b/>
          <w:bCs/>
          <w:lang w:val="cs-CZ"/>
        </w:rPr>
        <w:t>specifické potřeby jednotlivých sektorů</w:t>
      </w:r>
      <w:r w:rsidRPr="025137AC">
        <w:rPr>
          <w:lang w:val="cs-CZ"/>
        </w:rPr>
        <w:t xml:space="preserve"> a potenciálně nižší flexibility při implementaci specializovaných nástrojů, zejména v oblastech s výraznými technickými či regulatorními specifiky.</w:t>
      </w:r>
    </w:p>
    <w:p w:rsidR="002835F4" w:rsidRPr="00AC0FB6" w:rsidP="002835F4" w14:paraId="7026B015" w14:textId="77777777">
      <w:pPr>
        <w:spacing w:line="257" w:lineRule="auto"/>
        <w:jc w:val="both"/>
        <w:rPr>
          <w:lang w:val="cs-CZ"/>
        </w:rPr>
      </w:pPr>
      <w:r w:rsidRPr="00AC0FB6">
        <w:rPr>
          <w:lang w:val="cs-CZ"/>
        </w:rPr>
        <w:t xml:space="preserve">V rámci </w:t>
      </w:r>
      <w:r w:rsidRPr="00AC0FB6">
        <w:rPr>
          <w:b/>
          <w:lang w:val="cs-CZ"/>
        </w:rPr>
        <w:t>centralizovaného implementačního modelu</w:t>
      </w:r>
      <w:r w:rsidRPr="00AC0FB6">
        <w:rPr>
          <w:lang w:val="cs-CZ"/>
        </w:rPr>
        <w:t xml:space="preserve">, </w:t>
      </w:r>
      <w:r w:rsidRPr="00D53A02">
        <w:rPr>
          <w:lang w:val="cs-CZ"/>
        </w:rPr>
        <w:t>tak aby NRB sehrávala roli jí určenou v Hospodářské strategii 2.0</w:t>
      </w:r>
      <w:r w:rsidRPr="56D5C414">
        <w:rPr>
          <w:lang w:val="cs-CZ"/>
        </w:rPr>
        <w:t>,</w:t>
      </w:r>
      <w:r w:rsidRPr="00D53A02">
        <w:rPr>
          <w:lang w:val="cs-CZ"/>
        </w:rPr>
        <w:t xml:space="preserve"> je </w:t>
      </w:r>
      <w:r w:rsidRPr="00AC0FB6">
        <w:rPr>
          <w:lang w:val="cs-CZ"/>
        </w:rPr>
        <w:t xml:space="preserve">nezbytné provést </w:t>
      </w:r>
      <w:r w:rsidRPr="00AC0FB6">
        <w:rPr>
          <w:b/>
          <w:lang w:val="cs-CZ"/>
        </w:rPr>
        <w:t>systémovou změnu v plném rozsahu</w:t>
      </w:r>
      <w:r w:rsidRPr="00D53A02">
        <w:rPr>
          <w:lang w:val="cs-CZ"/>
        </w:rPr>
        <w:t xml:space="preserve"> doprovázenou </w:t>
      </w:r>
      <w:r w:rsidRPr="00AC0FB6">
        <w:rPr>
          <w:b/>
          <w:lang w:val="cs-CZ"/>
        </w:rPr>
        <w:t>konkrétními institucionálními, procesními a kapacitními opatřeními</w:t>
      </w:r>
      <w:r w:rsidRPr="00AC0FB6">
        <w:rPr>
          <w:lang w:val="cs-CZ"/>
        </w:rPr>
        <w:t xml:space="preserve">, která by tuto roli fakticky umožnila naplnit. </w:t>
      </w:r>
    </w:p>
    <w:p w:rsidR="002835F4" w:rsidP="002835F4" w14:paraId="173E1B14" w14:textId="77777777">
      <w:pPr>
        <w:jc w:val="both"/>
        <w:rPr>
          <w:lang w:val="cs-CZ"/>
        </w:rPr>
      </w:pPr>
      <w:r w:rsidRPr="00845833">
        <w:rPr>
          <w:lang w:val="cs-CZ"/>
        </w:rPr>
        <w:t>Pro naplnění t</w:t>
      </w:r>
      <w:r>
        <w:rPr>
          <w:lang w:val="cs-CZ"/>
        </w:rPr>
        <w:t>éto role NRB</w:t>
      </w:r>
      <w:r w:rsidRPr="00845833">
        <w:rPr>
          <w:lang w:val="cs-CZ"/>
        </w:rPr>
        <w:t xml:space="preserve"> je nezbytné </w:t>
      </w:r>
      <w:r w:rsidRPr="00845833">
        <w:rPr>
          <w:b/>
          <w:lang w:val="cs-CZ"/>
        </w:rPr>
        <w:t>plné dokončení transformačního procesu NRB a</w:t>
      </w:r>
      <w:r>
        <w:rPr>
          <w:b/>
          <w:lang w:val="cs-CZ"/>
        </w:rPr>
        <w:t> </w:t>
      </w:r>
      <w:r w:rsidRPr="00845833">
        <w:rPr>
          <w:b/>
          <w:lang w:val="cs-CZ"/>
        </w:rPr>
        <w:t>vybudování plně funkčního a robustního IT systému, který bude odpovídat rozsahu i</w:t>
      </w:r>
      <w:r>
        <w:rPr>
          <w:b/>
          <w:lang w:val="cs-CZ"/>
        </w:rPr>
        <w:t> </w:t>
      </w:r>
      <w:r w:rsidRPr="00845833">
        <w:rPr>
          <w:b/>
          <w:lang w:val="cs-CZ"/>
        </w:rPr>
        <w:t xml:space="preserve">komplexitě budoucích aktivit. </w:t>
      </w:r>
      <w:r w:rsidRPr="00845833">
        <w:rPr>
          <w:lang w:val="cs-CZ"/>
        </w:rPr>
        <w:t xml:space="preserve">Klíčovým předpokladem je maximální automatizace procesů zpracování žádostí, administrace produktů i řízení portfolia tak, aby bylo možné efektivně přijímat výrazně větší objemy operací a současně obsluhovat nové typy příjemců, včetně subjektů mimo tradiční segment MSP. Digitalizace a standardizace postupů umožní zvýšit rychlost, transparentnost a kontrolovatelnost procesů, snížit administrativní náročnost a posílit schopnost banky flexibilně reagovat na nové priority hospodářské politiky státu i požadavky evropských programů. </w:t>
      </w:r>
    </w:p>
    <w:p w:rsidR="002835F4" w:rsidP="002835F4" w14:paraId="44A19513" w14:textId="77777777">
      <w:pPr>
        <w:jc w:val="both"/>
        <w:rPr>
          <w:lang w:val="cs-CZ"/>
        </w:rPr>
      </w:pPr>
      <w:r w:rsidRPr="00845833">
        <w:rPr>
          <w:lang w:val="cs-CZ"/>
        </w:rPr>
        <w:t xml:space="preserve">Bez technologicky a procesně dokončené transformace nebude možné naplnit očekávanou roli NRB jako hlavního </w:t>
      </w:r>
      <w:r>
        <w:t>jednoho z</w:t>
      </w:r>
      <w:r w:rsidRPr="0012102A">
        <w:t xml:space="preserve"> implementační</w:t>
      </w:r>
      <w:r>
        <w:t>ch</w:t>
      </w:r>
      <w:r w:rsidRPr="0039353B">
        <w:rPr>
          <w:lang w:val="cs-CZ"/>
        </w:rPr>
        <w:t xml:space="preserve"> </w:t>
      </w:r>
      <w:r>
        <w:t>subjektů</w:t>
      </w:r>
      <w:r w:rsidRPr="0012102A">
        <w:t xml:space="preserve"> </w:t>
      </w:r>
      <w:r w:rsidRPr="0039353B">
        <w:rPr>
          <w:lang w:val="cs-CZ"/>
        </w:rPr>
        <w:t xml:space="preserve">státu v oblasti návratné podpory po roce 2028. </w:t>
      </w:r>
    </w:p>
    <w:p w:rsidR="002835F4" w:rsidRPr="000F2C87" w:rsidP="002835F4" w14:paraId="05E0C655" w14:textId="77777777">
      <w:pPr>
        <w:jc w:val="both"/>
        <w:rPr>
          <w:lang w:val="cs-CZ"/>
        </w:rPr>
      </w:pPr>
    </w:p>
    <w:p w:rsidR="002835F4" w:rsidP="002835F4" w14:paraId="1B2568D9" w14:textId="77777777">
      <w:pPr>
        <w:pStyle w:val="Caption"/>
        <w:keepNext/>
        <w:jc w:val="both"/>
      </w:pPr>
      <w:r>
        <w:t xml:space="preserve">Obrázek </w:t>
      </w:r>
      <w:r>
        <w:fldChar w:fldCharType="begin"/>
      </w:r>
      <w:r>
        <w:instrText xml:space="preserve"> SEQ Obrázek \* ARABIC </w:instrText>
      </w:r>
      <w:r>
        <w:fldChar w:fldCharType="separate"/>
      </w:r>
      <w:r>
        <w:t>4</w:t>
      </w:r>
      <w:r>
        <w:fldChar w:fldCharType="end"/>
      </w:r>
      <w:r>
        <w:t>:</w:t>
      </w:r>
      <w:r w:rsidRPr="00816510">
        <w:t xml:space="preserve"> SWOT analýza centralizované varianty implementační struktury FN v 2028+, zdroj: MMR-NOK</w:t>
      </w:r>
    </w:p>
    <w:p w:rsidR="002835F4" w:rsidP="002835F4" w14:paraId="053408A1" w14:textId="77777777">
      <w:pPr>
        <w:spacing w:line="257" w:lineRule="auto"/>
        <w:jc w:val="both"/>
        <w:rPr>
          <w:lang w:val="cs-CZ"/>
        </w:rPr>
      </w:pPr>
      <w:r>
        <w:rPr>
          <w:noProof/>
          <w:lang w:val="cs-CZ"/>
        </w:rPr>
        <w:drawing>
          <wp:inline distT="0" distB="0" distL="0" distR="0">
            <wp:extent cx="5669333" cy="4258733"/>
            <wp:effectExtent l="0" t="0" r="7620" b="8890"/>
            <wp:docPr id="3924093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9362"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7136" cy="4287130"/>
                    </a:xfrm>
                    <a:prstGeom prst="rect">
                      <a:avLst/>
                    </a:prstGeom>
                    <a:noFill/>
                  </pic:spPr>
                </pic:pic>
              </a:graphicData>
            </a:graphic>
          </wp:inline>
        </w:drawing>
      </w:r>
    </w:p>
    <w:p w:rsidR="002835F4" w:rsidP="002835F4" w14:paraId="383BBA04" w14:textId="77777777">
      <w:pPr>
        <w:spacing w:before="240" w:after="240"/>
        <w:jc w:val="both"/>
      </w:pPr>
    </w:p>
    <w:p w:rsidR="002835F4" w:rsidRPr="00CE1FAD" w:rsidP="00CE1FAD" w14:paraId="665C07C3" w14:textId="6E358D0D">
      <w:pPr>
        <w:keepNext/>
        <w:rPr>
          <w:rStyle w:val="IntenseEmphasis"/>
        </w:rPr>
      </w:pPr>
      <w:r w:rsidRPr="00CE1FAD">
        <w:rPr>
          <w:rStyle w:val="IntenseEmphasis"/>
        </w:rPr>
        <w:t xml:space="preserve">Role NRB napříč </w:t>
      </w:r>
      <w:r w:rsidR="00627752">
        <w:rPr>
          <w:rStyle w:val="IntenseEmphasis"/>
        </w:rPr>
        <w:t>modely</w:t>
      </w:r>
    </w:p>
    <w:p w:rsidR="002835F4" w:rsidP="002835F4" w14:paraId="73A2BBA6" w14:textId="77777777">
      <w:pPr>
        <w:spacing w:before="240" w:after="240"/>
        <w:jc w:val="both"/>
        <w:rPr>
          <w:lang w:val="cs-CZ"/>
        </w:rPr>
      </w:pPr>
      <w:r w:rsidRPr="025137AC">
        <w:rPr>
          <w:lang w:val="cs-CZ"/>
        </w:rPr>
        <w:t xml:space="preserve">Bez ohledu na zvolený model lze identifikovat oblast, ve které má NRB </w:t>
      </w:r>
      <w:r w:rsidRPr="025137AC">
        <w:rPr>
          <w:b/>
          <w:bCs/>
          <w:lang w:val="cs-CZ"/>
        </w:rPr>
        <w:t>nezastupitelnou roli</w:t>
      </w:r>
      <w:r w:rsidRPr="025137AC">
        <w:rPr>
          <w:lang w:val="cs-CZ"/>
        </w:rPr>
        <w:t xml:space="preserve">, a to je </w:t>
      </w:r>
      <w:r w:rsidRPr="025137AC">
        <w:rPr>
          <w:b/>
          <w:bCs/>
          <w:lang w:val="cs-CZ"/>
        </w:rPr>
        <w:t>mobilizace dodatečných finančních zdrojů a spolupráce se soukromým sektorem</w:t>
      </w:r>
      <w:r w:rsidRPr="025137AC">
        <w:rPr>
          <w:lang w:val="cs-CZ"/>
        </w:rPr>
        <w:t xml:space="preserve">. Díky svému postavení regulované finanční instituce má NRB předpoklady fungovat jako </w:t>
      </w:r>
      <w:r w:rsidRPr="025137AC">
        <w:rPr>
          <w:b/>
          <w:bCs/>
          <w:lang w:val="cs-CZ"/>
        </w:rPr>
        <w:t>platforma pro zapojení bank, investičních fondů a dalších investorů</w:t>
      </w:r>
      <w:r w:rsidRPr="025137AC">
        <w:rPr>
          <w:lang w:val="cs-CZ"/>
        </w:rPr>
        <w:t>, a tím významně zvyšovat efektivitu veřejných intervencí.</w:t>
      </w:r>
    </w:p>
    <w:p w:rsidR="002835F4" w:rsidP="002835F4" w14:paraId="4505BA27" w14:textId="77777777">
      <w:pPr>
        <w:spacing w:before="240" w:after="240"/>
        <w:jc w:val="both"/>
        <w:rPr>
          <w:lang w:val="cs-CZ"/>
        </w:rPr>
      </w:pPr>
      <w:r w:rsidRPr="025137AC">
        <w:rPr>
          <w:lang w:val="cs-CZ"/>
        </w:rPr>
        <w:t xml:space="preserve">Z tohoto pohledu je žádoucí, aby NRB v implementační struktuře vždy plnila roli </w:t>
      </w:r>
      <w:r w:rsidRPr="025137AC">
        <w:rPr>
          <w:b/>
          <w:bCs/>
          <w:lang w:val="cs-CZ"/>
        </w:rPr>
        <w:t>finančního integrátora a partnera pro trh</w:t>
      </w:r>
      <w:r w:rsidRPr="025137AC">
        <w:rPr>
          <w:lang w:val="cs-CZ"/>
        </w:rPr>
        <w:t>, a to i v případě, že samotná implementace některých nástrojů bude svěřena jiným specializovaným institucím.</w:t>
      </w:r>
    </w:p>
    <w:p w:rsidR="002835F4" w:rsidP="002835F4" w14:paraId="07C344E9" w14:textId="77777777">
      <w:pPr>
        <w:spacing w:before="240" w:after="240"/>
        <w:jc w:val="both"/>
        <w:rPr>
          <w:lang w:val="cs-CZ"/>
        </w:rPr>
      </w:pPr>
    </w:p>
    <w:p w:rsidR="002835F4" w:rsidRPr="00CE1FAD" w:rsidP="00CE1FAD" w14:paraId="693750D8" w14:textId="77777777">
      <w:pPr>
        <w:rPr>
          <w:rStyle w:val="IntenseEmphasis"/>
        </w:rPr>
      </w:pPr>
      <w:r w:rsidRPr="00CE1FAD">
        <w:rPr>
          <w:rStyle w:val="IntenseEmphasis"/>
        </w:rPr>
        <w:t>Role Národního orgánu pro koordinaci</w:t>
      </w:r>
    </w:p>
    <w:p w:rsidR="002835F4" w:rsidP="002835F4" w14:paraId="0A256323" w14:textId="440AD042">
      <w:pPr>
        <w:jc w:val="both"/>
        <w:rPr>
          <w:lang w:val="cs-CZ"/>
        </w:rPr>
      </w:pPr>
      <w:r>
        <w:rPr>
          <w:b/>
          <w:bCs/>
          <w:lang w:val="cs-CZ"/>
        </w:rPr>
        <w:t xml:space="preserve">V obou </w:t>
      </w:r>
      <w:r w:rsidR="005155AE">
        <w:rPr>
          <w:b/>
          <w:bCs/>
          <w:lang w:val="cs-CZ"/>
        </w:rPr>
        <w:t>modelech implementace</w:t>
      </w:r>
      <w:r>
        <w:rPr>
          <w:b/>
          <w:bCs/>
          <w:lang w:val="cs-CZ"/>
        </w:rPr>
        <w:t xml:space="preserve"> působ</w:t>
      </w:r>
      <w:r w:rsidR="00627752">
        <w:rPr>
          <w:b/>
          <w:bCs/>
          <w:lang w:val="cs-CZ"/>
        </w:rPr>
        <w:t>í</w:t>
      </w:r>
      <w:r>
        <w:rPr>
          <w:b/>
          <w:bCs/>
          <w:lang w:val="cs-CZ"/>
        </w:rPr>
        <w:t xml:space="preserve"> </w:t>
      </w:r>
      <w:r w:rsidRPr="00996742">
        <w:rPr>
          <w:b/>
          <w:lang w:val="cs-CZ"/>
        </w:rPr>
        <w:t>NOK</w:t>
      </w:r>
      <w:r w:rsidRPr="000F2C87">
        <w:rPr>
          <w:lang w:val="cs-CZ"/>
        </w:rPr>
        <w:t xml:space="preserve"> </w:t>
      </w:r>
      <w:r>
        <w:rPr>
          <w:lang w:val="cs-CZ"/>
        </w:rPr>
        <w:t xml:space="preserve">jako </w:t>
      </w:r>
      <w:r w:rsidRPr="000F2C87">
        <w:rPr>
          <w:b/>
          <w:bCs/>
          <w:lang w:val="cs-CZ"/>
        </w:rPr>
        <w:t>centrální</w:t>
      </w:r>
      <w:r>
        <w:rPr>
          <w:b/>
          <w:bCs/>
          <w:lang w:val="cs-CZ"/>
        </w:rPr>
        <w:t xml:space="preserve"> </w:t>
      </w:r>
      <w:r w:rsidRPr="000F2C87">
        <w:rPr>
          <w:b/>
          <w:bCs/>
          <w:lang w:val="cs-CZ"/>
        </w:rPr>
        <w:t>koordinační subjekt</w:t>
      </w:r>
      <w:r>
        <w:rPr>
          <w:lang w:val="cs-CZ"/>
        </w:rPr>
        <w:t>.</w:t>
      </w:r>
      <w:r w:rsidRPr="000F2C87">
        <w:rPr>
          <w:lang w:val="cs-CZ"/>
        </w:rPr>
        <w:t xml:space="preserve"> Jeho postavení vychází z kontinuálního výkonu klíčových činností v předchozích obdobích, od strategického nastavení až po metodické vedení a dohled nad jednotným fungováním celého systému</w:t>
      </w:r>
      <w:r>
        <w:rPr>
          <w:lang w:val="cs-CZ"/>
        </w:rPr>
        <w:t xml:space="preserve"> včetně jednotného metodického zastřešení FN</w:t>
      </w:r>
      <w:r w:rsidRPr="000F2C87">
        <w:rPr>
          <w:lang w:val="cs-CZ"/>
        </w:rPr>
        <w:t xml:space="preserve">. </w:t>
      </w:r>
    </w:p>
    <w:p w:rsidR="002835F4" w:rsidRPr="000F2C87" w:rsidP="002835F4" w14:paraId="5758E212" w14:textId="77777777">
      <w:pPr>
        <w:jc w:val="both"/>
        <w:rPr>
          <w:lang w:val="cs-CZ"/>
        </w:rPr>
      </w:pPr>
      <w:r w:rsidRPr="000F2C87">
        <w:rPr>
          <w:lang w:val="cs-CZ"/>
        </w:rPr>
        <w:t xml:space="preserve">Díky této dlouhodobě budované expertíze bude NOK v období 2028+ vystupovat jako hlavní koordinační uzel finančních nástrojů, který propojuje strategické cíle NRPP s konkrétní implementací návratných forem podpory. </w:t>
      </w:r>
    </w:p>
    <w:p w:rsidR="002835F4" w:rsidP="002835F4" w14:paraId="07E5BAC3" w14:textId="77777777">
      <w:pPr>
        <w:spacing w:before="240" w:after="240"/>
        <w:jc w:val="both"/>
        <w:rPr>
          <w:lang w:val="cs-CZ"/>
        </w:rPr>
      </w:pPr>
      <w:r w:rsidRPr="00996742">
        <w:rPr>
          <w:b/>
          <w:lang w:val="cs-CZ"/>
        </w:rPr>
        <w:t>NOK bude zastřešujícím a integračním prvkem pro všechny podpory realizované formou finančních nástrojů v budoucím NRPP, a to napříč resorty i implementačními strukturami</w:t>
      </w:r>
      <w:r w:rsidRPr="000F2C87">
        <w:rPr>
          <w:lang w:val="cs-CZ"/>
        </w:rPr>
        <w:t xml:space="preserve">. </w:t>
      </w:r>
    </w:p>
    <w:p w:rsidR="002835F4" w:rsidP="002835F4" w14:paraId="133A85BD" w14:textId="77777777">
      <w:pPr>
        <w:spacing w:before="240" w:after="240"/>
        <w:jc w:val="both"/>
        <w:rPr>
          <w:lang w:val="cs-CZ"/>
        </w:rPr>
      </w:pPr>
      <w:r w:rsidRPr="000F2C87">
        <w:rPr>
          <w:lang w:val="cs-CZ"/>
        </w:rPr>
        <w:t>Jeho úkolem nebude pouze metodické usměrňování, ale především zajištění jednotného rámce pro návrh, nastavení, monitorování a vyhodnocování finančních nástrojů tak, aby byly vzájemně komplementární, nedocházelo k překryvům a byla maximalizována jejich přidaná hodnota.</w:t>
      </w:r>
    </w:p>
    <w:p w:rsidR="002835F4" w:rsidP="002835F4" w14:paraId="47294E4B" w14:textId="77777777">
      <w:pPr>
        <w:spacing w:before="240" w:after="240"/>
        <w:jc w:val="both"/>
        <w:rPr>
          <w:lang w:val="cs-CZ"/>
        </w:rPr>
      </w:pPr>
      <w:r>
        <w:rPr>
          <w:lang w:val="cs-CZ"/>
        </w:rPr>
        <w:br w:type="page"/>
      </w:r>
    </w:p>
    <w:p w:rsidR="004A1312" w:rsidP="007F315C" w14:paraId="0F8B42E7" w14:textId="24350706">
      <w:pPr>
        <w:pStyle w:val="Heading1"/>
        <w:ind w:left="709" w:hanging="709"/>
      </w:pPr>
      <w:bookmarkStart w:id="19" w:name="_Toc256000012"/>
      <w:r w:rsidRPr="007F315C">
        <w:t>ZAPOJENÉ</w:t>
      </w:r>
      <w:r>
        <w:t xml:space="preserve"> SUBJEKTY</w:t>
      </w:r>
      <w:r w:rsidR="00A571ED">
        <w:t xml:space="preserve"> DO IMPLEMENTACE</w:t>
      </w:r>
      <w:r w:rsidR="00CC3A7B">
        <w:t xml:space="preserve"> </w:t>
      </w:r>
      <w:r w:rsidR="006F771F">
        <w:t xml:space="preserve">FINANČNÍCH NÁSTROJŮ </w:t>
      </w:r>
      <w:r w:rsidR="00CC3A7B">
        <w:t>V NRPP</w:t>
      </w:r>
      <w:bookmarkEnd w:id="19"/>
    </w:p>
    <w:p w:rsidR="004A1312" w:rsidP="00FB7F6E" w14:paraId="22C08B26" w14:textId="771522CF">
      <w:pPr>
        <w:spacing w:before="240"/>
        <w:jc w:val="both"/>
        <w:rPr>
          <w:lang w:val="cs-CZ"/>
        </w:rPr>
      </w:pPr>
      <w:r w:rsidRPr="004A1312">
        <w:rPr>
          <w:lang w:val="cs-CZ"/>
        </w:rPr>
        <w:t>Následující kapitola se zaměřuje na přehled klíčových institucí zapojených do přípravy, správy a</w:t>
      </w:r>
      <w:r w:rsidR="006B1458">
        <w:rPr>
          <w:lang w:val="cs-CZ"/>
        </w:rPr>
        <w:t> </w:t>
      </w:r>
      <w:r w:rsidRPr="004A1312">
        <w:rPr>
          <w:lang w:val="cs-CZ"/>
        </w:rPr>
        <w:t xml:space="preserve">implementace </w:t>
      </w:r>
      <w:r>
        <w:rPr>
          <w:lang w:val="cs-CZ"/>
        </w:rPr>
        <w:t xml:space="preserve">FN </w:t>
      </w:r>
      <w:r w:rsidRPr="004A1312">
        <w:rPr>
          <w:lang w:val="cs-CZ"/>
        </w:rPr>
        <w:t xml:space="preserve">v českém prostředí, zejména </w:t>
      </w:r>
      <w:r>
        <w:rPr>
          <w:lang w:val="cs-CZ"/>
        </w:rPr>
        <w:t xml:space="preserve">NRB </w:t>
      </w:r>
      <w:r w:rsidRPr="004A1312">
        <w:rPr>
          <w:lang w:val="cs-CZ"/>
        </w:rPr>
        <w:t>a státních fondů. U jednotlivých subjektů jsou shrnuty jejich dosavadní zkušenosti s realizací finančních nástrojů</w:t>
      </w:r>
      <w:r>
        <w:rPr>
          <w:lang w:val="cs-CZ"/>
        </w:rPr>
        <w:t xml:space="preserve"> a</w:t>
      </w:r>
      <w:r w:rsidRPr="004A1312">
        <w:rPr>
          <w:lang w:val="cs-CZ"/>
        </w:rPr>
        <w:t xml:space="preserve"> potenciální role, kterou mohou sehrát při implementaci </w:t>
      </w:r>
      <w:r>
        <w:rPr>
          <w:lang w:val="cs-CZ"/>
        </w:rPr>
        <w:t xml:space="preserve">FN </w:t>
      </w:r>
      <w:r w:rsidRPr="004A1312">
        <w:rPr>
          <w:lang w:val="cs-CZ"/>
        </w:rPr>
        <w:t>v rámci NRPP po roce 2028. Cílem kapitoly je vytvořit přehledný základ pro posouzení vhodného rozdělení rolí a odpovědností v budoucím implementačním uspořádání.</w:t>
      </w:r>
    </w:p>
    <w:p w:rsidR="001D61D4" w:rsidRPr="00CF5F7B" w:rsidP="001D61D4" w14:paraId="2DBA77B5" w14:textId="215B4613">
      <w:pPr>
        <w:spacing w:before="240" w:after="240"/>
        <w:jc w:val="both"/>
        <w:rPr>
          <w:lang w:val="cs-CZ"/>
        </w:rPr>
      </w:pPr>
      <w:r w:rsidRPr="002835F4">
        <w:rPr>
          <w:lang w:val="cs-CZ"/>
        </w:rPr>
        <w:t xml:space="preserve">Nastavení implementační struktury finančních nástrojů představuje </w:t>
      </w:r>
      <w:r w:rsidRPr="002835F4">
        <w:rPr>
          <w:b/>
          <w:bCs/>
          <w:lang w:val="cs-CZ"/>
        </w:rPr>
        <w:t>klíčový předpoklad pro jejich efektivní, koordinované a dlouhodobě udržitelné využívání</w:t>
      </w:r>
      <w:r w:rsidRPr="002835F4">
        <w:rPr>
          <w:lang w:val="cs-CZ"/>
        </w:rPr>
        <w:t>.</w:t>
      </w:r>
      <w:r w:rsidRPr="00CF5F7B">
        <w:rPr>
          <w:lang w:val="cs-CZ"/>
        </w:rPr>
        <w:t xml:space="preserve"> </w:t>
      </w:r>
    </w:p>
    <w:p w:rsidR="001D61D4" w:rsidP="001D61D4" w14:paraId="3422EA7A" w14:textId="38094AE4">
      <w:pPr>
        <w:spacing w:before="240" w:after="240"/>
        <w:jc w:val="both"/>
        <w:rPr>
          <w:lang w:val="cs-CZ"/>
        </w:rPr>
      </w:pPr>
    </w:p>
    <w:p w:rsidR="00B661E6" w:rsidRPr="000F2C87" w:rsidP="000C7B50" w14:paraId="2DCCC66D" w14:textId="724D732B">
      <w:pPr>
        <w:pStyle w:val="Heading3"/>
        <w:numPr>
          <w:ilvl w:val="0"/>
          <w:numId w:val="0"/>
        </w:numPr>
      </w:pPr>
      <w:r w:rsidRPr="000F2C87">
        <w:t xml:space="preserve">Národní rozvojová banka </w:t>
      </w:r>
    </w:p>
    <w:p w:rsidR="00EB774B" w:rsidRPr="000F2C87" w:rsidP="00801CCA" w14:paraId="3C9CE410" w14:textId="7D9225C6">
      <w:pPr>
        <w:jc w:val="both"/>
        <w:rPr>
          <w:lang w:val="cs-CZ"/>
        </w:rPr>
      </w:pPr>
      <w:r w:rsidRPr="000F2C87">
        <w:rPr>
          <w:lang w:val="cs-CZ"/>
        </w:rPr>
        <w:t>N</w:t>
      </w:r>
      <w:r w:rsidRPr="000F2C87" w:rsidR="00FF752E">
        <w:rPr>
          <w:lang w:val="cs-CZ"/>
        </w:rPr>
        <w:t>árodní rozvojová banka</w:t>
      </w:r>
      <w:r w:rsidRPr="000F2C87">
        <w:rPr>
          <w:lang w:val="cs-CZ"/>
        </w:rPr>
        <w:t xml:space="preserve"> </w:t>
      </w:r>
      <w:r w:rsidRPr="000F2C87" w:rsidR="000255AE">
        <w:rPr>
          <w:lang w:val="cs-CZ"/>
        </w:rPr>
        <w:t xml:space="preserve">dlouhodobě </w:t>
      </w:r>
      <w:r w:rsidRPr="000F2C87">
        <w:rPr>
          <w:lang w:val="cs-CZ"/>
        </w:rPr>
        <w:t>plní roli rozvojové banky státu, jejímž primárním zaměřením je poskytování úvěrů a záruk, zejména malým a středním podnikům</w:t>
      </w:r>
      <w:r w:rsidR="00D014CA">
        <w:rPr>
          <w:lang w:val="cs-CZ"/>
        </w:rPr>
        <w:t>,</w:t>
      </w:r>
      <w:r w:rsidR="00CF4DF1">
        <w:rPr>
          <w:lang w:val="cs-CZ"/>
        </w:rPr>
        <w:t xml:space="preserve"> </w:t>
      </w:r>
      <w:r w:rsidR="00482F33">
        <w:rPr>
          <w:lang w:val="cs-CZ"/>
        </w:rPr>
        <w:t>zvýhodněného financování</w:t>
      </w:r>
      <w:r w:rsidRPr="000F2C87" w:rsidR="00C61D39">
        <w:rPr>
          <w:lang w:val="cs-CZ"/>
        </w:rPr>
        <w:t xml:space="preserve"> pro rozvoj </w:t>
      </w:r>
      <w:r w:rsidR="00CF4DF1">
        <w:rPr>
          <w:lang w:val="cs-CZ"/>
        </w:rPr>
        <w:t xml:space="preserve">veřejné </w:t>
      </w:r>
      <w:r w:rsidRPr="000F2C87" w:rsidR="00C61D39">
        <w:rPr>
          <w:lang w:val="cs-CZ"/>
        </w:rPr>
        <w:t>infrastruktury</w:t>
      </w:r>
      <w:r w:rsidR="00CF4DF1">
        <w:rPr>
          <w:lang w:val="cs-CZ"/>
        </w:rPr>
        <w:t>, zahraniční roz</w:t>
      </w:r>
      <w:r w:rsidR="00482F33">
        <w:rPr>
          <w:lang w:val="cs-CZ"/>
        </w:rPr>
        <w:t>vojové financování a poradenství</w:t>
      </w:r>
      <w:r w:rsidRPr="000F2C87">
        <w:rPr>
          <w:lang w:val="cs-CZ"/>
        </w:rPr>
        <w:t>.</w:t>
      </w:r>
      <w:r w:rsidRPr="000F2C87">
        <w:rPr>
          <w:lang w:val="cs-CZ"/>
        </w:rPr>
        <w:t xml:space="preserve"> </w:t>
      </w:r>
    </w:p>
    <w:p w:rsidR="001224B4" w:rsidP="08046740" w14:paraId="6DA44198" w14:textId="0B829C9D">
      <w:pPr>
        <w:jc w:val="both"/>
        <w:rPr>
          <w:lang w:val="cs-CZ"/>
        </w:rPr>
      </w:pPr>
      <w:r w:rsidRPr="035825B8">
        <w:rPr>
          <w:b/>
          <w:lang w:val="cs-CZ"/>
        </w:rPr>
        <w:t>Dlouhodobá Strategie NRB na roky 2025-2034</w:t>
      </w:r>
      <w:r w:rsidRPr="000F2C87">
        <w:rPr>
          <w:lang w:val="cs-CZ"/>
        </w:rPr>
        <w:t xml:space="preserve"> definuje dlouhodobý cíl </w:t>
      </w:r>
      <w:r w:rsidRPr="00170B54">
        <w:rPr>
          <w:lang w:val="cs-CZ"/>
        </w:rPr>
        <w:t>banky „100+1“</w:t>
      </w:r>
      <w:r w:rsidRPr="00170B54" w:rsidR="00C253F8">
        <w:rPr>
          <w:lang w:val="cs-CZ"/>
        </w:rPr>
        <w:t>,</w:t>
      </w:r>
      <w:r w:rsidRPr="000F2C87" w:rsidR="00C253F8">
        <w:rPr>
          <w:lang w:val="cs-CZ"/>
        </w:rPr>
        <w:t xml:space="preserve"> který počítá s </w:t>
      </w:r>
      <w:r w:rsidRPr="035825B8" w:rsidR="3AF930CF">
        <w:rPr>
          <w:lang w:val="cs-CZ"/>
        </w:rPr>
        <w:t>dos</w:t>
      </w:r>
      <w:r w:rsidRPr="035825B8" w:rsidR="3CB17184">
        <w:rPr>
          <w:lang w:val="cs-CZ"/>
        </w:rPr>
        <w:t>ažením</w:t>
      </w:r>
      <w:r w:rsidRPr="000F2C87" w:rsidR="00C253F8">
        <w:rPr>
          <w:lang w:val="cs-CZ"/>
        </w:rPr>
        <w:t xml:space="preserve"> ročního objemu poskytnutého financování ve výši 1 %</w:t>
      </w:r>
      <w:r w:rsidR="00170B54">
        <w:rPr>
          <w:lang w:val="cs-CZ"/>
        </w:rPr>
        <w:t xml:space="preserve"> </w:t>
      </w:r>
      <w:r w:rsidRPr="000F2C87" w:rsidR="00C253F8">
        <w:rPr>
          <w:lang w:val="cs-CZ"/>
        </w:rPr>
        <w:t>HDP (přibližně 66</w:t>
      </w:r>
      <w:r w:rsidR="006B1458">
        <w:rPr>
          <w:lang w:val="cs-CZ"/>
        </w:rPr>
        <w:t> </w:t>
      </w:r>
      <w:r w:rsidRPr="000F2C87" w:rsidR="00C253F8">
        <w:rPr>
          <w:lang w:val="cs-CZ"/>
        </w:rPr>
        <w:t>m</w:t>
      </w:r>
      <w:r w:rsidR="00170B54">
        <w:rPr>
          <w:lang w:val="cs-CZ"/>
        </w:rPr>
        <w:t>ld. </w:t>
      </w:r>
      <w:r w:rsidR="006B1458">
        <w:rPr>
          <w:lang w:val="cs-CZ"/>
        </w:rPr>
        <w:t>Kč</w:t>
      </w:r>
      <w:r w:rsidR="00EE7C66">
        <w:rPr>
          <w:lang w:val="cs-CZ"/>
        </w:rPr>
        <w:t xml:space="preserve"> ročně</w:t>
      </w:r>
      <w:r w:rsidRPr="000F2C87" w:rsidR="00C253F8">
        <w:rPr>
          <w:lang w:val="cs-CZ"/>
        </w:rPr>
        <w:t>) do roku 2030, s dlouhodobým cílem 1,2 % HDP (81 m</w:t>
      </w:r>
      <w:r w:rsidR="00170B54">
        <w:rPr>
          <w:lang w:val="cs-CZ"/>
        </w:rPr>
        <w:t>ld.</w:t>
      </w:r>
      <w:r w:rsidRPr="000F2C87" w:rsidR="00C253F8">
        <w:rPr>
          <w:lang w:val="cs-CZ"/>
        </w:rPr>
        <w:t xml:space="preserve"> </w:t>
      </w:r>
      <w:r w:rsidR="00170B54">
        <w:rPr>
          <w:lang w:val="cs-CZ"/>
        </w:rPr>
        <w:t>Kč</w:t>
      </w:r>
      <w:r w:rsidRPr="035825B8" w:rsidR="3AF930CF">
        <w:rPr>
          <w:lang w:val="cs-CZ"/>
        </w:rPr>
        <w:t>)</w:t>
      </w:r>
      <w:r w:rsidRPr="035825B8" w:rsidR="0972814C">
        <w:rPr>
          <w:lang w:val="cs-CZ"/>
        </w:rPr>
        <w:t>,</w:t>
      </w:r>
      <w:r w:rsidRPr="000F2C87" w:rsidR="00B824B2">
        <w:rPr>
          <w:lang w:val="cs-CZ"/>
        </w:rPr>
        <w:t xml:space="preserve"> a to ze své pozice</w:t>
      </w:r>
      <w:r w:rsidRPr="000F2C87">
        <w:rPr>
          <w:lang w:val="cs-CZ"/>
        </w:rPr>
        <w:t xml:space="preserve"> klíčov</w:t>
      </w:r>
      <w:r w:rsidRPr="000F2C87" w:rsidR="00B824B2">
        <w:rPr>
          <w:lang w:val="cs-CZ"/>
        </w:rPr>
        <w:t>ého</w:t>
      </w:r>
      <w:r w:rsidRPr="000F2C87">
        <w:rPr>
          <w:lang w:val="cs-CZ"/>
        </w:rPr>
        <w:t xml:space="preserve"> nástroj</w:t>
      </w:r>
      <w:r w:rsidRPr="000F2C87" w:rsidR="00B824B2">
        <w:rPr>
          <w:lang w:val="cs-CZ"/>
        </w:rPr>
        <w:t>e</w:t>
      </w:r>
      <w:r w:rsidRPr="000F2C87">
        <w:rPr>
          <w:lang w:val="cs-CZ"/>
        </w:rPr>
        <w:t xml:space="preserve"> ekonomické transformace a růstu české ekonomiky.</w:t>
      </w:r>
    </w:p>
    <w:p w:rsidR="00781349" w:rsidRPr="00781349" w:rsidP="00781349" w14:paraId="33CEF314" w14:textId="4874FDB9">
      <w:pPr>
        <w:jc w:val="both"/>
        <w:rPr>
          <w:lang w:val="cs-CZ"/>
        </w:rPr>
      </w:pPr>
      <w:r w:rsidRPr="00781349">
        <w:rPr>
          <w:lang w:val="cs-CZ"/>
        </w:rPr>
        <w:t xml:space="preserve">NRB v posledních letech prošla </w:t>
      </w:r>
      <w:r w:rsidR="00825F7A">
        <w:rPr>
          <w:lang w:val="cs-CZ"/>
        </w:rPr>
        <w:t>několika zásadními změnami.</w:t>
      </w:r>
      <w:r w:rsidRPr="00781349">
        <w:rPr>
          <w:lang w:val="cs-CZ"/>
        </w:rPr>
        <w:t xml:space="preserve"> V</w:t>
      </w:r>
      <w:r w:rsidR="00DE29A9">
        <w:rPr>
          <w:lang w:val="cs-CZ"/>
        </w:rPr>
        <w:t> </w:t>
      </w:r>
      <w:r w:rsidRPr="00781349">
        <w:rPr>
          <w:lang w:val="cs-CZ"/>
        </w:rPr>
        <w:t>roce</w:t>
      </w:r>
      <w:r w:rsidR="00DE29A9">
        <w:rPr>
          <w:lang w:val="cs-CZ"/>
        </w:rPr>
        <w:t xml:space="preserve"> 2023 získala </w:t>
      </w:r>
      <w:r w:rsidRPr="00F77DA1" w:rsidR="00DE29A9">
        <w:rPr>
          <w:lang w:val="cs-CZ"/>
        </w:rPr>
        <w:t>Pilířové hodnocení Evropské komise</w:t>
      </w:r>
      <w:r w:rsidR="000F4BDD">
        <w:rPr>
          <w:lang w:val="cs-CZ"/>
        </w:rPr>
        <w:t>,</w:t>
      </w:r>
      <w:r w:rsidR="00DE29A9">
        <w:rPr>
          <w:lang w:val="cs-CZ"/>
        </w:rPr>
        <w:t xml:space="preserve"> které</w:t>
      </w:r>
      <w:r w:rsidRPr="00F77DA1" w:rsidR="00DE29A9">
        <w:rPr>
          <w:lang w:val="cs-CZ"/>
        </w:rPr>
        <w:t xml:space="preserve"> potvrdilo, že NRB splňuje přísné standardy pro přímou správu evropských prostředků</w:t>
      </w:r>
      <w:r w:rsidR="00DE29A9">
        <w:rPr>
          <w:lang w:val="cs-CZ"/>
        </w:rPr>
        <w:t xml:space="preserve">. </w:t>
      </w:r>
      <w:r w:rsidRPr="00781349">
        <w:rPr>
          <w:lang w:val="cs-CZ"/>
        </w:rPr>
        <w:t>V roce 2024 byla vyňata z regulatorního rámce CRD, vláda schválila její dlouhodobou strategii 2025–2034</w:t>
      </w:r>
      <w:r w:rsidR="00347711">
        <w:rPr>
          <w:lang w:val="cs-CZ"/>
        </w:rPr>
        <w:t>.</w:t>
      </w:r>
      <w:r w:rsidRPr="00781349">
        <w:rPr>
          <w:lang w:val="cs-CZ"/>
        </w:rPr>
        <w:t xml:space="preserve"> Přijetím samostatného zákona č.</w:t>
      </w:r>
      <w:r w:rsidRPr="00781349">
        <w:rPr>
          <w:rFonts w:ascii="Arial" w:hAnsi="Arial" w:cs="Arial"/>
          <w:lang w:val="cs-CZ"/>
        </w:rPr>
        <w:t> </w:t>
      </w:r>
      <w:r w:rsidRPr="00781349">
        <w:rPr>
          <w:lang w:val="cs-CZ"/>
        </w:rPr>
        <w:t>34/2025</w:t>
      </w:r>
      <w:r w:rsidRPr="00781349">
        <w:rPr>
          <w:rFonts w:ascii="Arial" w:hAnsi="Arial" w:cs="Arial"/>
          <w:lang w:val="cs-CZ"/>
        </w:rPr>
        <w:t> </w:t>
      </w:r>
      <w:r w:rsidRPr="00781349">
        <w:rPr>
          <w:lang w:val="cs-CZ"/>
        </w:rPr>
        <w:t xml:space="preserve">Sb. byla vymezena role NRB jako státní rozvojové instituce, </w:t>
      </w:r>
      <w:r w:rsidR="00F13AA5">
        <w:rPr>
          <w:lang w:val="cs-CZ"/>
        </w:rPr>
        <w:t xml:space="preserve">dále byl </w:t>
      </w:r>
      <w:r w:rsidRPr="00781349">
        <w:rPr>
          <w:lang w:val="cs-CZ"/>
        </w:rPr>
        <w:t xml:space="preserve">výkon akcionářských práv </w:t>
      </w:r>
      <w:r w:rsidR="00EA28F3">
        <w:rPr>
          <w:lang w:val="cs-CZ"/>
        </w:rPr>
        <w:t xml:space="preserve">sjednocen </w:t>
      </w:r>
      <w:r w:rsidRPr="00781349">
        <w:rPr>
          <w:lang w:val="cs-CZ"/>
        </w:rPr>
        <w:t>pod Ministerstvo financí</w:t>
      </w:r>
      <w:r>
        <w:rPr>
          <w:lang w:val="cs-CZ"/>
        </w:rPr>
        <w:t xml:space="preserve">. </w:t>
      </w:r>
      <w:r w:rsidRPr="00781349">
        <w:rPr>
          <w:lang w:val="cs-CZ"/>
        </w:rPr>
        <w:t xml:space="preserve">V lednu 2026 došlo </w:t>
      </w:r>
      <w:r w:rsidR="00F13AA5">
        <w:rPr>
          <w:lang w:val="cs-CZ"/>
        </w:rPr>
        <w:t>také</w:t>
      </w:r>
      <w:r w:rsidRPr="00781349">
        <w:rPr>
          <w:lang w:val="cs-CZ"/>
        </w:rPr>
        <w:t xml:space="preserve"> k integraci s Českou exportní bankou</w:t>
      </w:r>
      <w:r w:rsidR="008E04FD">
        <w:rPr>
          <w:lang w:val="cs-CZ"/>
        </w:rPr>
        <w:t xml:space="preserve">. </w:t>
      </w:r>
    </w:p>
    <w:p w:rsidR="00F77DA1" w:rsidRPr="00F77DA1" w:rsidP="00F77DA1" w14:paraId="0C5F85DB" w14:textId="27E266C7">
      <w:pPr>
        <w:jc w:val="both"/>
        <w:rPr>
          <w:lang w:val="cs-CZ"/>
        </w:rPr>
      </w:pPr>
      <w:r>
        <w:rPr>
          <w:lang w:val="cs-CZ"/>
        </w:rPr>
        <w:t xml:space="preserve">Na základě provedených </w:t>
      </w:r>
      <w:r w:rsidR="008E04FD">
        <w:rPr>
          <w:lang w:val="cs-CZ"/>
        </w:rPr>
        <w:t>kroků</w:t>
      </w:r>
      <w:r w:rsidRPr="00F77DA1">
        <w:rPr>
          <w:lang w:val="cs-CZ"/>
        </w:rPr>
        <w:t xml:space="preserve"> </w:t>
      </w:r>
      <w:r w:rsidRPr="00CA503C">
        <w:rPr>
          <w:b/>
          <w:lang w:val="cs-CZ"/>
        </w:rPr>
        <w:t xml:space="preserve">NRB disponuje </w:t>
      </w:r>
      <w:r w:rsidRPr="00CA503C">
        <w:rPr>
          <w:b/>
          <w:lang w:val="cs-CZ"/>
        </w:rPr>
        <w:t>vhodným</w:t>
      </w:r>
      <w:r w:rsidRPr="00CA503C">
        <w:rPr>
          <w:b/>
          <w:lang w:val="cs-CZ"/>
        </w:rPr>
        <w:t xml:space="preserve"> legislativním i kapitálovým rámcem</w:t>
      </w:r>
      <w:r w:rsidRPr="00F77DA1">
        <w:rPr>
          <w:lang w:val="cs-CZ"/>
        </w:rPr>
        <w:t xml:space="preserve">, který umožňuje mimo jiné emise projektových dluhopisů se státní zárukou a přijímání vkladů od obcí a krajů, čímž </w:t>
      </w:r>
      <w:r w:rsidR="008C4321">
        <w:rPr>
          <w:lang w:val="cs-CZ"/>
        </w:rPr>
        <w:t>vytváří potenciální</w:t>
      </w:r>
      <w:r w:rsidRPr="00F77DA1">
        <w:rPr>
          <w:lang w:val="cs-CZ"/>
        </w:rPr>
        <w:t xml:space="preserve"> schopnost financovat strategické investice. NRB </w:t>
      </w:r>
      <w:r w:rsidR="00825A75">
        <w:rPr>
          <w:lang w:val="cs-CZ"/>
        </w:rPr>
        <w:t>postupně</w:t>
      </w:r>
      <w:r w:rsidRPr="00F77DA1">
        <w:rPr>
          <w:lang w:val="cs-CZ"/>
        </w:rPr>
        <w:t xml:space="preserve"> rozvíjí své kapacity, zejména v oblasti IT infrastruktury </w:t>
      </w:r>
      <w:r w:rsidR="006628C8">
        <w:rPr>
          <w:lang w:val="cs-CZ"/>
        </w:rPr>
        <w:t xml:space="preserve">a </w:t>
      </w:r>
      <w:r w:rsidR="00062760">
        <w:rPr>
          <w:lang w:val="cs-CZ"/>
        </w:rPr>
        <w:t>odbornosti.</w:t>
      </w:r>
    </w:p>
    <w:p w:rsidR="00034204" w:rsidRPr="00034204" w:rsidP="00034204" w14:paraId="1D9157A2" w14:textId="77777777">
      <w:pPr>
        <w:jc w:val="both"/>
        <w:rPr>
          <w:lang w:val="cs-CZ"/>
        </w:rPr>
      </w:pPr>
      <w:r w:rsidRPr="00034204">
        <w:rPr>
          <w:lang w:val="cs-CZ"/>
        </w:rPr>
        <w:t xml:space="preserve">V souladu se svou strategií navazuje NRB na dlouhodobý důraz na podporu malých a středních podniků, které jsou klíčové pro hospodářský růst, avšak často čelí obtížnějšímu přístupu ke komerčnímu financování. </w:t>
      </w:r>
      <w:r w:rsidRPr="00034204">
        <w:rPr>
          <w:b/>
          <w:lang w:val="cs-CZ"/>
        </w:rPr>
        <w:t>Pro období 2028+ je NRB koncipována jako hlavní financující subjekt státu pro podnikatelský sektor</w:t>
      </w:r>
      <w:r w:rsidRPr="00034204">
        <w:rPr>
          <w:lang w:val="cs-CZ"/>
        </w:rPr>
        <w:t>, který bude trh doplňovat zejména prostřednictvím zvýhodněných úvěrů a záruk. Tato role je postupně rozšiřována i na podporu veřejné infrastruktury, včetně bydlení, sociální infrastruktury, klíčové dopravní a energetické infrastruktury a specializovaných veřejných investic.</w:t>
      </w:r>
    </w:p>
    <w:p w:rsidR="00034204" w:rsidRPr="00034204" w:rsidP="00034204" w14:paraId="6BDBB266" w14:textId="77777777">
      <w:pPr>
        <w:jc w:val="both"/>
        <w:rPr>
          <w:lang w:val="cs-CZ"/>
        </w:rPr>
      </w:pPr>
      <w:r w:rsidRPr="00034204">
        <w:rPr>
          <w:lang w:val="cs-CZ"/>
        </w:rPr>
        <w:t xml:space="preserve">Současně by měla </w:t>
      </w:r>
      <w:r w:rsidRPr="00034204">
        <w:rPr>
          <w:b/>
          <w:lang w:val="cs-CZ"/>
        </w:rPr>
        <w:t>NRB plnit širší rozvojovou funkci v podobě aktivní mobilizace dodatečných finančních zdrojů pro veřejné účely</w:t>
      </w:r>
      <w:r w:rsidRPr="00034204">
        <w:rPr>
          <w:lang w:val="cs-CZ"/>
        </w:rPr>
        <w:t>, mimo jiné prostřednictvím emisí dluhopisů se státní garancí dle §</w:t>
      </w:r>
      <w:r w:rsidRPr="00034204">
        <w:rPr>
          <w:rFonts w:ascii="Arial" w:hAnsi="Arial" w:cs="Arial"/>
          <w:lang w:val="cs-CZ"/>
        </w:rPr>
        <w:t> </w:t>
      </w:r>
      <w:r w:rsidRPr="00034204">
        <w:rPr>
          <w:lang w:val="cs-CZ"/>
        </w:rPr>
        <w:t>8 zákona č.</w:t>
      </w:r>
      <w:r w:rsidRPr="00034204">
        <w:rPr>
          <w:rFonts w:ascii="Arial" w:hAnsi="Arial" w:cs="Arial"/>
          <w:lang w:val="cs-CZ"/>
        </w:rPr>
        <w:t> </w:t>
      </w:r>
      <w:r w:rsidRPr="00034204">
        <w:rPr>
          <w:lang w:val="cs-CZ"/>
        </w:rPr>
        <w:t xml:space="preserve">34/2025 Sb. </w:t>
      </w:r>
    </w:p>
    <w:p w:rsidR="00E4322D" w:rsidRPr="000F2C87" w:rsidP="00E4322D" w14:paraId="65FEE85F" w14:textId="77777777">
      <w:pPr>
        <w:jc w:val="both"/>
        <w:rPr>
          <w:lang w:val="cs-CZ"/>
        </w:rPr>
      </w:pPr>
      <w:r w:rsidRPr="000F2C87">
        <w:rPr>
          <w:lang w:val="cs-CZ"/>
        </w:rPr>
        <w:t xml:space="preserve">NRB by také měla postupně rozvíjet </w:t>
      </w:r>
      <w:r w:rsidRPr="000F2C87">
        <w:rPr>
          <w:b/>
          <w:bCs/>
          <w:lang w:val="cs-CZ"/>
        </w:rPr>
        <w:t>nové formy spolupráce s finančním trhem</w:t>
      </w:r>
      <w:r w:rsidRPr="000F2C87">
        <w:rPr>
          <w:lang w:val="cs-CZ"/>
        </w:rPr>
        <w:t xml:space="preserve">, včetně schémat typu </w:t>
      </w:r>
      <w:r w:rsidRPr="000F2C87">
        <w:rPr>
          <w:b/>
          <w:bCs/>
          <w:lang w:val="cs-CZ"/>
        </w:rPr>
        <w:t>on</w:t>
      </w:r>
      <w:r w:rsidRPr="000F2C87">
        <w:rPr>
          <w:b/>
          <w:bCs/>
          <w:lang w:val="cs-CZ"/>
        </w:rPr>
        <w:noBreakHyphen/>
      </w:r>
      <w:r w:rsidRPr="000F2C87">
        <w:rPr>
          <w:b/>
          <w:bCs/>
          <w:lang w:val="cs-CZ"/>
        </w:rPr>
        <w:t>lending</w:t>
      </w:r>
      <w:r w:rsidRPr="000F2C87">
        <w:rPr>
          <w:lang w:val="cs-CZ"/>
        </w:rPr>
        <w:t>, kdy NRB poskytuje zdroje komerčním bankám nebo jiným finančním institucím k následnému úvěrování cílových konečných příjemců. Tento model umožňuje širší distribuční síť, efektivní alokaci rizik a větší absorpční kapacitu, a zároveň přináší synergii mezi veřejným a soukromým financováním.</w:t>
      </w:r>
    </w:p>
    <w:p w:rsidR="00E4322D" w:rsidRPr="000F2C87" w:rsidP="0004262C" w14:paraId="6D6E7A56" w14:textId="77777777">
      <w:pPr>
        <w:jc w:val="both"/>
        <w:rPr>
          <w:lang w:val="cs-CZ"/>
        </w:rPr>
      </w:pPr>
    </w:p>
    <w:p w:rsidR="00B661E6" w:rsidRPr="000F2C87" w:rsidP="000C7B50" w14:paraId="57C8035C" w14:textId="44F02531">
      <w:pPr>
        <w:pStyle w:val="Heading3"/>
        <w:numPr>
          <w:ilvl w:val="0"/>
          <w:numId w:val="0"/>
        </w:numPr>
      </w:pPr>
      <w:r w:rsidRPr="000F2C87">
        <w:t>Národní rozvojov</w:t>
      </w:r>
      <w:r w:rsidRPr="000F2C87" w:rsidR="00020FAF">
        <w:t>á</w:t>
      </w:r>
      <w:r w:rsidRPr="000F2C87">
        <w:t xml:space="preserve"> investiční</w:t>
      </w:r>
    </w:p>
    <w:p w:rsidR="006F6952" w:rsidRPr="000F2C87" w:rsidP="0004262C" w14:paraId="588208FD" w14:textId="58E84EA2">
      <w:pPr>
        <w:jc w:val="both"/>
        <w:rPr>
          <w:lang w:val="cs-CZ"/>
        </w:rPr>
      </w:pPr>
      <w:r w:rsidRPr="0039353B">
        <w:rPr>
          <w:lang w:val="cs-CZ"/>
        </w:rPr>
        <w:t>Národní rozvojová investiční, a.s., osoba rizikového kapitálu v rámci skupiny s</w:t>
      </w:r>
      <w:r w:rsidRPr="000F2C87" w:rsidR="00391571">
        <w:rPr>
          <w:lang w:val="cs-CZ"/>
        </w:rPr>
        <w:t> </w:t>
      </w:r>
      <w:r w:rsidRPr="0039353B">
        <w:rPr>
          <w:lang w:val="cs-CZ"/>
        </w:rPr>
        <w:t>NRB</w:t>
      </w:r>
      <w:r w:rsidRPr="000F2C87" w:rsidR="00391571">
        <w:rPr>
          <w:lang w:val="cs-CZ"/>
        </w:rPr>
        <w:t>,</w:t>
      </w:r>
      <w:r w:rsidRPr="000F2C87">
        <w:rPr>
          <w:lang w:val="cs-CZ"/>
        </w:rPr>
        <w:t xml:space="preserve"> </w:t>
      </w:r>
      <w:r w:rsidRPr="0039353B" w:rsidR="00391571">
        <w:rPr>
          <w:lang w:val="cs-CZ"/>
        </w:rPr>
        <w:t>je dceřiná společnost skupiny NRB zaměřená na implementaci kapitálových finančních nástrojů.</w:t>
      </w:r>
      <w:r w:rsidRPr="000F2C87" w:rsidR="00391571">
        <w:rPr>
          <w:lang w:val="cs-CZ"/>
        </w:rPr>
        <w:t xml:space="preserve"> </w:t>
      </w:r>
      <w:r w:rsidRPr="000F2C87" w:rsidR="00BA3F94">
        <w:rPr>
          <w:lang w:val="cs-CZ"/>
        </w:rPr>
        <w:t>Ú</w:t>
      </w:r>
      <w:r w:rsidRPr="000F2C87" w:rsidR="00B661E6">
        <w:rPr>
          <w:lang w:val="cs-CZ"/>
        </w:rPr>
        <w:t>lohou</w:t>
      </w:r>
      <w:r w:rsidRPr="000F2C87" w:rsidR="00BA3F94">
        <w:rPr>
          <w:lang w:val="cs-CZ"/>
        </w:rPr>
        <w:t xml:space="preserve"> NRI</w:t>
      </w:r>
      <w:r w:rsidRPr="000F2C87" w:rsidR="00B661E6">
        <w:rPr>
          <w:lang w:val="cs-CZ"/>
        </w:rPr>
        <w:t xml:space="preserve"> je doplňovat bankovní financování tam, kde je pro rozvoj podniků klíčový dlouhodobý kapitál, například ve fázi růstu, inovací nebo expanze na nové trhy. Kapitálové nástroje nesou vyšší míru rizika, ale zároveň </w:t>
      </w:r>
      <w:r w:rsidRPr="00722F22" w:rsidR="00B661E6">
        <w:rPr>
          <w:b/>
          <w:lang w:val="cs-CZ"/>
        </w:rPr>
        <w:t>umožňují vytvářet multiplikační efekt a mobilizovat soukromé investory, což je zásadní v oblastech</w:t>
      </w:r>
      <w:r w:rsidRPr="000F2C87" w:rsidR="00B661E6">
        <w:rPr>
          <w:lang w:val="cs-CZ"/>
        </w:rPr>
        <w:t>, kde je riziko příliš vysoké pro tradiční úvěrové financování.</w:t>
      </w:r>
      <w:r w:rsidRPr="000F2C87" w:rsidR="0038234C">
        <w:rPr>
          <w:lang w:val="cs-CZ"/>
        </w:rPr>
        <w:t xml:space="preserve"> </w:t>
      </w:r>
      <w:r w:rsidRPr="0039353B" w:rsidR="0038234C">
        <w:rPr>
          <w:lang w:val="cs-CZ"/>
        </w:rPr>
        <w:t xml:space="preserve">Společnost tento cíl naplňuje prostřednictvím správy finančních nástrojů a </w:t>
      </w:r>
      <w:r w:rsidRPr="00244AAE" w:rsidR="0038234C">
        <w:rPr>
          <w:lang w:val="cs-CZ"/>
        </w:rPr>
        <w:t>fondu fondů</w:t>
      </w:r>
      <w:r w:rsidRPr="0039353B" w:rsidR="0038234C">
        <w:rPr>
          <w:lang w:val="cs-CZ"/>
        </w:rPr>
        <w:t>, přičemž i</w:t>
      </w:r>
      <w:r w:rsidRPr="08046740" w:rsidR="0038234C">
        <w:rPr>
          <w:rFonts w:ascii="Roboto" w:eastAsia="Roboto" w:hAnsi="Roboto" w:cs="Roboto"/>
          <w:color w:val="444746"/>
          <w:sz w:val="21"/>
          <w:szCs w:val="21"/>
          <w:lang w:val="cs-CZ"/>
        </w:rPr>
        <w:t xml:space="preserve"> </w:t>
      </w:r>
      <w:r w:rsidRPr="08046740" w:rsidR="018F0920">
        <w:rPr>
          <w:rFonts w:ascii="Roboto" w:eastAsia="Roboto" w:hAnsi="Roboto" w:cs="Roboto"/>
          <w:color w:val="444746"/>
          <w:sz w:val="21"/>
          <w:szCs w:val="21"/>
          <w:lang w:val="cs-CZ"/>
        </w:rPr>
        <w:t>poskytovatelem kapitálu pro jeho činnost</w:t>
      </w:r>
      <w:r w:rsidRPr="08046740" w:rsidR="0038234C">
        <w:rPr>
          <w:lang w:val="cs-CZ"/>
        </w:rPr>
        <w:t xml:space="preserve"> </w:t>
      </w:r>
      <w:r w:rsidRPr="0039353B" w:rsidR="0038234C">
        <w:rPr>
          <w:lang w:val="cs-CZ"/>
        </w:rPr>
        <w:t>jsou příslušné řídicí orgány.</w:t>
      </w:r>
    </w:p>
    <w:p w:rsidR="00045570" w:rsidP="00045570" w14:paraId="124481F8" w14:textId="7EDA4250">
      <w:pPr>
        <w:jc w:val="both"/>
        <w:rPr>
          <w:lang w:val="cs-CZ"/>
        </w:rPr>
      </w:pPr>
      <w:r w:rsidRPr="00C6156F">
        <w:rPr>
          <w:lang w:val="cs-CZ"/>
        </w:rPr>
        <w:t>V období 2028+</w:t>
      </w:r>
      <w:r w:rsidRPr="000F2C87" w:rsidR="00A36083">
        <w:rPr>
          <w:lang w:val="cs-CZ"/>
        </w:rPr>
        <w:t xml:space="preserve"> by se </w:t>
      </w:r>
      <w:r w:rsidRPr="00C6156F">
        <w:rPr>
          <w:lang w:val="cs-CZ"/>
        </w:rPr>
        <w:t>NRB</w:t>
      </w:r>
      <w:r w:rsidRPr="000F2C87" w:rsidR="00A36083">
        <w:rPr>
          <w:lang w:val="cs-CZ"/>
        </w:rPr>
        <w:t xml:space="preserve"> měla </w:t>
      </w:r>
      <w:r w:rsidRPr="00722F22" w:rsidR="00A36083">
        <w:rPr>
          <w:b/>
          <w:lang w:val="cs-CZ"/>
        </w:rPr>
        <w:t xml:space="preserve">zaměřit </w:t>
      </w:r>
      <w:r w:rsidRPr="00722F22">
        <w:rPr>
          <w:b/>
          <w:lang w:val="cs-CZ"/>
        </w:rPr>
        <w:t>především na</w:t>
      </w:r>
      <w:r w:rsidRPr="00722F22">
        <w:rPr>
          <w:b/>
          <w:lang w:val="cs-CZ"/>
        </w:rPr>
        <w:t xml:space="preserve"> růstové, inovační a transformační projekty s vyšším rizikem</w:t>
      </w:r>
      <w:r w:rsidRPr="000F2C87">
        <w:rPr>
          <w:lang w:val="cs-CZ"/>
        </w:rPr>
        <w:t xml:space="preserve">, </w:t>
      </w:r>
      <w:r w:rsidRPr="00C6156F">
        <w:rPr>
          <w:lang w:val="cs-CZ"/>
        </w:rPr>
        <w:t>u nichž samotné</w:t>
      </w:r>
      <w:r w:rsidRPr="000F2C87">
        <w:rPr>
          <w:lang w:val="cs-CZ"/>
        </w:rPr>
        <w:t xml:space="preserve"> úvěrové financování </w:t>
      </w:r>
      <w:r w:rsidRPr="00C6156F">
        <w:rPr>
          <w:lang w:val="cs-CZ"/>
        </w:rPr>
        <w:t xml:space="preserve">není dostatečné. Těžiště podpory by mělo spočívat v kapitálových a mezaninových nástrojích, včetně </w:t>
      </w:r>
      <w:r w:rsidRPr="00C6156F">
        <w:rPr>
          <w:lang w:val="cs-CZ"/>
        </w:rPr>
        <w:t>koinvestic</w:t>
      </w:r>
      <w:r w:rsidRPr="00C6156F">
        <w:rPr>
          <w:lang w:val="cs-CZ"/>
        </w:rPr>
        <w:t xml:space="preserve"> se soukromými fondy a</w:t>
      </w:r>
      <w:r w:rsidR="00B8520D">
        <w:rPr>
          <w:lang w:val="cs-CZ"/>
        </w:rPr>
        <w:t> </w:t>
      </w:r>
      <w:r w:rsidRPr="00C6156F">
        <w:rPr>
          <w:lang w:val="cs-CZ"/>
        </w:rPr>
        <w:t xml:space="preserve">rozvoje tematicky zaměřených investičních platforem (např. technologie, digitalizace, </w:t>
      </w:r>
      <w:r w:rsidRPr="00C6156F">
        <w:rPr>
          <w:lang w:val="cs-CZ"/>
        </w:rPr>
        <w:t>dual</w:t>
      </w:r>
      <w:r w:rsidRPr="00C6156F">
        <w:rPr>
          <w:lang w:val="cs-CZ"/>
        </w:rPr>
        <w:noBreakHyphen/>
        <w:t>use).</w:t>
      </w:r>
      <w:r w:rsidR="002A0E7E">
        <w:rPr>
          <w:lang w:val="cs-CZ"/>
        </w:rPr>
        <w:t xml:space="preserve"> </w:t>
      </w:r>
      <w:r w:rsidRPr="000F2C87" w:rsidR="00E43DCB">
        <w:rPr>
          <w:lang w:val="cs-CZ"/>
        </w:rPr>
        <w:t xml:space="preserve">Očekává se rovněž pokračování ve FN na dostupné bydlení. </w:t>
      </w:r>
      <w:r w:rsidRPr="000F2C87">
        <w:rPr>
          <w:lang w:val="cs-CZ"/>
        </w:rPr>
        <w:t>Cílem je mobilizace soukromého kapitálu a vytváření multiplikačního efektu u projektů s významnou pozitivní externalitou.</w:t>
      </w:r>
    </w:p>
    <w:p w:rsidR="00451FA2" w:rsidP="000D5F0F" w14:paraId="7F135930" w14:textId="5D6FDE20">
      <w:pPr>
        <w:jc w:val="both"/>
        <w:rPr>
          <w:lang w:val="cs-CZ"/>
        </w:rPr>
      </w:pPr>
      <w:r w:rsidRPr="0039353B">
        <w:rPr>
          <w:b/>
          <w:lang w:val="cs-CZ"/>
        </w:rPr>
        <w:t>Strategie NRI 2025–2034</w:t>
      </w:r>
      <w:r w:rsidRPr="0039353B">
        <w:rPr>
          <w:lang w:val="cs-CZ"/>
        </w:rPr>
        <w:t xml:space="preserve"> reaguje na zásadní výzvy České republiky – dostupné bydlení, konkurenceschopnost českých firem a podpora inovací, transformaci energetiky a modernizaci infrastruktury. NRI se profiluje jako finanční nástroj státu, který cíleně doplňuje tržní financování tam, kde trh selhává nebo není schopen reagovat dostatečně rychle. </w:t>
      </w:r>
    </w:p>
    <w:p w:rsidR="00E217A6" w:rsidP="00E217A6" w14:paraId="1C495B4A" w14:textId="77777777">
      <w:pPr>
        <w:jc w:val="both"/>
        <w:rPr>
          <w:lang w:val="cs-CZ"/>
        </w:rPr>
      </w:pPr>
      <w:r w:rsidRPr="00E217A6">
        <w:rPr>
          <w:lang w:val="cs-CZ"/>
        </w:rPr>
        <w:t xml:space="preserve">Přidanou hodnotou NRI je schopnost strukturovat komplexní investice s dlouhým investičním horizontem, vybírat vhodné investiční partnery a navrhovat finanční nástroje, které vyvažují regulatorní a programové požadavky veřejného sektoru s tržními podmínkami pro zapojení institucionálních investorů. Nástroje NRI mají tržní charakter, podporují aktivní zapojení soukromých spoluinvestorů, sdílení rizika a působí </w:t>
      </w:r>
      <w:r w:rsidRPr="00E217A6">
        <w:rPr>
          <w:lang w:val="cs-CZ"/>
        </w:rPr>
        <w:t>katalyzačně</w:t>
      </w:r>
      <w:r w:rsidRPr="00E217A6">
        <w:rPr>
          <w:lang w:val="cs-CZ"/>
        </w:rPr>
        <w:t xml:space="preserve"> na rozvoj kapitálového trhu. </w:t>
      </w:r>
    </w:p>
    <w:p w:rsidR="00DE786C" w:rsidRPr="00DE786C" w:rsidP="00DE786C" w14:paraId="5B143CE5" w14:textId="77777777">
      <w:pPr>
        <w:jc w:val="both"/>
        <w:rPr>
          <w:lang w:val="cs-CZ"/>
        </w:rPr>
      </w:pPr>
      <w:r w:rsidRPr="00DE786C">
        <w:rPr>
          <w:lang w:val="cs-CZ"/>
        </w:rPr>
        <w:t xml:space="preserve">Pro plnohodnotné naplnění této role </w:t>
      </w:r>
      <w:r w:rsidRPr="00DE786C">
        <w:rPr>
          <w:b/>
          <w:bCs/>
          <w:lang w:val="cs-CZ"/>
        </w:rPr>
        <w:t>NRI v investičním ekosystému</w:t>
      </w:r>
      <w:r w:rsidRPr="00DE786C">
        <w:rPr>
          <w:lang w:val="cs-CZ"/>
        </w:rPr>
        <w:t xml:space="preserve"> je nezbytné odpovídajícím způsobem </w:t>
      </w:r>
      <w:r w:rsidRPr="00DE786C">
        <w:rPr>
          <w:b/>
          <w:bCs/>
          <w:lang w:val="cs-CZ"/>
        </w:rPr>
        <w:t>posílit odborné i personální kapacity</w:t>
      </w:r>
      <w:r w:rsidRPr="00DE786C">
        <w:rPr>
          <w:lang w:val="cs-CZ"/>
        </w:rPr>
        <w:t>.</w:t>
      </w:r>
    </w:p>
    <w:p w:rsidR="00045570" w:rsidRPr="000F2C87" w:rsidP="0004262C" w14:paraId="41AF11E5" w14:textId="77777777">
      <w:pPr>
        <w:jc w:val="both"/>
        <w:rPr>
          <w:lang w:val="cs-CZ"/>
        </w:rPr>
      </w:pPr>
    </w:p>
    <w:p w:rsidR="00B661E6" w:rsidRPr="000F2C87" w:rsidP="000C7B50" w14:paraId="7B53C7F9" w14:textId="70570AD5">
      <w:pPr>
        <w:pStyle w:val="Heading3"/>
        <w:numPr>
          <w:ilvl w:val="0"/>
          <w:numId w:val="0"/>
        </w:numPr>
      </w:pPr>
      <w:r w:rsidRPr="000F2C87">
        <w:t>Státní fond podpory investic</w:t>
      </w:r>
    </w:p>
    <w:p w:rsidR="00B661E6" w:rsidRPr="000F2C87" w:rsidP="0004262C" w14:paraId="1AE91D06" w14:textId="1FABE1AA">
      <w:pPr>
        <w:jc w:val="both"/>
        <w:rPr>
          <w:lang w:val="cs-CZ"/>
        </w:rPr>
      </w:pPr>
      <w:r w:rsidRPr="000F2C87">
        <w:rPr>
          <w:lang w:val="cs-CZ"/>
        </w:rPr>
        <w:t xml:space="preserve">Činnost SFPI je upravena zákonem č. 211/2000 Sb., o Státním fondu podpory investic. </w:t>
      </w:r>
      <w:r w:rsidRPr="00801185">
        <w:rPr>
          <w:b/>
          <w:lang w:val="cs-CZ"/>
        </w:rPr>
        <w:t>Fond</w:t>
      </w:r>
      <w:r w:rsidRPr="00801185">
        <w:rPr>
          <w:b/>
          <w:lang w:val="cs-CZ"/>
        </w:rPr>
        <w:t xml:space="preserve"> se orientuje na podporu obcí, měst a regionálních samospráv, zejména v oblasti bydlení, infrastruktury a územního rozvoje.</w:t>
      </w:r>
      <w:r w:rsidRPr="000F2C87">
        <w:rPr>
          <w:lang w:val="cs-CZ"/>
        </w:rPr>
        <w:t xml:space="preserve"> Zaměření na </w:t>
      </w:r>
      <w:r w:rsidRPr="000F2C87">
        <w:rPr>
          <w:lang w:val="cs-CZ"/>
        </w:rPr>
        <w:t>municipalitní</w:t>
      </w:r>
      <w:r w:rsidRPr="000F2C87">
        <w:rPr>
          <w:lang w:val="cs-CZ"/>
        </w:rPr>
        <w:t xml:space="preserve"> segment vychází z </w:t>
      </w:r>
      <w:r w:rsidRPr="000F2C87" w:rsidR="00075A71">
        <w:rPr>
          <w:lang w:val="cs-CZ"/>
        </w:rPr>
        <w:t>praxe</w:t>
      </w:r>
      <w:r w:rsidRPr="000F2C87">
        <w:rPr>
          <w:lang w:val="cs-CZ"/>
        </w:rPr>
        <w:t>, že místní samosprávy často realizují investice s dlouhodobým veřejným přínosem, které však nemusí být pro komerční bankovní sektor dostatečně atraktivní nebo splňovat standardní úvěrové parametry. SFPI proto funguje jako specializovaný implementátor schopný pracovat s</w:t>
      </w:r>
      <w:r w:rsidR="00B8520D">
        <w:rPr>
          <w:lang w:val="cs-CZ"/>
        </w:rPr>
        <w:t> </w:t>
      </w:r>
      <w:r w:rsidRPr="000F2C87">
        <w:rPr>
          <w:lang w:val="cs-CZ"/>
        </w:rPr>
        <w:t xml:space="preserve">dlouhodobějším horizontem návratnosti, vyšší mírou veřejného zájmu a s projekty, které </w:t>
      </w:r>
      <w:r w:rsidRPr="000F2C87">
        <w:rPr>
          <w:lang w:val="cs-CZ"/>
        </w:rPr>
        <w:t>generují pouze omezené nebo nepřímé finanční výnosy.</w:t>
      </w:r>
      <w:r w:rsidRPr="000F2C87" w:rsidR="009E417D">
        <w:rPr>
          <w:lang w:val="cs-CZ"/>
        </w:rPr>
        <w:t xml:space="preserve"> V budoucím období </w:t>
      </w:r>
      <w:r w:rsidRPr="000F2C87" w:rsidR="00111BD6">
        <w:rPr>
          <w:lang w:val="cs-CZ"/>
        </w:rPr>
        <w:t>je role SFPI nezastupitelná p</w:t>
      </w:r>
      <w:r w:rsidRPr="000F2C87" w:rsidR="002D69E4">
        <w:rPr>
          <w:lang w:val="cs-CZ"/>
        </w:rPr>
        <w:t xml:space="preserve">ředevším </w:t>
      </w:r>
      <w:r w:rsidRPr="4D59CDA6" w:rsidR="7F864998">
        <w:rPr>
          <w:lang w:val="cs-CZ"/>
        </w:rPr>
        <w:t>p</w:t>
      </w:r>
      <w:r w:rsidRPr="4D59CDA6" w:rsidR="6E78BD23">
        <w:rPr>
          <w:lang w:val="cs-CZ"/>
        </w:rPr>
        <w:t>ro</w:t>
      </w:r>
      <w:r w:rsidRPr="000F2C87" w:rsidR="00111BD6">
        <w:rPr>
          <w:lang w:val="cs-CZ"/>
        </w:rPr>
        <w:t xml:space="preserve"> oblast dostupného bydlení</w:t>
      </w:r>
      <w:r w:rsidRPr="4D59CDA6" w:rsidR="285931DB">
        <w:rPr>
          <w:lang w:val="cs-CZ"/>
        </w:rPr>
        <w:t xml:space="preserve">, ale i </w:t>
      </w:r>
      <w:r w:rsidRPr="4D59CDA6" w:rsidR="56475B4F">
        <w:rPr>
          <w:lang w:val="cs-CZ"/>
        </w:rPr>
        <w:t xml:space="preserve">v </w:t>
      </w:r>
      <w:r w:rsidRPr="4D59CDA6" w:rsidR="285931DB">
        <w:rPr>
          <w:lang w:val="cs-CZ"/>
        </w:rPr>
        <w:t>dalších oblastech jako jsou nástroje pro energetické úspory v bytových domech, regenerace brownfieldů apod</w:t>
      </w:r>
      <w:r w:rsidRPr="4D59CDA6" w:rsidR="4889A56A">
        <w:rPr>
          <w:lang w:val="cs-CZ"/>
        </w:rPr>
        <w:t xml:space="preserve">. </w:t>
      </w:r>
      <w:r w:rsidRPr="4D59CDA6" w:rsidR="7144B578">
        <w:rPr>
          <w:lang w:val="cs-CZ"/>
        </w:rPr>
        <w:t xml:space="preserve"> SFPI je také vhodným subjektem pro </w:t>
      </w:r>
      <w:r w:rsidRPr="4D59CDA6" w:rsidR="6EC3ABC2">
        <w:rPr>
          <w:lang w:val="cs-CZ"/>
        </w:rPr>
        <w:t xml:space="preserve">financování projektů </w:t>
      </w:r>
      <w:r w:rsidRPr="4D59CDA6" w:rsidR="7144B578">
        <w:rPr>
          <w:lang w:val="cs-CZ"/>
        </w:rPr>
        <w:t>veřejn</w:t>
      </w:r>
      <w:r w:rsidRPr="4D59CDA6" w:rsidR="1BB9E3A6">
        <w:rPr>
          <w:lang w:val="cs-CZ"/>
        </w:rPr>
        <w:t>é</w:t>
      </w:r>
      <w:r w:rsidRPr="4D59CDA6" w:rsidR="4EE85B17">
        <w:rPr>
          <w:lang w:val="cs-CZ"/>
        </w:rPr>
        <w:t xml:space="preserve"> infrastruktur</w:t>
      </w:r>
      <w:r w:rsidRPr="4D59CDA6" w:rsidR="5540A9EC">
        <w:rPr>
          <w:lang w:val="cs-CZ"/>
        </w:rPr>
        <w:t>y.</w:t>
      </w:r>
    </w:p>
    <w:p w:rsidR="003B7AB9" w:rsidRPr="000F2C87" w:rsidP="003B7AB9" w14:paraId="74CC7A52" w14:textId="78DDA2E8">
      <w:pPr>
        <w:jc w:val="both"/>
        <w:rPr>
          <w:lang w:val="cs-CZ"/>
        </w:rPr>
      </w:pPr>
      <w:r w:rsidRPr="000F2C87">
        <w:rPr>
          <w:lang w:val="cs-CZ"/>
        </w:rPr>
        <w:t>Z</w:t>
      </w:r>
      <w:r w:rsidRPr="000F2C87">
        <w:rPr>
          <w:lang w:val="cs-CZ"/>
        </w:rPr>
        <w:t xml:space="preserve">ároveň </w:t>
      </w:r>
      <w:r w:rsidRPr="000F2C87" w:rsidR="00D10E8E">
        <w:rPr>
          <w:lang w:val="cs-CZ"/>
        </w:rPr>
        <w:t xml:space="preserve">se </w:t>
      </w:r>
      <w:r w:rsidRPr="000F2C87">
        <w:rPr>
          <w:lang w:val="cs-CZ"/>
        </w:rPr>
        <w:t>zvažuje jeho role jako správce regionálních finančních nástrojů, protože jeho sektorové zaměření, technická kapacita i dlouhodobá znalost municipalit a jejich investičních potřeb vytváří dobré předpoklady pro efektivní implementaci FN na regionální úrovni.</w:t>
      </w:r>
    </w:p>
    <w:p w:rsidR="003B7AB9" w:rsidRPr="000F2C87" w:rsidP="0004262C" w14:paraId="4033DD5D" w14:textId="77777777">
      <w:pPr>
        <w:jc w:val="both"/>
        <w:rPr>
          <w:lang w:val="cs-CZ"/>
        </w:rPr>
      </w:pPr>
    </w:p>
    <w:p w:rsidR="00B661E6" w:rsidRPr="000F2C87" w:rsidP="000C7B50" w14:paraId="324CEF7E" w14:textId="278537F9">
      <w:pPr>
        <w:pStyle w:val="Heading3"/>
        <w:numPr>
          <w:ilvl w:val="0"/>
          <w:numId w:val="0"/>
        </w:numPr>
      </w:pPr>
      <w:r w:rsidRPr="000F2C87">
        <w:t>Státní fond životního prostředí</w:t>
      </w:r>
    </w:p>
    <w:p w:rsidR="00B661E6" w:rsidRPr="000F2C87" w:rsidP="0004262C" w14:paraId="7C0B1CBC" w14:textId="61CAF7A3">
      <w:pPr>
        <w:jc w:val="both"/>
        <w:rPr>
          <w:lang w:val="cs-CZ"/>
        </w:rPr>
      </w:pPr>
      <w:r w:rsidRPr="000F2C87">
        <w:rPr>
          <w:lang w:val="cs-CZ"/>
        </w:rPr>
        <w:t xml:space="preserve">Činnost </w:t>
      </w:r>
      <w:r w:rsidRPr="000F2C87">
        <w:rPr>
          <w:lang w:val="cs-CZ"/>
        </w:rPr>
        <w:t xml:space="preserve">SFŽP </w:t>
      </w:r>
      <w:r w:rsidRPr="000F2C87">
        <w:rPr>
          <w:lang w:val="cs-CZ"/>
        </w:rPr>
        <w:t xml:space="preserve">je upravena </w:t>
      </w:r>
      <w:r w:rsidRPr="000F2C87" w:rsidR="00841AA8">
        <w:rPr>
          <w:lang w:val="cs-CZ"/>
        </w:rPr>
        <w:t>zákonem č. 388/1991 Sb.</w:t>
      </w:r>
      <w:r w:rsidRPr="000F2C87" w:rsidR="00417118">
        <w:rPr>
          <w:lang w:val="cs-CZ"/>
        </w:rPr>
        <w:t>, o Státním fondu životního prostředí České republiky.</w:t>
      </w:r>
      <w:r w:rsidRPr="000F2C87" w:rsidR="00841AA8">
        <w:rPr>
          <w:lang w:val="cs-CZ"/>
        </w:rPr>
        <w:t xml:space="preserve"> Fond</w:t>
      </w:r>
      <w:r w:rsidRPr="000F2C87">
        <w:rPr>
          <w:lang w:val="cs-CZ"/>
        </w:rPr>
        <w:t xml:space="preserve"> cílí na projekty v oblasti klimatu, energetiky a životního prostředí </w:t>
      </w:r>
      <w:r w:rsidR="00C01756">
        <w:rPr>
          <w:lang w:val="cs-CZ"/>
        </w:rPr>
        <w:t>–</w:t>
      </w:r>
      <w:r w:rsidRPr="000F2C87">
        <w:rPr>
          <w:lang w:val="cs-CZ"/>
        </w:rPr>
        <w:t xml:space="preserve"> tedy tam, kde investice sledují především environmentální a klimatické cíle a pozitivní externality, které trh obvykle neumí adekvátně ocenit. </w:t>
      </w:r>
      <w:r w:rsidRPr="003E3349">
        <w:rPr>
          <w:b/>
          <w:lang w:val="cs-CZ"/>
        </w:rPr>
        <w:t>Fond hraje zásadní roli při financování opatření na snižování emisí, adaptaci na změnu klimatu, zvyšování energetické účinnosti či ochraně vod a krajiny.</w:t>
      </w:r>
      <w:r w:rsidRPr="000F2C87">
        <w:rPr>
          <w:lang w:val="cs-CZ"/>
        </w:rPr>
        <w:t xml:space="preserve"> Projekty v této oblasti jsou často spojeny s vyššími investičními náklady, dlouhými návratnostmi a nejistotami, což zvyšuje význam FN jako flexibilního nástroje umožňujícího kombinaci návratných forem podpory a motivaci soukromých subjektů k účasti na zelené transformaci.</w:t>
      </w:r>
    </w:p>
    <w:p w:rsidR="001B46DA" w:rsidRPr="000F2C87" w:rsidP="001B46DA" w14:paraId="5CA78A48" w14:textId="0DC55FEF">
      <w:pPr>
        <w:jc w:val="both"/>
        <w:rPr>
          <w:lang w:val="cs-CZ"/>
        </w:rPr>
      </w:pPr>
      <w:r w:rsidRPr="000F2C87">
        <w:rPr>
          <w:lang w:val="cs-CZ"/>
        </w:rPr>
        <w:t>Právě na základě této vysoké specializace se v programovém období 2028+ očekává, že SFŽP bude i nadále věcným gestorem a hlavním implementátorem témat spojených se zelenou tranzicí, a to jak ve veřejném</w:t>
      </w:r>
      <w:r w:rsidRPr="000F2C87" w:rsidR="000A1300">
        <w:rPr>
          <w:lang w:val="cs-CZ"/>
        </w:rPr>
        <w:t xml:space="preserve">, </w:t>
      </w:r>
      <w:r w:rsidRPr="000F2C87">
        <w:rPr>
          <w:lang w:val="cs-CZ"/>
        </w:rPr>
        <w:t xml:space="preserve">tak v sektoru soukromém </w:t>
      </w:r>
      <w:r w:rsidRPr="000F2C87" w:rsidR="000A1300">
        <w:rPr>
          <w:lang w:val="cs-CZ"/>
        </w:rPr>
        <w:t xml:space="preserve">sektoru. </w:t>
      </w:r>
      <w:r w:rsidRPr="000F2C87">
        <w:rPr>
          <w:lang w:val="cs-CZ"/>
        </w:rPr>
        <w:t xml:space="preserve"> </w:t>
      </w:r>
    </w:p>
    <w:p w:rsidR="005D054A" w:rsidRPr="000F2C87" w:rsidP="0004262C" w14:paraId="61CC59B0" w14:textId="77777777">
      <w:pPr>
        <w:jc w:val="both"/>
        <w:rPr>
          <w:b/>
          <w:bCs/>
          <w:lang w:val="cs-CZ"/>
        </w:rPr>
      </w:pPr>
    </w:p>
    <w:p w:rsidR="005D054A" w:rsidRPr="000F2C87" w:rsidP="000C7B50" w14:paraId="014D3173" w14:textId="295FBAEF">
      <w:pPr>
        <w:pStyle w:val="Heading3"/>
        <w:numPr>
          <w:ilvl w:val="0"/>
          <w:numId w:val="0"/>
        </w:numPr>
      </w:pPr>
      <w:r w:rsidRPr="000F2C87">
        <w:t xml:space="preserve">Podpůrný a garanční rolnický a lesnický fond </w:t>
      </w:r>
    </w:p>
    <w:p w:rsidR="00C23816" w:rsidP="00C23816" w14:paraId="67301E72" w14:textId="6539BAA5">
      <w:pPr>
        <w:jc w:val="both"/>
        <w:rPr>
          <w:lang w:val="cs-CZ"/>
        </w:rPr>
      </w:pPr>
      <w:r w:rsidRPr="0039353B">
        <w:rPr>
          <w:lang w:val="cs-CZ"/>
        </w:rPr>
        <w:t xml:space="preserve">Činnost </w:t>
      </w:r>
      <w:r w:rsidRPr="00433733" w:rsidR="00433733">
        <w:rPr>
          <w:lang w:val="cs-CZ"/>
        </w:rPr>
        <w:t>Podpůrn</w:t>
      </w:r>
      <w:r w:rsidR="00433733">
        <w:rPr>
          <w:lang w:val="cs-CZ"/>
        </w:rPr>
        <w:t>ého</w:t>
      </w:r>
      <w:r w:rsidRPr="00433733" w:rsidR="00433733">
        <w:rPr>
          <w:lang w:val="cs-CZ"/>
        </w:rPr>
        <w:t xml:space="preserve"> a garanční</w:t>
      </w:r>
      <w:r w:rsidR="00433733">
        <w:rPr>
          <w:lang w:val="cs-CZ"/>
        </w:rPr>
        <w:t>ho</w:t>
      </w:r>
      <w:r w:rsidRPr="00433733" w:rsidR="00433733">
        <w:rPr>
          <w:lang w:val="cs-CZ"/>
        </w:rPr>
        <w:t xml:space="preserve"> rolnick</w:t>
      </w:r>
      <w:r w:rsidR="00433733">
        <w:rPr>
          <w:lang w:val="cs-CZ"/>
        </w:rPr>
        <w:t>ého</w:t>
      </w:r>
      <w:r w:rsidRPr="00433733" w:rsidR="00433733">
        <w:rPr>
          <w:lang w:val="cs-CZ"/>
        </w:rPr>
        <w:t xml:space="preserve"> a lesnick</w:t>
      </w:r>
      <w:r w:rsidR="00433733">
        <w:rPr>
          <w:lang w:val="cs-CZ"/>
        </w:rPr>
        <w:t>ého</w:t>
      </w:r>
      <w:r w:rsidRPr="00433733" w:rsidR="00433733">
        <w:rPr>
          <w:lang w:val="cs-CZ"/>
        </w:rPr>
        <w:t xml:space="preserve"> fond </w:t>
      </w:r>
      <w:r w:rsidR="00433733">
        <w:rPr>
          <w:lang w:val="cs-CZ"/>
        </w:rPr>
        <w:t>(</w:t>
      </w:r>
      <w:r w:rsidRPr="0039353B">
        <w:rPr>
          <w:lang w:val="cs-CZ"/>
        </w:rPr>
        <w:t>PGRLF</w:t>
      </w:r>
      <w:r w:rsidR="00433733">
        <w:rPr>
          <w:lang w:val="cs-CZ"/>
        </w:rPr>
        <w:t>)</w:t>
      </w:r>
      <w:r w:rsidRPr="0039353B">
        <w:rPr>
          <w:lang w:val="cs-CZ"/>
        </w:rPr>
        <w:t xml:space="preserve"> je zakotvena </w:t>
      </w:r>
      <w:r w:rsidRPr="0039353B">
        <w:rPr>
          <w:b/>
          <w:bCs/>
          <w:lang w:val="cs-CZ"/>
        </w:rPr>
        <w:t>v § 2da zákona č. 252/1997 Sb</w:t>
      </w:r>
      <w:r w:rsidRPr="0039353B">
        <w:rPr>
          <w:lang w:val="cs-CZ"/>
        </w:rPr>
        <w:t xml:space="preserve">., o zemědělství, který vymezuje formy podpory a zásady jejího poskytování. </w:t>
      </w:r>
      <w:r w:rsidRPr="000F2C87">
        <w:rPr>
          <w:lang w:val="cs-CZ"/>
        </w:rPr>
        <w:t xml:space="preserve">PGRLF se zaměřuje na podporu zemědělství a lesnictví prostřednictvím </w:t>
      </w:r>
      <w:r>
        <w:t xml:space="preserve">návratných a kombinovaných forem podpory, zejména ve formě zvýhodněných úvěrů, záruk a dále administruje podpůrná schémata, mimo jiné subvence úrokového zatížení a podporu pojištění. </w:t>
      </w:r>
    </w:p>
    <w:p w:rsidR="00C23816" w:rsidP="00C23816" w14:paraId="3C0CE9DC" w14:textId="72BA276D">
      <w:pPr>
        <w:jc w:val="both"/>
      </w:pPr>
      <w:r w:rsidRPr="000F2C87">
        <w:rPr>
          <w:lang w:val="cs-CZ"/>
        </w:rPr>
        <w:t>Sektor zemědělství je charakteristický vyšší mírou produkčních a tržních rizik, závislostí na klimatických podmínkách a nestabilitou cen komodit. Kvůli těmto faktorům mají zemědělské podniky často složitější přístup k bankovnímu financování, což činí roli PGRLF jakožto stabilizačního a rozvojového nástroje nezastupitelnou. Podpora návratnými finančními nástroji přispívá k dlouhodobé udržitelnosti financování sektoru</w:t>
      </w:r>
      <w:r>
        <w:rPr>
          <w:lang w:val="cs-CZ"/>
        </w:rPr>
        <w:t xml:space="preserve"> a je PGRLF realizována od roku 2016</w:t>
      </w:r>
      <w:r w:rsidRPr="000F2C87">
        <w:rPr>
          <w:lang w:val="cs-CZ"/>
        </w:rPr>
        <w:t>.</w:t>
      </w:r>
      <w:r>
        <w:rPr>
          <w:lang w:val="cs-CZ"/>
        </w:rPr>
        <w:t xml:space="preserve"> </w:t>
      </w:r>
      <w:r w:rsidRPr="000F2C87">
        <w:rPr>
          <w:lang w:val="cs-CZ"/>
        </w:rPr>
        <w:t xml:space="preserve"> PGRLF doposud realizovalo návratnou formu podpory pouze z národních zdrojů. </w:t>
      </w:r>
      <w:r>
        <w:rPr>
          <w:lang w:val="cs-CZ"/>
        </w:rPr>
        <w:t>PGRLF</w:t>
      </w:r>
      <w:r w:rsidRPr="000F2C87">
        <w:rPr>
          <w:lang w:val="cs-CZ"/>
        </w:rPr>
        <w:t xml:space="preserve"> </w:t>
      </w:r>
      <w:r>
        <w:rPr>
          <w:lang w:val="cs-CZ"/>
        </w:rPr>
        <w:t xml:space="preserve">prozatím </w:t>
      </w:r>
      <w:r w:rsidRPr="000F2C87">
        <w:rPr>
          <w:lang w:val="cs-CZ"/>
        </w:rPr>
        <w:t>nemá zkušenost</w:t>
      </w:r>
      <w:r>
        <w:rPr>
          <w:lang w:val="cs-CZ"/>
        </w:rPr>
        <w:t>i</w:t>
      </w:r>
      <w:r w:rsidRPr="000F2C87">
        <w:rPr>
          <w:lang w:val="cs-CZ"/>
        </w:rPr>
        <w:t xml:space="preserve"> </w:t>
      </w:r>
      <w:r>
        <w:rPr>
          <w:lang w:val="cs-CZ"/>
        </w:rPr>
        <w:t>s</w:t>
      </w:r>
      <w:r w:rsidRPr="000F2C87">
        <w:rPr>
          <w:lang w:val="cs-CZ"/>
        </w:rPr>
        <w:t xml:space="preserve"> podmínkami </w:t>
      </w:r>
      <w:r>
        <w:rPr>
          <w:lang w:val="cs-CZ"/>
        </w:rPr>
        <w:t xml:space="preserve">poskytování </w:t>
      </w:r>
      <w:r w:rsidRPr="000F2C87">
        <w:rPr>
          <w:lang w:val="cs-CZ"/>
        </w:rPr>
        <w:t xml:space="preserve">FN z fondů EU. </w:t>
      </w:r>
    </w:p>
    <w:p w:rsidR="00C23816" w:rsidRPr="0039353B" w:rsidP="0004262C" w14:paraId="1C1EDDCF" w14:textId="02D639F3">
      <w:pPr>
        <w:jc w:val="both"/>
        <w:rPr>
          <w:lang w:val="cs-CZ"/>
        </w:rPr>
      </w:pPr>
      <w:r>
        <w:rPr>
          <w:lang w:val="cs-CZ"/>
        </w:rPr>
        <w:t>Při vědomí historicky specifického postavení sektoru zemědělství a lesnictví, zejména pak zemědělské prvovýroby a s ohledem na dlouhodobou praxi PGRLF při realizaci dotačních schémat včetně finančních nástrojů se</w:t>
      </w:r>
      <w:r w:rsidRPr="00817038">
        <w:rPr>
          <w:b/>
          <w:lang w:val="cs-CZ"/>
        </w:rPr>
        <w:t xml:space="preserve"> předpokládá zapojení PGRLF do implementace FN v programovém období 2028+</w:t>
      </w:r>
      <w:r>
        <w:rPr>
          <w:lang w:val="cs-CZ"/>
        </w:rPr>
        <w:t xml:space="preserve">. </w:t>
      </w:r>
      <w:r w:rsidRPr="000F2C87">
        <w:rPr>
          <w:lang w:val="cs-CZ"/>
        </w:rPr>
        <w:t xml:space="preserve"> </w:t>
      </w:r>
    </w:p>
    <w:p w:rsidR="00BA12BF" w:rsidRPr="000F2C87" w:rsidP="0004262C" w14:paraId="303FA5CA" w14:textId="77777777">
      <w:pPr>
        <w:jc w:val="both"/>
        <w:rPr>
          <w:b/>
          <w:bCs/>
          <w:lang w:val="cs-CZ"/>
        </w:rPr>
      </w:pPr>
    </w:p>
    <w:p w:rsidR="00B661E6" w:rsidRPr="000F2C87" w:rsidP="000C7B50" w14:paraId="03F1AEAD" w14:textId="6C626F5E">
      <w:pPr>
        <w:pStyle w:val="Heading3"/>
        <w:numPr>
          <w:ilvl w:val="0"/>
          <w:numId w:val="0"/>
        </w:numPr>
      </w:pPr>
      <w:r w:rsidRPr="000F2C87">
        <w:t>Státní fond dopravní infrastruktury</w:t>
      </w:r>
    </w:p>
    <w:p w:rsidR="00E9571F" w:rsidRPr="000F2C87" w:rsidP="00E9571F" w14:paraId="5DACE41E" w14:textId="7AA717A2">
      <w:pPr>
        <w:jc w:val="both"/>
        <w:rPr>
          <w:lang w:val="cs-CZ"/>
        </w:rPr>
      </w:pPr>
      <w:r w:rsidRPr="000F2C87">
        <w:rPr>
          <w:b/>
          <w:bCs/>
          <w:lang w:val="cs-CZ"/>
        </w:rPr>
        <w:t xml:space="preserve">Činnost SFDI </w:t>
      </w:r>
      <w:r w:rsidRPr="000F2C87">
        <w:rPr>
          <w:lang w:val="cs-CZ"/>
        </w:rPr>
        <w:t xml:space="preserve">je ustanovena na základě </w:t>
      </w:r>
      <w:r w:rsidRPr="000F2C87">
        <w:rPr>
          <w:b/>
          <w:bCs/>
          <w:lang w:val="cs-CZ"/>
        </w:rPr>
        <w:t>zákona č. 104/2000 Sb., o Státním fondu dopravní infrastruktury</w:t>
      </w:r>
      <w:r w:rsidRPr="000F2C87">
        <w:rPr>
          <w:lang w:val="cs-CZ"/>
        </w:rPr>
        <w:t xml:space="preserve">, který jej zřizuje jako právnickou osobu v působnosti Ministerstva dopravy. Hlavním účelem SFDI je </w:t>
      </w:r>
      <w:r w:rsidRPr="000F2C87">
        <w:rPr>
          <w:b/>
          <w:bCs/>
          <w:lang w:val="cs-CZ"/>
        </w:rPr>
        <w:t>financování výstavby, modernizace, oprav a údržby dopravní infrastruktury</w:t>
      </w:r>
      <w:r w:rsidRPr="000F2C87">
        <w:rPr>
          <w:lang w:val="cs-CZ"/>
        </w:rPr>
        <w:t>, zejména dálnic a silnic, železničních drah a dopravně významných vodních cest</w:t>
      </w:r>
      <w:r w:rsidRPr="000F2C87" w:rsidR="00D16AA6">
        <w:rPr>
          <w:lang w:val="cs-CZ"/>
        </w:rPr>
        <w:t>.</w:t>
      </w:r>
      <w:r w:rsidR="004F2B6E">
        <w:rPr>
          <w:lang w:val="cs-CZ"/>
        </w:rPr>
        <w:t xml:space="preserve"> SFDI může </w:t>
      </w:r>
      <w:r w:rsidRPr="00363731" w:rsidR="004F2B6E">
        <w:t xml:space="preserve">poskytnout finanční prostředky, s nimiž hospodaří, </w:t>
      </w:r>
      <w:r w:rsidR="004F2B6E">
        <w:t xml:space="preserve">rovněž </w:t>
      </w:r>
      <w:r w:rsidRPr="00363731" w:rsidR="004F2B6E">
        <w:t>prostřednictvím účelově vázaného úvěru.</w:t>
      </w:r>
    </w:p>
    <w:p w:rsidR="00736B61" w:rsidP="00144CC3" w14:paraId="77EC579B" w14:textId="2D0180E4">
      <w:pPr>
        <w:jc w:val="both"/>
        <w:rPr>
          <w:lang w:val="cs-CZ"/>
        </w:rPr>
      </w:pPr>
      <w:r w:rsidRPr="000F2C87">
        <w:rPr>
          <w:lang w:val="cs-CZ"/>
        </w:rPr>
        <w:t xml:space="preserve">Tento sektor vyžaduje mimořádně kapitálově náročné a dlouhodobé investice, které se obvykle vyznačují nízkou přímou finanční návratností. Využití FN je zde relevantní zejména tam, kde projekty umožňují částečnou návratnost (např. </w:t>
      </w:r>
      <w:r w:rsidRPr="00B661E6" w:rsidR="00AA299E">
        <w:rPr>
          <w:lang w:val="cs-CZ"/>
        </w:rPr>
        <w:t>zapojení</w:t>
      </w:r>
      <w:r w:rsidR="00AA299E">
        <w:rPr>
          <w:lang w:val="cs-CZ"/>
        </w:rPr>
        <w:t>m</w:t>
      </w:r>
      <w:r w:rsidRPr="00B661E6" w:rsidR="00AA299E">
        <w:rPr>
          <w:lang w:val="cs-CZ"/>
        </w:rPr>
        <w:t xml:space="preserve"> soukromých partnerů v režimu PPP</w:t>
      </w:r>
      <w:r w:rsidR="00AA299E">
        <w:rPr>
          <w:lang w:val="cs-CZ"/>
        </w:rPr>
        <w:t>, příp.</w:t>
      </w:r>
      <w:r w:rsidRPr="00B661E6" w:rsidR="00AA299E">
        <w:rPr>
          <w:lang w:val="cs-CZ"/>
        </w:rPr>
        <w:t xml:space="preserve"> </w:t>
      </w:r>
      <w:r w:rsidR="00AA299E">
        <w:rPr>
          <w:lang w:val="cs-CZ"/>
        </w:rPr>
        <w:t>u příjemců, kteří nespravují majetek státu)</w:t>
      </w:r>
      <w:r w:rsidR="00C32FCF">
        <w:rPr>
          <w:lang w:val="cs-CZ"/>
        </w:rPr>
        <w:t xml:space="preserve"> </w:t>
      </w:r>
      <w:r w:rsidRPr="000F2C87">
        <w:rPr>
          <w:lang w:val="cs-CZ"/>
        </w:rPr>
        <w:t>a kde FN mohou doplnit tradiční dotace a zmírnit tlak na státní rozpočet.</w:t>
      </w:r>
    </w:p>
    <w:p w:rsidR="007B0AD4" w:rsidP="00144CC3" w14:paraId="61217E83" w14:textId="39DCE93B">
      <w:pPr>
        <w:jc w:val="both"/>
        <w:rPr>
          <w:lang w:val="cs-CZ"/>
        </w:rPr>
      </w:pPr>
      <w:r>
        <w:rPr>
          <w:lang w:val="cs-CZ"/>
        </w:rPr>
        <w:br w:type="page"/>
      </w:r>
    </w:p>
    <w:p w:rsidR="00067B3F" w:rsidRPr="00FB7F6E" w:rsidP="00794716" w14:paraId="000001CA" w14:textId="3A083404">
      <w:pPr>
        <w:pStyle w:val="Heading1"/>
      </w:pPr>
      <w:bookmarkStart w:id="20" w:name="_Toc256000013"/>
      <w:r>
        <w:t>ZÁVĚR</w:t>
      </w:r>
      <w:bookmarkEnd w:id="20"/>
    </w:p>
    <w:p w:rsidR="00416B7D" w:rsidRPr="00416B7D" w:rsidP="00416B7D" w14:paraId="3D624582" w14:textId="6F893139">
      <w:pPr>
        <w:jc w:val="both"/>
        <w:rPr>
          <w:lang w:val="cs-CZ"/>
        </w:rPr>
      </w:pPr>
      <w:r w:rsidRPr="004444B5">
        <w:rPr>
          <w:lang w:val="cs-CZ"/>
        </w:rPr>
        <w:t>P</w:t>
      </w:r>
      <w:r w:rsidRPr="004444B5">
        <w:rPr>
          <w:lang w:val="cs-CZ"/>
        </w:rPr>
        <w:t>ro úspěšné a systematické využívání finančních nástrojů v</w:t>
      </w:r>
      <w:r w:rsidRPr="004444B5" w:rsidR="00F1799A">
        <w:rPr>
          <w:lang w:val="cs-CZ"/>
        </w:rPr>
        <w:t> </w:t>
      </w:r>
      <w:r w:rsidRPr="004444B5">
        <w:rPr>
          <w:lang w:val="cs-CZ"/>
        </w:rPr>
        <w:t xml:space="preserve">programovém období po roce 2028 je </w:t>
      </w:r>
      <w:r w:rsidRPr="004444B5" w:rsidR="00A47AB1">
        <w:rPr>
          <w:lang w:val="cs-CZ"/>
        </w:rPr>
        <w:t xml:space="preserve">významné </w:t>
      </w:r>
      <w:r w:rsidRPr="00FD7199" w:rsidR="008C5BE7">
        <w:rPr>
          <w:b/>
          <w:bCs/>
          <w:lang w:val="cs-CZ"/>
        </w:rPr>
        <w:t>vyjasnění základního směru</w:t>
      </w:r>
      <w:r w:rsidRPr="00FD7199" w:rsidR="000B7188">
        <w:rPr>
          <w:b/>
          <w:bCs/>
          <w:lang w:val="cs-CZ"/>
        </w:rPr>
        <w:t xml:space="preserve"> nastavení </w:t>
      </w:r>
      <w:r w:rsidRPr="00FD7199">
        <w:rPr>
          <w:b/>
          <w:lang w:val="cs-CZ"/>
        </w:rPr>
        <w:t>implementační</w:t>
      </w:r>
      <w:r w:rsidRPr="004444B5">
        <w:rPr>
          <w:b/>
          <w:lang w:val="cs-CZ"/>
        </w:rPr>
        <w:t xml:space="preserve"> struktury</w:t>
      </w:r>
      <w:r w:rsidRPr="004444B5" w:rsidR="00CE1805">
        <w:rPr>
          <w:lang w:val="cs-CZ"/>
        </w:rPr>
        <w:t>.</w:t>
      </w:r>
      <w:r w:rsidRPr="004444B5">
        <w:rPr>
          <w:lang w:val="cs-CZ"/>
        </w:rPr>
        <w:t xml:space="preserve"> </w:t>
      </w:r>
      <w:r w:rsidRPr="004444B5" w:rsidR="00C60F63">
        <w:rPr>
          <w:lang w:val="cs-CZ"/>
        </w:rPr>
        <w:t>V této souvislosti se otevírá otázka</w:t>
      </w:r>
      <w:r w:rsidRPr="004444B5">
        <w:rPr>
          <w:lang w:val="cs-CZ"/>
        </w:rPr>
        <w:t xml:space="preserve"> mezi decentralizovaným </w:t>
      </w:r>
      <w:r w:rsidRPr="004444B5" w:rsidR="00C60F63">
        <w:rPr>
          <w:lang w:val="cs-CZ"/>
        </w:rPr>
        <w:t>přístupem</w:t>
      </w:r>
      <w:r w:rsidRPr="004444B5">
        <w:rPr>
          <w:lang w:val="cs-CZ"/>
        </w:rPr>
        <w:t xml:space="preserve"> vycházejícím z kooperace NRB a</w:t>
      </w:r>
      <w:r w:rsidRPr="004444B5" w:rsidR="00557904">
        <w:rPr>
          <w:lang w:val="cs-CZ"/>
        </w:rPr>
        <w:t> </w:t>
      </w:r>
      <w:r w:rsidRPr="004444B5">
        <w:rPr>
          <w:lang w:val="cs-CZ"/>
        </w:rPr>
        <w:t>specializovaných státních fondů podle jejich odborných kompetencí</w:t>
      </w:r>
      <w:r w:rsidRPr="004444B5" w:rsidR="004617BF">
        <w:rPr>
          <w:lang w:val="cs-CZ"/>
        </w:rPr>
        <w:t>,</w:t>
      </w:r>
      <w:r w:rsidRPr="004444B5" w:rsidR="00B25595">
        <w:rPr>
          <w:lang w:val="cs-CZ"/>
        </w:rPr>
        <w:t xml:space="preserve"> a</w:t>
      </w:r>
      <w:r w:rsidRPr="004444B5">
        <w:rPr>
          <w:lang w:val="cs-CZ"/>
        </w:rPr>
        <w:t xml:space="preserve"> centralizovaným modelem založeným výhradně na implementaci prostřednictvím</w:t>
      </w:r>
      <w:r w:rsidRPr="004444B5" w:rsidR="00B25595">
        <w:rPr>
          <w:lang w:val="cs-CZ"/>
        </w:rPr>
        <w:t xml:space="preserve"> NRB</w:t>
      </w:r>
      <w:r w:rsidRPr="00FD7199">
        <w:rPr>
          <w:lang w:val="cs-CZ"/>
        </w:rPr>
        <w:t xml:space="preserve">. </w:t>
      </w:r>
      <w:r w:rsidRPr="00FD7199" w:rsidR="00F34919">
        <w:rPr>
          <w:lang w:val="cs-CZ"/>
        </w:rPr>
        <w:t>Zvolený přístup</w:t>
      </w:r>
      <w:r w:rsidRPr="00FD7199">
        <w:rPr>
          <w:lang w:val="cs-CZ"/>
        </w:rPr>
        <w:t xml:space="preserve"> má</w:t>
      </w:r>
      <w:r w:rsidRPr="00FD7199">
        <w:rPr>
          <w:b/>
          <w:lang w:val="cs-CZ"/>
        </w:rPr>
        <w:t xml:space="preserve"> </w:t>
      </w:r>
      <w:r w:rsidRPr="00FD7199" w:rsidR="00F34919">
        <w:rPr>
          <w:b/>
          <w:bCs/>
          <w:lang w:val="cs-CZ"/>
        </w:rPr>
        <w:t>vliv</w:t>
      </w:r>
      <w:r w:rsidRPr="00FD7199">
        <w:rPr>
          <w:b/>
          <w:lang w:val="cs-CZ"/>
        </w:rPr>
        <w:t xml:space="preserve"> na </w:t>
      </w:r>
      <w:r w:rsidRPr="00FD7199" w:rsidR="00F34919">
        <w:rPr>
          <w:b/>
          <w:bCs/>
          <w:lang w:val="cs-CZ"/>
        </w:rPr>
        <w:t>uspořádání</w:t>
      </w:r>
      <w:r w:rsidRPr="00FD7199">
        <w:rPr>
          <w:b/>
          <w:lang w:val="cs-CZ"/>
        </w:rPr>
        <w:t xml:space="preserve"> rolí a</w:t>
      </w:r>
      <w:r w:rsidRPr="00FD7199" w:rsidR="00205988">
        <w:rPr>
          <w:b/>
          <w:lang w:val="cs-CZ"/>
        </w:rPr>
        <w:t> </w:t>
      </w:r>
      <w:r w:rsidRPr="00FD7199">
        <w:rPr>
          <w:b/>
          <w:lang w:val="cs-CZ"/>
        </w:rPr>
        <w:t>odpovědností</w:t>
      </w:r>
      <w:r w:rsidRPr="00FD7199" w:rsidR="0052636D">
        <w:rPr>
          <w:b/>
          <w:bCs/>
          <w:lang w:val="cs-CZ"/>
        </w:rPr>
        <w:t xml:space="preserve"> jednotlivých aktérů</w:t>
      </w:r>
      <w:r w:rsidRPr="00FD7199">
        <w:rPr>
          <w:b/>
          <w:bCs/>
          <w:lang w:val="cs-CZ"/>
        </w:rPr>
        <w:t xml:space="preserve">, nastavení </w:t>
      </w:r>
      <w:r w:rsidRPr="00FD7199" w:rsidR="001460FE">
        <w:rPr>
          <w:b/>
          <w:bCs/>
          <w:lang w:val="cs-CZ"/>
        </w:rPr>
        <w:t>potřebných</w:t>
      </w:r>
      <w:r w:rsidRPr="00FD7199">
        <w:rPr>
          <w:b/>
          <w:lang w:val="cs-CZ"/>
        </w:rPr>
        <w:t xml:space="preserve"> kapacit, harmonogram přípravy finančních nástrojů i schopnost systému efektivně mobilizovat veřejné a soukromé zdroje.</w:t>
      </w:r>
      <w:r w:rsidRPr="004444B5" w:rsidR="004444B5">
        <w:rPr>
          <w:lang w:val="cs-CZ"/>
        </w:rPr>
        <w:t xml:space="preserve"> Tyto souvislosti je proto vhodné posuzovat v širším kontextu dalších analytických zjištění a v návaznosti na další diskusi o možných variantách postupu.</w:t>
      </w:r>
    </w:p>
    <w:p w:rsidR="00702959" w:rsidRPr="00702959" w:rsidP="00702959" w14:paraId="5BD1B6DB" w14:textId="6C53D6EC">
      <w:pPr>
        <w:jc w:val="both"/>
        <w:rPr>
          <w:lang w:val="cs-CZ"/>
        </w:rPr>
      </w:pPr>
      <w:r w:rsidRPr="00702959">
        <w:rPr>
          <w:lang w:val="cs-CZ"/>
        </w:rPr>
        <w:t xml:space="preserve">Současně je nezbytné, aby </w:t>
      </w:r>
      <w:r w:rsidRPr="00702959">
        <w:rPr>
          <w:b/>
          <w:bCs/>
          <w:lang w:val="cs-CZ"/>
        </w:rPr>
        <w:t>příprava finančních nástrojů probíhala na základě jasné a</w:t>
      </w:r>
      <w:r w:rsidR="00557904">
        <w:rPr>
          <w:b/>
          <w:bCs/>
          <w:lang w:val="cs-CZ"/>
        </w:rPr>
        <w:t> </w:t>
      </w:r>
      <w:r w:rsidRPr="00702959">
        <w:rPr>
          <w:b/>
          <w:bCs/>
          <w:lang w:val="cs-CZ"/>
        </w:rPr>
        <w:t xml:space="preserve">realistické </w:t>
      </w:r>
      <w:r w:rsidRPr="00702959">
        <w:rPr>
          <w:b/>
          <w:bCs/>
          <w:lang w:val="cs-CZ"/>
        </w:rPr>
        <w:t>roadmapy</w:t>
      </w:r>
      <w:r w:rsidRPr="00702959">
        <w:rPr>
          <w:b/>
          <w:bCs/>
          <w:lang w:val="cs-CZ"/>
        </w:rPr>
        <w:t xml:space="preserve">. </w:t>
      </w:r>
      <w:r w:rsidRPr="00702959">
        <w:rPr>
          <w:lang w:val="cs-CZ"/>
        </w:rPr>
        <w:t xml:space="preserve">Bez předem definovaného harmonogramu jejich přípravy a bez systematického řešení kapacitních úzkých míst nelze nastavit realistický výkonnostní rámec NRPP. </w:t>
      </w:r>
      <w:r w:rsidR="000A627F">
        <w:rPr>
          <w:lang w:val="cs-CZ"/>
        </w:rPr>
        <w:t xml:space="preserve"> Zpracování</w:t>
      </w:r>
      <w:r w:rsidRPr="00702959">
        <w:rPr>
          <w:lang w:val="cs-CZ"/>
        </w:rPr>
        <w:t xml:space="preserve"> </w:t>
      </w:r>
      <w:r w:rsidRPr="00702959">
        <w:rPr>
          <w:lang w:val="cs-CZ"/>
        </w:rPr>
        <w:t>roadmapy</w:t>
      </w:r>
      <w:r w:rsidRPr="00702959">
        <w:rPr>
          <w:lang w:val="cs-CZ"/>
        </w:rPr>
        <w:t xml:space="preserve"> </w:t>
      </w:r>
      <w:r w:rsidR="000A627F">
        <w:rPr>
          <w:lang w:val="cs-CZ"/>
        </w:rPr>
        <w:t>je k</w:t>
      </w:r>
      <w:r w:rsidRPr="00702959">
        <w:rPr>
          <w:lang w:val="cs-CZ"/>
        </w:rPr>
        <w:t xml:space="preserve">líčovým předpokladem úspěchu přípravy finančních nástrojů </w:t>
      </w:r>
      <w:r w:rsidR="000A627F">
        <w:rPr>
          <w:lang w:val="cs-CZ"/>
        </w:rPr>
        <w:t xml:space="preserve">v NRPP </w:t>
      </w:r>
      <w:r w:rsidRPr="00702959">
        <w:rPr>
          <w:lang w:val="cs-CZ"/>
        </w:rPr>
        <w:t>pro období 2028+</w:t>
      </w:r>
      <w:r w:rsidR="000A627F">
        <w:rPr>
          <w:lang w:val="cs-CZ"/>
        </w:rPr>
        <w:t xml:space="preserve">. </w:t>
      </w:r>
      <w:r w:rsidR="00E34A43">
        <w:rPr>
          <w:lang w:val="cs-CZ"/>
        </w:rPr>
        <w:t>I</w:t>
      </w:r>
      <w:r w:rsidRPr="00702959">
        <w:rPr>
          <w:lang w:val="cs-CZ"/>
        </w:rPr>
        <w:t>dentifikuje prioritní nástroje, stanoví detailní harmonogram jejich přípravy a spuštění a vymezí jasné milníky minimálně pro období 2028–203</w:t>
      </w:r>
      <w:r w:rsidR="008D6BC6">
        <w:rPr>
          <w:lang w:val="cs-CZ"/>
        </w:rPr>
        <w:t>4</w:t>
      </w:r>
      <w:r w:rsidRPr="00702959">
        <w:rPr>
          <w:lang w:val="cs-CZ"/>
        </w:rPr>
        <w:t xml:space="preserve">, </w:t>
      </w:r>
      <w:r w:rsidRPr="00702959">
        <w:rPr>
          <w:b/>
          <w:lang w:val="cs-CZ"/>
        </w:rPr>
        <w:t>přičemž musí reflektovat skutečné kapacitní možnosti jednotlivých implementačních institucí i zvolený model implementační struktury.</w:t>
      </w:r>
    </w:p>
    <w:p w:rsidR="006B5BD1" w:rsidRPr="00416B7D" w:rsidP="006B5BD1" w14:paraId="700C5AC9" w14:textId="77777777">
      <w:pPr>
        <w:jc w:val="both"/>
        <w:rPr>
          <w:lang w:val="cs-CZ"/>
        </w:rPr>
      </w:pPr>
      <w:r w:rsidRPr="00416B7D">
        <w:rPr>
          <w:lang w:val="cs-CZ"/>
        </w:rPr>
        <w:t xml:space="preserve">Tato </w:t>
      </w:r>
      <w:r w:rsidRPr="00416B7D">
        <w:rPr>
          <w:lang w:val="cs-CZ"/>
        </w:rPr>
        <w:t>roadmapa</w:t>
      </w:r>
      <w:r w:rsidRPr="00416B7D">
        <w:rPr>
          <w:lang w:val="cs-CZ"/>
        </w:rPr>
        <w:t xml:space="preserve">, připravená ve spolupráci </w:t>
      </w:r>
      <w:r w:rsidRPr="00416B7D">
        <w:rPr>
          <w:b/>
          <w:bCs/>
          <w:lang w:val="cs-CZ"/>
        </w:rPr>
        <w:t>MMR</w:t>
      </w:r>
      <w:r w:rsidRPr="00416B7D">
        <w:rPr>
          <w:b/>
          <w:bCs/>
          <w:lang w:val="cs-CZ"/>
        </w:rPr>
        <w:noBreakHyphen/>
        <w:t>NOK, NRB</w:t>
      </w:r>
      <w:r>
        <w:rPr>
          <w:b/>
          <w:bCs/>
          <w:lang w:val="cs-CZ"/>
        </w:rPr>
        <w:t>, státních fondů</w:t>
      </w:r>
      <w:r w:rsidRPr="00416B7D">
        <w:rPr>
          <w:b/>
          <w:bCs/>
          <w:lang w:val="cs-CZ"/>
        </w:rPr>
        <w:t xml:space="preserve"> a dalších subjektů zapojených do implementace finančních nástrojů</w:t>
      </w:r>
      <w:r w:rsidRPr="00416B7D">
        <w:rPr>
          <w:lang w:val="cs-CZ"/>
        </w:rPr>
        <w:t xml:space="preserve">, by měla sloužit jako klíčový podklad pro nastavení výkonnostního rámce NRPP i pro přijetí příslušného </w:t>
      </w:r>
      <w:r w:rsidRPr="00BB5F82">
        <w:rPr>
          <w:lang w:val="cs-CZ"/>
        </w:rPr>
        <w:t xml:space="preserve">usnesení vlády. Současně je žádoucí, aby </w:t>
      </w:r>
      <w:r w:rsidRPr="00BB5F82">
        <w:rPr>
          <w:b/>
          <w:bCs/>
          <w:lang w:val="cs-CZ"/>
        </w:rPr>
        <w:t>MMR</w:t>
      </w:r>
      <w:r w:rsidRPr="00BB5F82">
        <w:rPr>
          <w:b/>
          <w:bCs/>
          <w:lang w:val="cs-CZ"/>
        </w:rPr>
        <w:noBreakHyphen/>
        <w:t>NOK ve spolupráci s věcně příslušnými resorty</w:t>
      </w:r>
      <w:r w:rsidRPr="00BB5F82">
        <w:rPr>
          <w:lang w:val="cs-CZ"/>
        </w:rPr>
        <w:t xml:space="preserve"> zajistil posouzení vhodnosti oblastí financovaných prostřednictvím finančních nástrojů v rámci NRPP, s cílem vytvořit jednotný, koordinovaný a strategicky řízený základ pro jejich využívání napříč resorty a veřejnými politikami.</w:t>
      </w:r>
    </w:p>
    <w:p w:rsidR="00067B3F" w:rsidRPr="000F2C87" w:rsidP="00557904" w14:paraId="000001D3" w14:textId="0E9D1F99">
      <w:pPr>
        <w:jc w:val="both"/>
        <w:rPr>
          <w:lang w:val="cs-CZ"/>
        </w:rPr>
      </w:pPr>
      <w:r w:rsidRPr="00FB0517">
        <w:rPr>
          <w:lang w:val="cs-CZ"/>
        </w:rPr>
        <w:t xml:space="preserve">Současně je nezbytné, aby byla věnována cílená pozornost </w:t>
      </w:r>
      <w:r w:rsidRPr="00FB0517">
        <w:rPr>
          <w:b/>
          <w:bCs/>
          <w:lang w:val="cs-CZ"/>
        </w:rPr>
        <w:t>úpravě a sjednocení legislativního rámce pro finanční nástroje</w:t>
      </w:r>
      <w:r w:rsidRPr="00FB0517">
        <w:rPr>
          <w:lang w:val="cs-CZ"/>
        </w:rPr>
        <w:t xml:space="preserve">, tak aby byla zajištěna dostatečná právní jistota pro všechny aktéry zapojené do jejich přípravy a implementace. Odstranění výkladových nejasností a </w:t>
      </w:r>
      <w:r w:rsidRPr="00463CA6">
        <w:rPr>
          <w:b/>
          <w:lang w:val="cs-CZ"/>
        </w:rPr>
        <w:t>vytvoření jednoznačných pravidel</w:t>
      </w:r>
      <w:r w:rsidRPr="00FB0517">
        <w:rPr>
          <w:lang w:val="cs-CZ"/>
        </w:rPr>
        <w:t xml:space="preserve"> pro využívání finančních nástrojů napříč zdroji financování je klíčovým předpokladem pro jejich </w:t>
      </w:r>
      <w:r w:rsidRPr="00463CA6">
        <w:rPr>
          <w:b/>
          <w:lang w:val="cs-CZ"/>
        </w:rPr>
        <w:t>systematické využívání, škálování úspěšných nástrojů a stabilní spolupráci s finančním trhem</w:t>
      </w:r>
      <w:r w:rsidRPr="00FB0517">
        <w:rPr>
          <w:lang w:val="cs-CZ"/>
        </w:rPr>
        <w:t>. Bez odpovídajícího legislativního ukotvení nelze dlouhodobě zajistit předvídatelnost, efektivní řízení ani plné využití potenciálu finančních nástrojů v rámci NRPP.</w:t>
      </w:r>
    </w:p>
    <w:p w:rsidR="00067B3F" w:rsidRPr="000F2C87" w14:paraId="000001D4" w14:textId="77777777">
      <w:pPr>
        <w:rPr>
          <w:b/>
          <w:bCs/>
          <w:sz w:val="24"/>
          <w:szCs w:val="24"/>
          <w:lang w:val="cs-CZ"/>
        </w:rPr>
      </w:pPr>
      <w:r w:rsidRPr="000F2C87">
        <w:rPr>
          <w:lang w:val="cs-CZ"/>
        </w:rPr>
        <w:br w:type="page"/>
      </w:r>
    </w:p>
    <w:p w:rsidR="00067B3F" w:rsidRPr="000F2C87" w:rsidP="00794716" w14:paraId="000001D5" w14:textId="22D3BB78">
      <w:pPr>
        <w:pStyle w:val="Heading1"/>
      </w:pPr>
      <w:bookmarkStart w:id="21" w:name="_Toc256000014"/>
      <w:r w:rsidRPr="000F2C87">
        <w:t>PŘÍLOHY</w:t>
      </w:r>
      <w:bookmarkEnd w:id="21"/>
    </w:p>
    <w:p w:rsidR="2D0AAC5B" w:rsidRPr="000F2C87" w:rsidP="001311E2" w14:paraId="291EB7A8" w14:textId="322D6CEF">
      <w:pPr>
        <w:numPr>
          <w:ilvl w:val="0"/>
          <w:numId w:val="2"/>
        </w:numPr>
        <w:rPr>
          <w:lang w:val="cs-CZ"/>
        </w:rPr>
      </w:pPr>
      <w:r w:rsidRPr="000F2C87">
        <w:rPr>
          <w:lang w:val="cs-CZ"/>
        </w:rPr>
        <w:t>Seznam zkratek</w:t>
      </w:r>
    </w:p>
    <w:p w:rsidR="00285F3F" w:rsidP="001311E2" w14:paraId="68790564" w14:textId="77777777">
      <w:pPr>
        <w:numPr>
          <w:ilvl w:val="0"/>
          <w:numId w:val="2"/>
        </w:numPr>
        <w:rPr>
          <w:lang w:val="cs-CZ"/>
        </w:rPr>
      </w:pPr>
      <w:r w:rsidRPr="00285F3F">
        <w:rPr>
          <w:lang w:val="cs-CZ"/>
        </w:rPr>
        <w:t>Role národních rozvojových finančních institucí v EU a OECD</w:t>
      </w:r>
    </w:p>
    <w:p w:rsidR="00557904" w:rsidP="00663CC0" w14:paraId="5BD63D3B" w14:textId="77777777">
      <w:pPr>
        <w:numPr>
          <w:ilvl w:val="0"/>
          <w:numId w:val="2"/>
        </w:numPr>
        <w:rPr>
          <w:lang w:val="cs-CZ"/>
        </w:rPr>
      </w:pPr>
      <w:r w:rsidRPr="00285F3F">
        <w:rPr>
          <w:lang w:val="cs-CZ"/>
        </w:rPr>
        <w:t>Finanční nástroje 2021–2027 napříč operačními programy</w:t>
      </w:r>
    </w:p>
    <w:p w:rsidR="62525442" w:rsidRPr="00663CC0" w:rsidP="00663CC0" w14:paraId="5CD486EF" w14:textId="3CD1E8A1">
      <w:pPr>
        <w:numPr>
          <w:ilvl w:val="0"/>
          <w:numId w:val="2"/>
        </w:numPr>
        <w:rPr>
          <w:lang w:val="cs-CZ"/>
        </w:rPr>
      </w:pPr>
      <w:r w:rsidRPr="00663CC0">
        <w:rPr>
          <w:lang w:val="cs-CZ"/>
        </w:rPr>
        <w:br w:type="page"/>
      </w:r>
    </w:p>
    <w:p w:rsidR="00525595" w:rsidRPr="000F2C87" w:rsidP="006B0E98" w14:paraId="0B3EFF98" w14:textId="4D946ADF">
      <w:pPr>
        <w:pStyle w:val="Heading1"/>
        <w:numPr>
          <w:ilvl w:val="0"/>
          <w:numId w:val="0"/>
        </w:numPr>
        <w:rPr>
          <w:b/>
        </w:rPr>
      </w:pPr>
      <w:bookmarkStart w:id="22" w:name="_Toc256000015"/>
      <w:r w:rsidRPr="000F2C87">
        <w:t>Příloha č.</w:t>
      </w:r>
      <w:r w:rsidR="008368E6">
        <w:t xml:space="preserve"> 1 – Seznam zkratek</w:t>
      </w:r>
      <w:bookmarkEnd w:id="22"/>
    </w:p>
    <w:p w:rsidR="62525442" w:rsidRPr="000F2C87" w:rsidP="62525442" w14:paraId="2C2B8E2D" w14:textId="01E57E70">
      <w:pPr>
        <w:rPr>
          <w:rFonts w:ascii="Arial" w:eastAsia="Arial" w:hAnsi="Arial" w:cs="Arial"/>
          <w:lang w:val="cs-CZ"/>
        </w:rPr>
      </w:pPr>
    </w:p>
    <w:p w:rsidR="4962A4D6" w:rsidRPr="006D1C26" w:rsidP="62525442" w14:paraId="63359CE5" w14:textId="09D94AFF">
      <w:pPr>
        <w:ind w:left="1418" w:hanging="1418"/>
        <w:rPr>
          <w:rFonts w:eastAsia="Arial" w:asciiTheme="minorHAnsi" w:hAnsiTheme="minorHAnsi" w:cs="Arial"/>
          <w:lang w:val="cs-CZ"/>
        </w:rPr>
      </w:pPr>
      <w:r w:rsidRPr="006D1C26">
        <w:rPr>
          <w:rFonts w:eastAsia="Arial" w:asciiTheme="minorHAnsi" w:hAnsiTheme="minorHAnsi" w:cs="Arial"/>
          <w:lang w:val="cs-CZ"/>
        </w:rPr>
        <w:t>AWS</w:t>
      </w:r>
      <w:r w:rsidRPr="006D1C26">
        <w:rPr>
          <w:rFonts w:asciiTheme="minorHAnsi" w:hAnsiTheme="minorHAnsi"/>
          <w:lang w:val="cs-CZ"/>
        </w:rPr>
        <w:tab/>
      </w:r>
      <w:r w:rsidRPr="006D1C26">
        <w:rPr>
          <w:rFonts w:eastAsia="Arial" w:asciiTheme="minorHAnsi" w:hAnsiTheme="minorHAnsi" w:cs="Arial"/>
          <w:lang w:val="cs-CZ"/>
        </w:rPr>
        <w:t>Austria</w:t>
      </w:r>
      <w:r w:rsidRPr="006D1C26">
        <w:rPr>
          <w:rFonts w:eastAsia="Arial" w:asciiTheme="minorHAnsi" w:hAnsiTheme="minorHAnsi" w:cs="Arial"/>
          <w:lang w:val="cs-CZ"/>
        </w:rPr>
        <w:t xml:space="preserve"> </w:t>
      </w:r>
      <w:r w:rsidRPr="006D1C26">
        <w:rPr>
          <w:rFonts w:eastAsia="Arial" w:asciiTheme="minorHAnsi" w:hAnsiTheme="minorHAnsi" w:cs="Arial"/>
          <w:lang w:val="cs-CZ"/>
        </w:rPr>
        <w:t>Wirtschaftsservice</w:t>
      </w:r>
    </w:p>
    <w:p w:rsidR="4962A4D6" w:rsidRPr="006D1C26" w:rsidP="62525442" w14:paraId="349ADD77" w14:textId="2F50F9D5">
      <w:pPr>
        <w:ind w:left="1418" w:hanging="1418"/>
        <w:rPr>
          <w:rFonts w:eastAsia="Arial" w:asciiTheme="minorHAnsi" w:hAnsiTheme="minorHAnsi" w:cs="Arial"/>
          <w:lang w:val="cs-CZ"/>
        </w:rPr>
      </w:pPr>
      <w:r w:rsidRPr="006D1C26">
        <w:rPr>
          <w:rFonts w:eastAsia="Arial" w:asciiTheme="minorHAnsi" w:hAnsiTheme="minorHAnsi" w:cs="Arial"/>
          <w:lang w:val="cs-CZ"/>
        </w:rPr>
        <w:t>BBB</w:t>
      </w:r>
      <w:r w:rsidRPr="006D1C26">
        <w:rPr>
          <w:rFonts w:asciiTheme="minorHAnsi" w:hAnsiTheme="minorHAnsi"/>
          <w:lang w:val="cs-CZ"/>
        </w:rPr>
        <w:tab/>
      </w:r>
      <w:r w:rsidRPr="006D1C26">
        <w:rPr>
          <w:rFonts w:eastAsia="Arial" w:asciiTheme="minorHAnsi" w:hAnsiTheme="minorHAnsi" w:cs="Arial"/>
          <w:lang w:val="cs-CZ"/>
        </w:rPr>
        <w:t>British</w:t>
      </w:r>
      <w:r w:rsidRPr="006D1C26">
        <w:rPr>
          <w:rFonts w:eastAsia="Arial" w:asciiTheme="minorHAnsi" w:hAnsiTheme="minorHAnsi" w:cs="Arial"/>
          <w:lang w:val="cs-CZ"/>
        </w:rPr>
        <w:t xml:space="preserve"> Business Bank</w:t>
      </w:r>
    </w:p>
    <w:p w:rsidR="4962A4D6" w:rsidRPr="006D1C26" w:rsidP="62525442" w14:paraId="00458182" w14:textId="2A21AA4D">
      <w:pPr>
        <w:ind w:left="1418" w:hanging="1418"/>
        <w:rPr>
          <w:rFonts w:eastAsia="Arial" w:asciiTheme="minorHAnsi" w:hAnsiTheme="minorHAnsi" w:cs="Arial"/>
          <w:lang w:val="cs-CZ"/>
        </w:rPr>
      </w:pPr>
      <w:r w:rsidRPr="006D1C26">
        <w:rPr>
          <w:rFonts w:eastAsia="Arial" w:asciiTheme="minorHAnsi" w:hAnsiTheme="minorHAnsi" w:cs="Arial"/>
          <w:lang w:val="cs-CZ"/>
        </w:rPr>
        <w:t>BGK</w:t>
      </w:r>
      <w:r w:rsidRPr="006D1C26">
        <w:rPr>
          <w:rFonts w:asciiTheme="minorHAnsi" w:hAnsiTheme="minorHAnsi"/>
          <w:lang w:val="cs-CZ"/>
        </w:rPr>
        <w:tab/>
      </w:r>
      <w:r w:rsidRPr="006D1C26">
        <w:rPr>
          <w:rFonts w:eastAsia="Arial" w:asciiTheme="minorHAnsi" w:hAnsiTheme="minorHAnsi" w:cs="Arial"/>
          <w:lang w:val="cs-CZ"/>
        </w:rPr>
        <w:t xml:space="preserve">Bank </w:t>
      </w:r>
      <w:r w:rsidRPr="006D1C26">
        <w:rPr>
          <w:rFonts w:eastAsia="Arial" w:asciiTheme="minorHAnsi" w:hAnsiTheme="minorHAnsi" w:cs="Arial"/>
          <w:lang w:val="cs-CZ"/>
        </w:rPr>
        <w:t>Gospodarstwa</w:t>
      </w:r>
      <w:r w:rsidRPr="006D1C26">
        <w:rPr>
          <w:rFonts w:eastAsia="Arial" w:asciiTheme="minorHAnsi" w:hAnsiTheme="minorHAnsi" w:cs="Arial"/>
          <w:lang w:val="cs-CZ"/>
        </w:rPr>
        <w:t xml:space="preserve"> </w:t>
      </w:r>
      <w:r w:rsidRPr="006D1C26">
        <w:rPr>
          <w:rFonts w:eastAsia="Arial" w:asciiTheme="minorHAnsi" w:hAnsiTheme="minorHAnsi" w:cs="Arial"/>
          <w:lang w:val="cs-CZ"/>
        </w:rPr>
        <w:t>Krajowego</w:t>
      </w:r>
    </w:p>
    <w:p w:rsidR="4962A4D6" w:rsidRPr="006D1C26" w:rsidP="62525442" w14:paraId="3B218A30" w14:textId="51F4EBF5">
      <w:pPr>
        <w:ind w:left="1418" w:hanging="1418"/>
        <w:rPr>
          <w:rFonts w:eastAsia="Arial" w:asciiTheme="minorHAnsi" w:hAnsiTheme="minorHAnsi" w:cs="Arial"/>
          <w:lang w:val="cs-CZ"/>
        </w:rPr>
      </w:pPr>
      <w:r w:rsidRPr="006D1C26">
        <w:rPr>
          <w:rFonts w:eastAsia="Arial" w:asciiTheme="minorHAnsi" w:hAnsiTheme="minorHAnsi" w:cs="Arial"/>
          <w:lang w:val="cs-CZ"/>
        </w:rPr>
        <w:t>Bpifrance</w:t>
      </w:r>
      <w:r w:rsidRPr="006D1C26">
        <w:rPr>
          <w:rFonts w:asciiTheme="minorHAnsi" w:hAnsiTheme="minorHAnsi"/>
          <w:lang w:val="cs-CZ"/>
        </w:rPr>
        <w:tab/>
      </w:r>
      <w:r w:rsidRPr="006D1C26">
        <w:rPr>
          <w:rFonts w:eastAsia="Arial" w:asciiTheme="minorHAnsi" w:hAnsiTheme="minorHAnsi" w:cs="Arial"/>
          <w:lang w:val="cs-CZ"/>
        </w:rPr>
        <w:t>Banque</w:t>
      </w:r>
      <w:r w:rsidRPr="006D1C26">
        <w:rPr>
          <w:rFonts w:eastAsia="Arial" w:asciiTheme="minorHAnsi" w:hAnsiTheme="minorHAnsi" w:cs="Arial"/>
          <w:lang w:val="cs-CZ"/>
        </w:rPr>
        <w:t xml:space="preserve"> </w:t>
      </w:r>
      <w:r w:rsidRPr="006D1C26">
        <w:rPr>
          <w:rFonts w:eastAsia="Arial" w:asciiTheme="minorHAnsi" w:hAnsiTheme="minorHAnsi" w:cs="Arial"/>
          <w:lang w:val="cs-CZ"/>
        </w:rPr>
        <w:t>publique</w:t>
      </w:r>
      <w:r w:rsidRPr="006D1C26">
        <w:rPr>
          <w:rFonts w:eastAsia="Arial" w:asciiTheme="minorHAnsi" w:hAnsiTheme="minorHAnsi" w:cs="Arial"/>
          <w:lang w:val="cs-CZ"/>
        </w:rPr>
        <w:t xml:space="preserve"> </w:t>
      </w:r>
      <w:r w:rsidRPr="006D1C26">
        <w:rPr>
          <w:rFonts w:eastAsia="Arial" w:asciiTheme="minorHAnsi" w:hAnsiTheme="minorHAnsi" w:cs="Arial"/>
          <w:lang w:val="cs-CZ"/>
        </w:rPr>
        <w:t>d'investissement</w:t>
      </w:r>
    </w:p>
    <w:p w:rsidR="4962A4D6" w:rsidRPr="006D1C26" w:rsidP="62525442" w14:paraId="62085859" w14:textId="5ADB2DDF">
      <w:pPr>
        <w:ind w:left="1418" w:hanging="1418"/>
        <w:rPr>
          <w:rFonts w:eastAsia="Arial" w:asciiTheme="minorHAnsi" w:hAnsiTheme="minorHAnsi" w:cs="Arial"/>
          <w:lang w:val="cs-CZ"/>
        </w:rPr>
      </w:pPr>
      <w:r w:rsidRPr="006D1C26">
        <w:rPr>
          <w:rFonts w:eastAsia="Arial" w:asciiTheme="minorHAnsi" w:hAnsiTheme="minorHAnsi" w:cs="Arial"/>
          <w:lang w:val="cs-CZ"/>
        </w:rPr>
        <w:t>CEB</w:t>
      </w:r>
      <w:r w:rsidRPr="006D1C26">
        <w:rPr>
          <w:rFonts w:asciiTheme="minorHAnsi" w:hAnsiTheme="minorHAnsi"/>
        </w:rPr>
        <w:tab/>
      </w:r>
      <w:r w:rsidRPr="006D1C26">
        <w:rPr>
          <w:rFonts w:eastAsia="Arial" w:asciiTheme="minorHAnsi" w:hAnsiTheme="minorHAnsi" w:cs="Arial"/>
          <w:lang w:val="cs-CZ"/>
        </w:rPr>
        <w:t>Council</w:t>
      </w:r>
      <w:r w:rsidRPr="006D1C26">
        <w:rPr>
          <w:rFonts w:eastAsia="Arial" w:asciiTheme="minorHAnsi" w:hAnsiTheme="minorHAnsi" w:cs="Arial"/>
          <w:lang w:val="cs-CZ"/>
        </w:rPr>
        <w:t xml:space="preserve"> </w:t>
      </w:r>
      <w:r w:rsidRPr="006D1C26">
        <w:rPr>
          <w:rFonts w:eastAsia="Arial" w:asciiTheme="minorHAnsi" w:hAnsiTheme="minorHAnsi" w:cs="Arial"/>
          <w:lang w:val="cs-CZ"/>
        </w:rPr>
        <w:t>of</w:t>
      </w:r>
      <w:r w:rsidRPr="006D1C26">
        <w:rPr>
          <w:rFonts w:eastAsia="Arial" w:asciiTheme="minorHAnsi" w:hAnsiTheme="minorHAnsi" w:cs="Arial"/>
          <w:lang w:val="cs-CZ"/>
        </w:rPr>
        <w:t xml:space="preserve"> </w:t>
      </w:r>
      <w:r w:rsidRPr="006D1C26">
        <w:rPr>
          <w:rFonts w:eastAsia="Arial" w:asciiTheme="minorHAnsi" w:hAnsiTheme="minorHAnsi" w:cs="Arial"/>
          <w:lang w:val="cs-CZ"/>
        </w:rPr>
        <w:t>Europe</w:t>
      </w:r>
      <w:r w:rsidRPr="006D1C26">
        <w:rPr>
          <w:rFonts w:eastAsia="Arial" w:asciiTheme="minorHAnsi" w:hAnsiTheme="minorHAnsi" w:cs="Arial"/>
          <w:lang w:val="cs-CZ"/>
        </w:rPr>
        <w:t xml:space="preserve"> Development Bank</w:t>
      </w:r>
    </w:p>
    <w:p w:rsidR="6FEB7924" w:rsidRPr="006D1C26" w:rsidP="00315F26" w14:paraId="1703C31F" w14:textId="198E28E0">
      <w:pPr>
        <w:ind w:left="1418" w:hanging="1418"/>
        <w:rPr>
          <w:rFonts w:eastAsia="Arial" w:asciiTheme="minorHAnsi" w:hAnsiTheme="minorHAnsi" w:cs="Arial"/>
          <w:lang w:val="en-US"/>
        </w:rPr>
      </w:pPr>
      <w:r w:rsidRPr="006D1C26">
        <w:rPr>
          <w:rFonts w:eastAsia="Arial" w:asciiTheme="minorHAnsi" w:hAnsiTheme="minorHAnsi" w:cs="Arial"/>
          <w:lang w:val="en-US"/>
        </w:rPr>
        <w:t>CRD</w:t>
      </w:r>
      <w:r w:rsidRPr="006D1C26" w:rsidR="00315F26">
        <w:rPr>
          <w:rFonts w:asciiTheme="minorHAnsi" w:hAnsiTheme="minorHAnsi"/>
        </w:rPr>
        <w:tab/>
      </w:r>
      <w:r w:rsidRPr="006D1C26" w:rsidR="16B98639">
        <w:rPr>
          <w:rFonts w:eastAsia="Arial" w:asciiTheme="minorHAnsi" w:hAnsiTheme="minorHAnsi" w:cs="Arial"/>
          <w:lang w:val="en-US"/>
        </w:rPr>
        <w:t>Capital Requirements Directive (Directive 2013/36/EU of the European Parliament and of the Council of 26 June 2013 on access to the activity of credit institutions and the prudential supervision of credit institutions and investment firms, amending Directive 2002/87/EC and repealing Directives 2006/48/EC and 2006/49/EC)</w:t>
      </w:r>
    </w:p>
    <w:p w:rsidR="009C753F" w:rsidRPr="006D1C26" w:rsidP="00315F26" w14:paraId="27F00E30" w14:textId="6603F9DE">
      <w:pPr>
        <w:ind w:left="1418" w:hanging="1418"/>
        <w:rPr>
          <w:rFonts w:eastAsia="Arial" w:asciiTheme="minorHAnsi" w:hAnsiTheme="minorHAnsi" w:cs="Arial"/>
          <w:lang w:val="en-US"/>
        </w:rPr>
      </w:pPr>
      <w:r w:rsidRPr="006D1C26">
        <w:rPr>
          <w:rFonts w:eastAsia="Arial" w:asciiTheme="minorHAnsi" w:hAnsiTheme="minorHAnsi" w:cs="Arial"/>
          <w:lang w:val="en-US"/>
        </w:rPr>
        <w:t>CRR</w:t>
      </w:r>
      <w:r w:rsidRPr="006D1C26">
        <w:rPr>
          <w:rFonts w:eastAsia="Arial" w:asciiTheme="minorHAnsi" w:hAnsiTheme="minorHAnsi" w:cs="Arial"/>
          <w:lang w:val="en-US"/>
        </w:rPr>
        <w:tab/>
      </w:r>
      <w:r w:rsidRPr="006D1C26">
        <w:rPr>
          <w:rFonts w:eastAsia="Arial" w:asciiTheme="minorHAnsi" w:hAnsiTheme="minorHAnsi" w:cs="Arial"/>
          <w:lang w:val="cs-CZ"/>
        </w:rPr>
        <w:t>Centr</w:t>
      </w:r>
      <w:r w:rsidRPr="006D1C26" w:rsidR="0032156F">
        <w:rPr>
          <w:rFonts w:eastAsia="Arial" w:asciiTheme="minorHAnsi" w:hAnsiTheme="minorHAnsi" w:cs="Arial"/>
          <w:lang w:val="cs-CZ"/>
        </w:rPr>
        <w:t>um</w:t>
      </w:r>
      <w:r w:rsidRPr="006D1C26">
        <w:rPr>
          <w:rFonts w:eastAsia="Arial" w:asciiTheme="minorHAnsi" w:hAnsiTheme="minorHAnsi" w:cs="Arial"/>
          <w:lang w:val="cs-CZ"/>
        </w:rPr>
        <w:t xml:space="preserve"> pro regionální rozvoj České republiky</w:t>
      </w:r>
    </w:p>
    <w:p w:rsidR="4962A4D6" w:rsidRPr="006D1C26" w:rsidP="62525442" w14:paraId="00613C70" w14:textId="7B6C1C0C">
      <w:pPr>
        <w:ind w:left="1418" w:hanging="1418"/>
        <w:rPr>
          <w:rFonts w:eastAsia="Arial" w:asciiTheme="minorHAnsi" w:hAnsiTheme="minorHAnsi" w:cs="Arial"/>
          <w:lang w:val="cs-CZ"/>
        </w:rPr>
      </w:pPr>
      <w:r w:rsidRPr="006D1C26">
        <w:rPr>
          <w:rFonts w:eastAsia="Arial" w:asciiTheme="minorHAnsi" w:hAnsiTheme="minorHAnsi" w:cs="Arial"/>
          <w:lang w:val="cs-CZ"/>
        </w:rPr>
        <w:t>EBRD</w:t>
      </w:r>
      <w:r w:rsidRPr="006D1C26">
        <w:rPr>
          <w:rFonts w:asciiTheme="minorHAnsi" w:hAnsiTheme="minorHAnsi"/>
          <w:lang w:val="cs-CZ"/>
        </w:rPr>
        <w:tab/>
      </w:r>
      <w:r w:rsidRPr="006D1C26">
        <w:rPr>
          <w:rFonts w:eastAsia="Arial" w:asciiTheme="minorHAnsi" w:hAnsiTheme="minorHAnsi" w:cs="Arial"/>
          <w:lang w:val="cs-CZ"/>
        </w:rPr>
        <w:t>European</w:t>
      </w:r>
      <w:r w:rsidRPr="006D1C26">
        <w:rPr>
          <w:rFonts w:eastAsia="Arial" w:asciiTheme="minorHAnsi" w:hAnsiTheme="minorHAnsi" w:cs="Arial"/>
          <w:lang w:val="cs-CZ"/>
        </w:rPr>
        <w:t xml:space="preserve"> Bank </w:t>
      </w:r>
      <w:r w:rsidRPr="006D1C26">
        <w:rPr>
          <w:rFonts w:eastAsia="Arial" w:asciiTheme="minorHAnsi" w:hAnsiTheme="minorHAnsi" w:cs="Arial"/>
          <w:lang w:val="cs-CZ"/>
        </w:rPr>
        <w:t>for</w:t>
      </w:r>
      <w:r w:rsidRPr="006D1C26">
        <w:rPr>
          <w:rFonts w:eastAsia="Arial" w:asciiTheme="minorHAnsi" w:hAnsiTheme="minorHAnsi" w:cs="Arial"/>
          <w:lang w:val="cs-CZ"/>
        </w:rPr>
        <w:t xml:space="preserve"> </w:t>
      </w:r>
      <w:r w:rsidRPr="006D1C26">
        <w:rPr>
          <w:rFonts w:eastAsia="Arial" w:asciiTheme="minorHAnsi" w:hAnsiTheme="minorHAnsi" w:cs="Arial"/>
          <w:lang w:val="cs-CZ"/>
        </w:rPr>
        <w:t>Reconstruction</w:t>
      </w:r>
      <w:r w:rsidRPr="006D1C26">
        <w:rPr>
          <w:rFonts w:eastAsia="Arial" w:asciiTheme="minorHAnsi" w:hAnsiTheme="minorHAnsi" w:cs="Arial"/>
          <w:lang w:val="cs-CZ"/>
        </w:rPr>
        <w:t xml:space="preserve"> and Development</w:t>
      </w:r>
    </w:p>
    <w:p w:rsidR="4962A4D6" w:rsidRPr="006D1C26" w:rsidP="62525442" w14:paraId="4A0B6C9C" w14:textId="3B65A1B8">
      <w:pPr>
        <w:ind w:left="1418" w:hanging="1418"/>
        <w:rPr>
          <w:rFonts w:eastAsia="Arial" w:asciiTheme="minorHAnsi" w:hAnsiTheme="minorHAnsi" w:cs="Arial"/>
          <w:lang w:val="cs-CZ"/>
        </w:rPr>
      </w:pPr>
      <w:r w:rsidRPr="006D1C26">
        <w:rPr>
          <w:rFonts w:eastAsia="Arial" w:asciiTheme="minorHAnsi" w:hAnsiTheme="minorHAnsi" w:cs="Arial"/>
          <w:lang w:val="cs-CZ"/>
        </w:rPr>
        <w:t>EIB</w:t>
      </w:r>
      <w:r w:rsidRPr="006D1C26">
        <w:rPr>
          <w:rFonts w:asciiTheme="minorHAnsi" w:hAnsiTheme="minorHAnsi"/>
          <w:lang w:val="cs-CZ"/>
        </w:rPr>
        <w:tab/>
      </w:r>
      <w:r w:rsidRPr="006D1C26">
        <w:rPr>
          <w:rFonts w:eastAsia="Arial" w:asciiTheme="minorHAnsi" w:hAnsiTheme="minorHAnsi" w:cs="Arial"/>
          <w:lang w:val="cs-CZ"/>
        </w:rPr>
        <w:t>Evropská investiční banka</w:t>
      </w:r>
    </w:p>
    <w:p w:rsidR="4962A4D6" w:rsidRPr="006D1C26" w:rsidP="62525442" w14:paraId="70473904" w14:textId="5D932DFA">
      <w:pPr>
        <w:ind w:left="1418" w:hanging="1418"/>
        <w:rPr>
          <w:rFonts w:eastAsia="Arial" w:asciiTheme="minorHAnsi" w:hAnsiTheme="minorHAnsi" w:cs="Arial"/>
          <w:lang w:val="cs-CZ"/>
        </w:rPr>
      </w:pPr>
      <w:r w:rsidRPr="006D1C26">
        <w:rPr>
          <w:rFonts w:eastAsia="Arial" w:asciiTheme="minorHAnsi" w:hAnsiTheme="minorHAnsi" w:cs="Arial"/>
          <w:lang w:val="cs-CZ"/>
        </w:rPr>
        <w:t>EIF</w:t>
      </w:r>
      <w:r w:rsidRPr="006D1C26">
        <w:rPr>
          <w:rFonts w:asciiTheme="minorHAnsi" w:hAnsiTheme="minorHAnsi"/>
          <w:lang w:val="cs-CZ"/>
        </w:rPr>
        <w:tab/>
      </w:r>
      <w:r w:rsidRPr="006D1C26">
        <w:rPr>
          <w:rFonts w:eastAsia="Arial" w:asciiTheme="minorHAnsi" w:hAnsiTheme="minorHAnsi" w:cs="Arial"/>
          <w:lang w:val="cs-CZ"/>
        </w:rPr>
        <w:t>Evropský investiční fond</w:t>
      </w:r>
    </w:p>
    <w:p w:rsidR="4962A4D6" w:rsidRPr="006D1C26" w:rsidP="62525442" w14:paraId="480021C7" w14:textId="165B787E">
      <w:pPr>
        <w:ind w:left="1418" w:hanging="1418"/>
        <w:rPr>
          <w:rFonts w:eastAsia="Arial" w:asciiTheme="minorHAnsi" w:hAnsiTheme="minorHAnsi" w:cs="Arial"/>
          <w:lang w:val="cs-CZ"/>
        </w:rPr>
      </w:pPr>
      <w:r w:rsidRPr="006D1C26">
        <w:rPr>
          <w:rFonts w:eastAsia="Arial" w:asciiTheme="minorHAnsi" w:hAnsiTheme="minorHAnsi" w:cs="Arial"/>
          <w:lang w:val="cs-CZ"/>
        </w:rPr>
        <w:t>FN</w:t>
      </w:r>
      <w:r w:rsidRPr="006D1C26">
        <w:rPr>
          <w:rFonts w:asciiTheme="minorHAnsi" w:hAnsiTheme="minorHAnsi"/>
          <w:lang w:val="cs-CZ"/>
        </w:rPr>
        <w:tab/>
      </w:r>
      <w:r w:rsidRPr="006D1C26">
        <w:rPr>
          <w:rFonts w:asciiTheme="minorHAnsi" w:hAnsiTheme="minorHAnsi"/>
          <w:lang w:val="cs-CZ"/>
        </w:rPr>
        <w:tab/>
      </w:r>
      <w:r w:rsidRPr="006D1C26">
        <w:rPr>
          <w:rFonts w:eastAsia="Arial" w:asciiTheme="minorHAnsi" w:hAnsiTheme="minorHAnsi" w:cs="Arial"/>
          <w:lang w:val="cs-CZ"/>
        </w:rPr>
        <w:t>Finanční nástroj/e</w:t>
      </w:r>
    </w:p>
    <w:p w:rsidR="4962A4D6" w:rsidRPr="006D1C26" w:rsidP="62525442" w14:paraId="1ECEDBDE" w14:textId="728839AD">
      <w:pPr>
        <w:ind w:left="1418" w:hanging="1418"/>
        <w:rPr>
          <w:rFonts w:eastAsia="Arial" w:asciiTheme="minorHAnsi" w:hAnsiTheme="minorHAnsi" w:cs="Arial"/>
          <w:lang w:val="cs-CZ"/>
        </w:rPr>
      </w:pPr>
      <w:r w:rsidRPr="006D1C26">
        <w:rPr>
          <w:rFonts w:eastAsia="Arial" w:asciiTheme="minorHAnsi" w:hAnsiTheme="minorHAnsi" w:cs="Arial"/>
          <w:lang w:val="cs-CZ"/>
        </w:rPr>
        <w:t>HF</w:t>
      </w:r>
      <w:r w:rsidRPr="006D1C26">
        <w:rPr>
          <w:rFonts w:asciiTheme="minorHAnsi" w:hAnsiTheme="minorHAnsi"/>
          <w:lang w:val="cs-CZ"/>
        </w:rPr>
        <w:tab/>
      </w:r>
      <w:r w:rsidRPr="006D1C26">
        <w:rPr>
          <w:rFonts w:asciiTheme="minorHAnsi" w:hAnsiTheme="minorHAnsi"/>
          <w:lang w:val="cs-CZ"/>
        </w:rPr>
        <w:tab/>
      </w:r>
      <w:r w:rsidRPr="006D1C26">
        <w:rPr>
          <w:rFonts w:eastAsia="Arial" w:asciiTheme="minorHAnsi" w:hAnsiTheme="minorHAnsi" w:cs="Arial"/>
          <w:lang w:val="cs-CZ"/>
        </w:rPr>
        <w:t>Holdingový fond</w:t>
      </w:r>
    </w:p>
    <w:p w:rsidR="4962A4D6" w:rsidRPr="006D1C26" w:rsidP="62525442" w14:paraId="554699F9" w14:textId="71409515">
      <w:pPr>
        <w:ind w:left="1418" w:hanging="1418"/>
        <w:rPr>
          <w:rFonts w:eastAsia="Arial" w:asciiTheme="minorHAnsi" w:hAnsiTheme="minorHAnsi" w:cs="Arial"/>
          <w:lang w:val="cs-CZ"/>
        </w:rPr>
      </w:pPr>
      <w:r w:rsidRPr="006D1C26">
        <w:rPr>
          <w:rFonts w:eastAsia="Arial" w:asciiTheme="minorHAnsi" w:hAnsiTheme="minorHAnsi" w:cs="Arial"/>
          <w:lang w:val="cs-CZ"/>
        </w:rPr>
        <w:t>KfW</w:t>
      </w:r>
      <w:r w:rsidRPr="006D1C26">
        <w:rPr>
          <w:rFonts w:asciiTheme="minorHAnsi" w:hAnsiTheme="minorHAnsi"/>
          <w:lang w:val="cs-CZ"/>
        </w:rPr>
        <w:tab/>
      </w:r>
      <w:r w:rsidRPr="006D1C26">
        <w:rPr>
          <w:rFonts w:eastAsia="Arial" w:asciiTheme="minorHAnsi" w:hAnsiTheme="minorHAnsi" w:cs="Arial"/>
          <w:lang w:val="cs-CZ"/>
        </w:rPr>
        <w:t>Kreditanstalt</w:t>
      </w:r>
      <w:r w:rsidRPr="006D1C26">
        <w:rPr>
          <w:rFonts w:eastAsia="Arial" w:asciiTheme="minorHAnsi" w:hAnsiTheme="minorHAnsi" w:cs="Arial"/>
          <w:lang w:val="cs-CZ"/>
        </w:rPr>
        <w:t xml:space="preserve"> </w:t>
      </w:r>
      <w:r w:rsidRPr="006D1C26">
        <w:rPr>
          <w:rFonts w:eastAsia="Arial" w:asciiTheme="minorHAnsi" w:hAnsiTheme="minorHAnsi" w:cs="Arial"/>
          <w:lang w:val="cs-CZ"/>
        </w:rPr>
        <w:t>für</w:t>
      </w:r>
      <w:r w:rsidRPr="006D1C26">
        <w:rPr>
          <w:rFonts w:eastAsia="Arial" w:asciiTheme="minorHAnsi" w:hAnsiTheme="minorHAnsi" w:cs="Arial"/>
          <w:lang w:val="cs-CZ"/>
        </w:rPr>
        <w:t xml:space="preserve"> </w:t>
      </w:r>
      <w:r w:rsidRPr="006D1C26">
        <w:rPr>
          <w:rFonts w:eastAsia="Arial" w:asciiTheme="minorHAnsi" w:hAnsiTheme="minorHAnsi" w:cs="Arial"/>
          <w:lang w:val="cs-CZ"/>
        </w:rPr>
        <w:t>Wiederaufbau</w:t>
      </w:r>
    </w:p>
    <w:p w:rsidR="4962A4D6" w:rsidRPr="006D1C26" w:rsidP="62525442" w14:paraId="122EB9A6" w14:textId="071A5D2C">
      <w:pPr>
        <w:ind w:left="1418" w:hanging="1418"/>
        <w:rPr>
          <w:rFonts w:eastAsia="Arial" w:asciiTheme="minorHAnsi" w:hAnsiTheme="minorHAnsi" w:cs="Arial"/>
          <w:lang w:val="cs-CZ"/>
        </w:rPr>
      </w:pPr>
      <w:r w:rsidRPr="006D1C26">
        <w:rPr>
          <w:rFonts w:eastAsia="Arial" w:asciiTheme="minorHAnsi" w:hAnsiTheme="minorHAnsi" w:cs="Arial"/>
          <w:lang w:val="cs-CZ"/>
        </w:rPr>
        <w:t>MD</w:t>
      </w:r>
      <w:r w:rsidRPr="006D1C26">
        <w:rPr>
          <w:rFonts w:asciiTheme="minorHAnsi" w:hAnsiTheme="minorHAnsi"/>
          <w:lang w:val="cs-CZ"/>
        </w:rPr>
        <w:tab/>
      </w:r>
      <w:r w:rsidRPr="006D1C26">
        <w:rPr>
          <w:rFonts w:asciiTheme="minorHAnsi" w:hAnsiTheme="minorHAnsi"/>
          <w:lang w:val="cs-CZ"/>
        </w:rPr>
        <w:tab/>
      </w:r>
      <w:r w:rsidRPr="006D1C26">
        <w:rPr>
          <w:rFonts w:eastAsia="Arial" w:asciiTheme="minorHAnsi" w:hAnsiTheme="minorHAnsi" w:cs="Arial"/>
          <w:lang w:val="cs-CZ"/>
        </w:rPr>
        <w:t>Ministerstvo dopravy</w:t>
      </w:r>
    </w:p>
    <w:p w:rsidR="4962A4D6" w:rsidRPr="006D1C26" w:rsidP="62525442" w14:paraId="6AEF7B95" w14:textId="5F9C5EE4">
      <w:pPr>
        <w:ind w:left="1418" w:hanging="1418"/>
        <w:rPr>
          <w:rFonts w:eastAsia="Arial" w:asciiTheme="minorHAnsi" w:hAnsiTheme="minorHAnsi" w:cs="Arial"/>
          <w:lang w:val="cs-CZ"/>
        </w:rPr>
      </w:pPr>
      <w:r w:rsidRPr="006D1C26">
        <w:rPr>
          <w:rFonts w:eastAsia="Arial" w:asciiTheme="minorHAnsi" w:hAnsiTheme="minorHAnsi" w:cs="Arial"/>
          <w:lang w:val="cs-CZ"/>
        </w:rPr>
        <w:t>MF</w:t>
      </w:r>
      <w:r w:rsidRPr="006D1C26">
        <w:rPr>
          <w:rFonts w:asciiTheme="minorHAnsi" w:hAnsiTheme="minorHAnsi"/>
          <w:lang w:val="cs-CZ"/>
        </w:rPr>
        <w:tab/>
      </w:r>
      <w:r w:rsidRPr="006D1C26">
        <w:rPr>
          <w:rFonts w:asciiTheme="minorHAnsi" w:hAnsiTheme="minorHAnsi"/>
          <w:lang w:val="cs-CZ"/>
        </w:rPr>
        <w:tab/>
      </w:r>
      <w:r w:rsidRPr="006D1C26">
        <w:rPr>
          <w:rFonts w:eastAsia="Arial" w:asciiTheme="minorHAnsi" w:hAnsiTheme="minorHAnsi" w:cs="Arial"/>
          <w:lang w:val="cs-CZ"/>
        </w:rPr>
        <w:t>Ministerstvo financí</w:t>
      </w:r>
    </w:p>
    <w:p w:rsidR="4962A4D6" w:rsidRPr="006D1C26" w:rsidP="62525442" w14:paraId="4D4C6EB8" w14:textId="447397E8">
      <w:pPr>
        <w:ind w:left="1418" w:hanging="1418"/>
        <w:rPr>
          <w:rFonts w:eastAsia="Arial" w:asciiTheme="minorHAnsi" w:hAnsiTheme="minorHAnsi" w:cs="Arial"/>
          <w:lang w:val="cs-CZ"/>
        </w:rPr>
      </w:pPr>
      <w:r w:rsidRPr="006D1C26">
        <w:rPr>
          <w:rFonts w:eastAsia="Arial" w:asciiTheme="minorHAnsi" w:hAnsiTheme="minorHAnsi" w:cs="Arial"/>
          <w:lang w:val="cs-CZ"/>
        </w:rPr>
        <w:t>MMR</w:t>
      </w:r>
      <w:r w:rsidRPr="006D1C26">
        <w:rPr>
          <w:rFonts w:asciiTheme="minorHAnsi" w:hAnsiTheme="minorHAnsi"/>
          <w:lang w:val="cs-CZ"/>
        </w:rPr>
        <w:tab/>
      </w:r>
      <w:r w:rsidRPr="006D1C26">
        <w:rPr>
          <w:rFonts w:asciiTheme="minorHAnsi" w:hAnsiTheme="minorHAnsi"/>
          <w:lang w:val="cs-CZ"/>
        </w:rPr>
        <w:tab/>
      </w:r>
      <w:r w:rsidRPr="006D1C26">
        <w:rPr>
          <w:rFonts w:eastAsia="Arial" w:asciiTheme="minorHAnsi" w:hAnsiTheme="minorHAnsi" w:cs="Arial"/>
          <w:lang w:val="cs-CZ"/>
        </w:rPr>
        <w:t>Ministerstvo pro místní rozvoj</w:t>
      </w:r>
    </w:p>
    <w:p w:rsidR="4962A4D6" w:rsidRPr="006D1C26" w:rsidP="62525442" w14:paraId="467DFEDA" w14:textId="52412B2B">
      <w:pPr>
        <w:ind w:left="1418" w:hanging="1418"/>
        <w:rPr>
          <w:rFonts w:eastAsia="Arial" w:asciiTheme="minorHAnsi" w:hAnsiTheme="minorHAnsi" w:cs="Arial"/>
          <w:lang w:val="cs-CZ"/>
        </w:rPr>
      </w:pPr>
      <w:r w:rsidRPr="006D1C26">
        <w:rPr>
          <w:rFonts w:eastAsia="Arial" w:asciiTheme="minorHAnsi" w:hAnsiTheme="minorHAnsi" w:cs="Arial"/>
          <w:lang w:val="cs-CZ"/>
        </w:rPr>
        <w:t>MPO</w:t>
      </w:r>
      <w:r w:rsidRPr="006D1C26">
        <w:rPr>
          <w:rFonts w:asciiTheme="minorHAnsi" w:hAnsiTheme="minorHAnsi"/>
          <w:lang w:val="cs-CZ"/>
        </w:rPr>
        <w:tab/>
      </w:r>
      <w:r w:rsidRPr="006D1C26">
        <w:rPr>
          <w:rFonts w:asciiTheme="minorHAnsi" w:hAnsiTheme="minorHAnsi"/>
          <w:lang w:val="cs-CZ"/>
        </w:rPr>
        <w:tab/>
      </w:r>
      <w:r w:rsidRPr="006D1C26">
        <w:rPr>
          <w:rFonts w:eastAsia="Arial" w:asciiTheme="minorHAnsi" w:hAnsiTheme="minorHAnsi" w:cs="Arial"/>
          <w:lang w:val="cs-CZ"/>
        </w:rPr>
        <w:t>Ministerstvo průmyslu a obchodu</w:t>
      </w:r>
    </w:p>
    <w:p w:rsidR="4962A4D6" w:rsidRPr="006D1C26" w:rsidP="62525442" w14:paraId="073EBF2C" w14:textId="684A5075">
      <w:pPr>
        <w:ind w:left="1418" w:hanging="1418"/>
        <w:rPr>
          <w:rFonts w:eastAsia="Arial" w:asciiTheme="minorHAnsi" w:hAnsiTheme="minorHAnsi" w:cs="Arial"/>
          <w:lang w:val="cs-CZ"/>
        </w:rPr>
      </w:pPr>
      <w:r w:rsidRPr="006D1C26">
        <w:rPr>
          <w:rFonts w:eastAsia="Arial" w:asciiTheme="minorHAnsi" w:hAnsiTheme="minorHAnsi" w:cs="Arial"/>
          <w:lang w:val="cs-CZ"/>
        </w:rPr>
        <w:t>MŠMT</w:t>
      </w:r>
      <w:r w:rsidRPr="006D1C26">
        <w:rPr>
          <w:rFonts w:asciiTheme="minorHAnsi" w:hAnsiTheme="minorHAnsi"/>
          <w:lang w:val="cs-CZ"/>
        </w:rPr>
        <w:tab/>
      </w:r>
      <w:r w:rsidRPr="006D1C26">
        <w:rPr>
          <w:rFonts w:asciiTheme="minorHAnsi" w:hAnsiTheme="minorHAnsi"/>
          <w:lang w:val="cs-CZ"/>
        </w:rPr>
        <w:tab/>
      </w:r>
      <w:r w:rsidRPr="006D1C26">
        <w:rPr>
          <w:rFonts w:eastAsia="Arial" w:asciiTheme="minorHAnsi" w:hAnsiTheme="minorHAnsi" w:cs="Arial"/>
          <w:lang w:val="cs-CZ"/>
        </w:rPr>
        <w:t>Ministerstvo školství, mládeže a tělovýchovy</w:t>
      </w:r>
    </w:p>
    <w:p w:rsidR="4962A4D6" w:rsidRPr="006D1C26" w:rsidP="62525442" w14:paraId="603E77DA" w14:textId="54218B61">
      <w:pPr>
        <w:ind w:left="1418" w:hanging="1418"/>
        <w:rPr>
          <w:rFonts w:eastAsia="Arial" w:asciiTheme="minorHAnsi" w:hAnsiTheme="minorHAnsi" w:cs="Arial"/>
          <w:lang w:val="cs-CZ"/>
        </w:rPr>
      </w:pPr>
      <w:r w:rsidRPr="006D1C26">
        <w:rPr>
          <w:rFonts w:eastAsia="Arial" w:asciiTheme="minorHAnsi" w:hAnsiTheme="minorHAnsi" w:cs="Arial"/>
          <w:lang w:val="cs-CZ"/>
        </w:rPr>
        <w:t>MZe</w:t>
      </w:r>
      <w:r w:rsidRPr="006D1C26">
        <w:rPr>
          <w:rFonts w:asciiTheme="minorHAnsi" w:hAnsiTheme="minorHAnsi"/>
          <w:lang w:val="cs-CZ"/>
        </w:rPr>
        <w:tab/>
      </w:r>
      <w:r w:rsidRPr="006D1C26">
        <w:rPr>
          <w:rFonts w:asciiTheme="minorHAnsi" w:hAnsiTheme="minorHAnsi"/>
          <w:lang w:val="cs-CZ"/>
        </w:rPr>
        <w:tab/>
      </w:r>
      <w:r w:rsidRPr="006D1C26">
        <w:rPr>
          <w:rFonts w:eastAsia="Arial" w:asciiTheme="minorHAnsi" w:hAnsiTheme="minorHAnsi" w:cs="Arial"/>
          <w:lang w:val="cs-CZ"/>
        </w:rPr>
        <w:t>Ministerstvo zemědělství</w:t>
      </w:r>
    </w:p>
    <w:p w:rsidR="4962A4D6" w:rsidRPr="006D1C26" w:rsidP="62525442" w14:paraId="65D25EE5" w14:textId="2CC864C6">
      <w:pPr>
        <w:ind w:left="1418" w:hanging="1418"/>
        <w:rPr>
          <w:rFonts w:eastAsia="Arial" w:asciiTheme="minorHAnsi" w:hAnsiTheme="minorHAnsi" w:cs="Arial"/>
          <w:lang w:val="cs-CZ"/>
        </w:rPr>
      </w:pPr>
      <w:r w:rsidRPr="006D1C26">
        <w:rPr>
          <w:rFonts w:eastAsia="Arial" w:asciiTheme="minorHAnsi" w:hAnsiTheme="minorHAnsi" w:cs="Arial"/>
          <w:lang w:val="cs-CZ"/>
        </w:rPr>
        <w:t>MŽP</w:t>
      </w:r>
      <w:r w:rsidRPr="006D1C26">
        <w:rPr>
          <w:rFonts w:asciiTheme="minorHAnsi" w:hAnsiTheme="minorHAnsi"/>
          <w:lang w:val="cs-CZ"/>
        </w:rPr>
        <w:tab/>
      </w:r>
      <w:r w:rsidRPr="006D1C26">
        <w:rPr>
          <w:rFonts w:asciiTheme="minorHAnsi" w:hAnsiTheme="minorHAnsi"/>
          <w:lang w:val="cs-CZ"/>
        </w:rPr>
        <w:tab/>
      </w:r>
      <w:r w:rsidRPr="006D1C26">
        <w:rPr>
          <w:rFonts w:eastAsia="Arial" w:asciiTheme="minorHAnsi" w:hAnsiTheme="minorHAnsi" w:cs="Arial"/>
          <w:lang w:val="cs-CZ"/>
        </w:rPr>
        <w:t>Ministerstvo životního prostředí</w:t>
      </w:r>
    </w:p>
    <w:p w:rsidR="005A397B" w:rsidRPr="006D1C26" w:rsidP="62525442" w14:paraId="1E7371E9" w14:textId="5865BCF7">
      <w:pPr>
        <w:ind w:left="1418" w:hanging="1418"/>
        <w:rPr>
          <w:rFonts w:eastAsia="Arial" w:asciiTheme="minorHAnsi" w:hAnsiTheme="minorHAnsi" w:cs="Arial"/>
          <w:lang w:val="cs-CZ"/>
        </w:rPr>
      </w:pPr>
      <w:r w:rsidRPr="006D1C26">
        <w:rPr>
          <w:rFonts w:eastAsia="Arial" w:asciiTheme="minorHAnsi" w:hAnsiTheme="minorHAnsi" w:cs="Arial"/>
          <w:lang w:val="cs-CZ"/>
        </w:rPr>
        <w:t>NOK</w:t>
      </w:r>
      <w:r w:rsidRPr="006D1C26">
        <w:rPr>
          <w:rFonts w:eastAsia="Arial" w:asciiTheme="minorHAnsi" w:hAnsiTheme="minorHAnsi" w:cs="Arial"/>
          <w:lang w:val="cs-CZ"/>
        </w:rPr>
        <w:tab/>
        <w:t>Národní orgán pro koordinaci</w:t>
      </w:r>
    </w:p>
    <w:p w:rsidR="4962A4D6" w:rsidRPr="006D1C26" w:rsidP="62525442" w14:paraId="1FBC9397" w14:textId="1C2A1A30">
      <w:pPr>
        <w:ind w:left="1418" w:hanging="1418"/>
        <w:rPr>
          <w:rFonts w:eastAsia="Arial" w:asciiTheme="minorHAnsi" w:hAnsiTheme="minorHAnsi" w:cs="Arial"/>
          <w:lang w:val="cs-CZ"/>
        </w:rPr>
      </w:pPr>
      <w:r w:rsidRPr="006D1C26">
        <w:rPr>
          <w:rFonts w:eastAsia="Arial" w:asciiTheme="minorHAnsi" w:hAnsiTheme="minorHAnsi" w:cs="Arial"/>
          <w:lang w:val="cs-CZ"/>
        </w:rPr>
        <w:t>NRB</w:t>
      </w:r>
      <w:r w:rsidRPr="006D1C26">
        <w:rPr>
          <w:rFonts w:asciiTheme="minorHAnsi" w:hAnsiTheme="minorHAnsi"/>
          <w:lang w:val="cs-CZ"/>
        </w:rPr>
        <w:tab/>
      </w:r>
      <w:r w:rsidRPr="006D1C26">
        <w:rPr>
          <w:rFonts w:asciiTheme="minorHAnsi" w:hAnsiTheme="minorHAnsi"/>
          <w:lang w:val="cs-CZ"/>
        </w:rPr>
        <w:tab/>
      </w:r>
      <w:r w:rsidRPr="006D1C26">
        <w:rPr>
          <w:rFonts w:eastAsia="Arial" w:asciiTheme="minorHAnsi" w:hAnsiTheme="minorHAnsi" w:cs="Arial"/>
          <w:lang w:val="cs-CZ"/>
        </w:rPr>
        <w:t>Národní rozvojová banka</w:t>
      </w:r>
    </w:p>
    <w:p w:rsidR="4962A4D6" w:rsidRPr="006D1C26" w:rsidP="62525442" w14:paraId="0BE2F7D1" w14:textId="32435976">
      <w:pPr>
        <w:ind w:left="1418" w:hanging="1418"/>
        <w:rPr>
          <w:rFonts w:eastAsia="Arial" w:asciiTheme="minorHAnsi" w:hAnsiTheme="minorHAnsi" w:cs="Arial"/>
          <w:lang w:val="cs-CZ"/>
        </w:rPr>
      </w:pPr>
      <w:r w:rsidRPr="006D1C26">
        <w:rPr>
          <w:rFonts w:eastAsia="Arial" w:asciiTheme="minorHAnsi" w:hAnsiTheme="minorHAnsi" w:cs="Arial"/>
          <w:lang w:val="cs-CZ"/>
        </w:rPr>
        <w:t>NRI</w:t>
      </w:r>
      <w:r w:rsidRPr="006D1C26">
        <w:rPr>
          <w:rFonts w:asciiTheme="minorHAnsi" w:hAnsiTheme="minorHAnsi"/>
          <w:lang w:val="cs-CZ"/>
        </w:rPr>
        <w:tab/>
      </w:r>
      <w:r w:rsidRPr="006D1C26">
        <w:rPr>
          <w:rFonts w:asciiTheme="minorHAnsi" w:hAnsiTheme="minorHAnsi"/>
          <w:lang w:val="cs-CZ"/>
        </w:rPr>
        <w:tab/>
      </w:r>
      <w:r w:rsidRPr="006D1C26">
        <w:rPr>
          <w:rFonts w:eastAsia="Arial" w:asciiTheme="minorHAnsi" w:hAnsiTheme="minorHAnsi" w:cs="Arial"/>
          <w:lang w:val="cs-CZ"/>
        </w:rPr>
        <w:t>Národní rozvojová investiční</w:t>
      </w:r>
    </w:p>
    <w:p w:rsidR="4962A4D6" w:rsidRPr="006D1C26" w:rsidP="62525442" w14:paraId="6E84F888" w14:textId="27BD176F">
      <w:pPr>
        <w:ind w:left="1418" w:hanging="1418"/>
        <w:rPr>
          <w:rFonts w:eastAsia="Arial" w:asciiTheme="minorHAnsi" w:hAnsiTheme="minorHAnsi" w:cs="Arial"/>
          <w:lang w:val="cs-CZ"/>
        </w:rPr>
      </w:pPr>
      <w:r w:rsidRPr="006D1C26">
        <w:rPr>
          <w:rFonts w:eastAsia="Arial" w:asciiTheme="minorHAnsi" w:hAnsiTheme="minorHAnsi" w:cs="Arial"/>
          <w:lang w:val="cs-CZ"/>
        </w:rPr>
        <w:t>NRPP</w:t>
      </w:r>
      <w:r>
        <w:tab/>
      </w:r>
      <w:r>
        <w:tab/>
      </w:r>
      <w:r w:rsidRPr="006D1C26">
        <w:rPr>
          <w:rFonts w:eastAsia="Arial" w:asciiTheme="minorHAnsi" w:hAnsiTheme="minorHAnsi" w:cs="Arial"/>
          <w:lang w:val="cs-CZ"/>
        </w:rPr>
        <w:t>Národní a regionální partnerský plán</w:t>
      </w:r>
    </w:p>
    <w:p w:rsidR="35A75340" w:rsidP="56D5C414" w14:paraId="23DF8D69" w14:textId="59406648">
      <w:pPr>
        <w:ind w:left="1418" w:hanging="1418"/>
        <w:rPr>
          <w:rFonts w:eastAsia="Arial" w:asciiTheme="minorHAnsi" w:hAnsiTheme="minorHAnsi" w:cs="Arial"/>
          <w:lang w:val="cs-CZ"/>
        </w:rPr>
      </w:pPr>
      <w:r w:rsidRPr="56D5C414">
        <w:rPr>
          <w:rFonts w:eastAsia="Arial" w:asciiTheme="minorHAnsi" w:hAnsiTheme="minorHAnsi" w:cs="Arial"/>
          <w:lang w:val="cs-CZ"/>
        </w:rPr>
        <w:t>PGRLF</w:t>
      </w:r>
      <w:r>
        <w:tab/>
      </w:r>
      <w:r w:rsidRPr="56D5C414">
        <w:rPr>
          <w:rFonts w:eastAsia="Arial" w:asciiTheme="minorHAnsi" w:hAnsiTheme="minorHAnsi" w:cs="Arial"/>
          <w:lang w:val="cs-CZ"/>
        </w:rPr>
        <w:t>Podpůrný a garanční rolnický a lesnický fond</w:t>
      </w:r>
    </w:p>
    <w:p w:rsidR="4962A4D6" w:rsidRPr="006D1C26" w:rsidP="62525442" w14:paraId="5B8A5D2E" w14:textId="7B674120">
      <w:pPr>
        <w:ind w:left="1418" w:hanging="1418"/>
        <w:rPr>
          <w:rFonts w:eastAsia="Arial" w:asciiTheme="minorHAnsi" w:hAnsiTheme="minorHAnsi" w:cs="Arial"/>
          <w:lang w:val="cs-CZ"/>
        </w:rPr>
      </w:pPr>
      <w:r w:rsidRPr="006D1C26">
        <w:rPr>
          <w:rFonts w:eastAsia="Arial" w:asciiTheme="minorHAnsi" w:hAnsiTheme="minorHAnsi" w:cs="Arial"/>
          <w:lang w:val="cs-CZ"/>
        </w:rPr>
        <w:t>RvO</w:t>
      </w:r>
      <w:r w:rsidRPr="006D1C26">
        <w:rPr>
          <w:rFonts w:asciiTheme="minorHAnsi" w:hAnsiTheme="minorHAnsi"/>
          <w:lang w:val="cs-CZ"/>
        </w:rPr>
        <w:tab/>
      </w:r>
      <w:r w:rsidRPr="006D1C26">
        <w:rPr>
          <w:rFonts w:eastAsia="Arial" w:asciiTheme="minorHAnsi" w:hAnsiTheme="minorHAnsi" w:cs="Arial"/>
          <w:lang w:val="cs-CZ"/>
        </w:rPr>
        <w:t>Rijksdienst</w:t>
      </w:r>
      <w:r w:rsidRPr="006D1C26">
        <w:rPr>
          <w:rFonts w:eastAsia="Arial" w:asciiTheme="minorHAnsi" w:hAnsiTheme="minorHAnsi" w:cs="Arial"/>
          <w:lang w:val="cs-CZ"/>
        </w:rPr>
        <w:t xml:space="preserve"> </w:t>
      </w:r>
      <w:r w:rsidRPr="006D1C26">
        <w:rPr>
          <w:rFonts w:eastAsia="Arial" w:asciiTheme="minorHAnsi" w:hAnsiTheme="minorHAnsi" w:cs="Arial"/>
          <w:lang w:val="cs-CZ"/>
        </w:rPr>
        <w:t>voor</w:t>
      </w:r>
      <w:r w:rsidRPr="006D1C26">
        <w:rPr>
          <w:rFonts w:eastAsia="Arial" w:asciiTheme="minorHAnsi" w:hAnsiTheme="minorHAnsi" w:cs="Arial"/>
          <w:lang w:val="cs-CZ"/>
        </w:rPr>
        <w:t xml:space="preserve"> </w:t>
      </w:r>
      <w:r w:rsidRPr="006D1C26">
        <w:rPr>
          <w:rFonts w:eastAsia="Arial" w:asciiTheme="minorHAnsi" w:hAnsiTheme="minorHAnsi" w:cs="Arial"/>
          <w:lang w:val="cs-CZ"/>
        </w:rPr>
        <w:t>Ondernemend</w:t>
      </w:r>
      <w:r w:rsidRPr="006D1C26">
        <w:rPr>
          <w:rFonts w:eastAsia="Arial" w:asciiTheme="minorHAnsi" w:hAnsiTheme="minorHAnsi" w:cs="Arial"/>
          <w:lang w:val="cs-CZ"/>
        </w:rPr>
        <w:t xml:space="preserve"> </w:t>
      </w:r>
      <w:r w:rsidRPr="006D1C26">
        <w:rPr>
          <w:rFonts w:eastAsia="Arial" w:asciiTheme="minorHAnsi" w:hAnsiTheme="minorHAnsi" w:cs="Arial"/>
          <w:lang w:val="cs-CZ"/>
        </w:rPr>
        <w:t>Nederland</w:t>
      </w:r>
    </w:p>
    <w:p w:rsidR="4962A4D6" w:rsidRPr="006D1C26" w:rsidP="62525442" w14:paraId="2018FC0C" w14:textId="2D81207D">
      <w:pPr>
        <w:ind w:left="1418" w:hanging="1418"/>
        <w:rPr>
          <w:rFonts w:eastAsia="Arial" w:asciiTheme="minorHAnsi" w:hAnsiTheme="minorHAnsi" w:cs="Arial"/>
          <w:lang w:val="cs-CZ"/>
        </w:rPr>
      </w:pPr>
      <w:r w:rsidRPr="006D1C26">
        <w:rPr>
          <w:rFonts w:eastAsia="Arial" w:asciiTheme="minorHAnsi" w:hAnsiTheme="minorHAnsi" w:cs="Arial"/>
          <w:lang w:val="cs-CZ"/>
        </w:rPr>
        <w:t>SFPI</w:t>
      </w:r>
      <w:r w:rsidRPr="006D1C26">
        <w:rPr>
          <w:rFonts w:asciiTheme="minorHAnsi" w:hAnsiTheme="minorHAnsi"/>
          <w:lang w:val="cs-CZ"/>
        </w:rPr>
        <w:tab/>
      </w:r>
      <w:r w:rsidRPr="006D1C26">
        <w:rPr>
          <w:rFonts w:eastAsia="Arial" w:asciiTheme="minorHAnsi" w:hAnsiTheme="minorHAnsi" w:cs="Arial"/>
          <w:lang w:val="cs-CZ"/>
        </w:rPr>
        <w:t>Státní fond podpory investic</w:t>
      </w:r>
    </w:p>
    <w:p w:rsidR="4962A4D6" w:rsidRPr="006D1C26" w:rsidP="62525442" w14:paraId="74271014" w14:textId="08C31914">
      <w:pPr>
        <w:ind w:left="1418" w:hanging="1418"/>
        <w:rPr>
          <w:rFonts w:eastAsia="Arial" w:asciiTheme="minorHAnsi" w:hAnsiTheme="minorHAnsi" w:cs="Arial"/>
          <w:lang w:val="cs-CZ"/>
        </w:rPr>
      </w:pPr>
      <w:r w:rsidRPr="006D1C26">
        <w:rPr>
          <w:rFonts w:eastAsia="Arial" w:asciiTheme="minorHAnsi" w:hAnsiTheme="minorHAnsi" w:cs="Arial"/>
          <w:lang w:val="cs-CZ"/>
        </w:rPr>
        <w:t>SFŽP</w:t>
      </w:r>
      <w:r w:rsidRPr="006D1C26">
        <w:rPr>
          <w:rFonts w:asciiTheme="minorHAnsi" w:hAnsiTheme="minorHAnsi"/>
          <w:lang w:val="cs-CZ"/>
        </w:rPr>
        <w:tab/>
      </w:r>
      <w:r w:rsidRPr="006D1C26">
        <w:rPr>
          <w:rFonts w:eastAsia="Arial" w:asciiTheme="minorHAnsi" w:hAnsiTheme="minorHAnsi" w:cs="Arial"/>
          <w:lang w:val="cs-CZ"/>
        </w:rPr>
        <w:t>Státní fond životního prostředí</w:t>
      </w:r>
    </w:p>
    <w:p w:rsidR="4962A4D6" w:rsidRPr="006D1C26" w:rsidP="62525442" w14:paraId="4BCEF449" w14:textId="2303D0B7">
      <w:pPr>
        <w:ind w:left="1418" w:hanging="1418"/>
        <w:rPr>
          <w:rFonts w:eastAsia="Arial" w:asciiTheme="minorHAnsi" w:hAnsiTheme="minorHAnsi" w:cs="Arial"/>
          <w:b/>
          <w:bCs/>
          <w:sz w:val="60"/>
          <w:szCs w:val="60"/>
          <w:lang w:val="cs-CZ"/>
        </w:rPr>
      </w:pPr>
      <w:r w:rsidRPr="006D1C26">
        <w:rPr>
          <w:rFonts w:eastAsia="Arial" w:asciiTheme="minorHAnsi" w:hAnsiTheme="minorHAnsi" w:cs="Arial"/>
          <w:lang w:val="cs-CZ"/>
        </w:rPr>
        <w:t>SIH</w:t>
      </w:r>
      <w:r w:rsidRPr="006D1C26">
        <w:rPr>
          <w:rFonts w:asciiTheme="minorHAnsi" w:hAnsiTheme="minorHAnsi"/>
          <w:lang w:val="cs-CZ"/>
        </w:rPr>
        <w:tab/>
      </w:r>
      <w:r w:rsidRPr="006D1C26">
        <w:rPr>
          <w:rFonts w:eastAsia="Arial" w:asciiTheme="minorHAnsi" w:hAnsiTheme="minorHAnsi" w:cs="Arial"/>
          <w:lang w:val="cs-CZ"/>
        </w:rPr>
        <w:t xml:space="preserve">Slovenský </w:t>
      </w:r>
      <w:r w:rsidRPr="006D1C26">
        <w:rPr>
          <w:rFonts w:eastAsia="Arial" w:asciiTheme="minorHAnsi" w:hAnsiTheme="minorHAnsi" w:cs="Arial"/>
          <w:lang w:val="cs-CZ"/>
        </w:rPr>
        <w:t>investičný</w:t>
      </w:r>
      <w:r w:rsidRPr="006D1C26">
        <w:rPr>
          <w:rFonts w:eastAsia="Arial" w:asciiTheme="minorHAnsi" w:hAnsiTheme="minorHAnsi" w:cs="Arial"/>
          <w:lang w:val="cs-CZ"/>
        </w:rPr>
        <w:t xml:space="preserve"> holding</w:t>
      </w:r>
    </w:p>
    <w:p w:rsidR="4962A4D6" w:rsidRPr="006D1C26" w:rsidP="62525442" w14:paraId="7E9F046D" w14:textId="2B42192A">
      <w:pPr>
        <w:ind w:left="1418" w:hanging="1418"/>
        <w:rPr>
          <w:rFonts w:eastAsia="Arial" w:asciiTheme="minorHAnsi" w:hAnsiTheme="minorHAnsi" w:cs="Arial"/>
          <w:lang w:val="cs-CZ"/>
        </w:rPr>
      </w:pPr>
      <w:r w:rsidRPr="006D1C26">
        <w:rPr>
          <w:rFonts w:eastAsia="Arial" w:asciiTheme="minorHAnsi" w:hAnsiTheme="minorHAnsi" w:cs="Arial"/>
          <w:lang w:val="cs-CZ"/>
        </w:rPr>
        <w:t>SRPS 2028+</w:t>
      </w:r>
      <w:r w:rsidRPr="006D1C26">
        <w:rPr>
          <w:rFonts w:asciiTheme="minorHAnsi" w:hAnsiTheme="minorHAnsi"/>
        </w:rPr>
        <w:tab/>
      </w:r>
      <w:r w:rsidRPr="006D1C26">
        <w:rPr>
          <w:rFonts w:eastAsia="Arial" w:asciiTheme="minorHAnsi" w:hAnsiTheme="minorHAnsi" w:cs="Arial"/>
          <w:lang w:val="cs-CZ"/>
        </w:rPr>
        <w:t>Strategický rámec politiky soudržnosti 2028+, schválený usnesením vlády ze dne 2. července 2025 č. 490</w:t>
      </w:r>
    </w:p>
    <w:p w:rsidR="2E1F11D4" w:rsidRPr="006D1C26" w:rsidP="035825B8" w14:paraId="3658AFE4" w14:textId="00B7FDE5">
      <w:pPr>
        <w:ind w:left="1418" w:hanging="1418"/>
        <w:rPr>
          <w:rFonts w:eastAsia="Arial" w:asciiTheme="minorHAnsi" w:hAnsiTheme="minorHAnsi" w:cs="Arial"/>
          <w:lang w:val="cs-CZ"/>
        </w:rPr>
      </w:pPr>
      <w:r w:rsidRPr="006D1C26">
        <w:rPr>
          <w:rFonts w:eastAsia="Arial" w:asciiTheme="minorHAnsi" w:hAnsiTheme="minorHAnsi" w:cs="Arial"/>
          <w:lang w:val="cs-CZ"/>
        </w:rPr>
        <w:t>VFR</w:t>
      </w:r>
      <w:r w:rsidRPr="006D1C26" w:rsidR="2D7A2332">
        <w:rPr>
          <w:rFonts w:eastAsia="Arial" w:asciiTheme="minorHAnsi" w:hAnsiTheme="minorHAnsi" w:cs="Arial"/>
          <w:lang w:val="cs-CZ"/>
        </w:rPr>
        <w:t xml:space="preserve"> 2028+</w:t>
      </w:r>
      <w:r w:rsidRPr="006D1C26" w:rsidR="008340CE">
        <w:rPr>
          <w:rFonts w:eastAsia="Arial" w:asciiTheme="minorHAnsi" w:hAnsiTheme="minorHAnsi" w:cs="Arial"/>
          <w:lang w:val="cs-CZ"/>
        </w:rPr>
        <w:tab/>
      </w:r>
      <w:r w:rsidRPr="006D1C26" w:rsidR="005A397B">
        <w:rPr>
          <w:rFonts w:eastAsia="Arial" w:asciiTheme="minorHAnsi" w:hAnsiTheme="minorHAnsi" w:cs="Arial"/>
          <w:lang w:val="cs-CZ"/>
        </w:rPr>
        <w:t>Víceletý finanční rámec Evropské unie na období 2028–2034</w:t>
      </w:r>
    </w:p>
    <w:p w:rsidR="00067B3F" w:rsidRPr="000F2C87" w14:paraId="4C31CB2C" w14:textId="4E9FA942">
      <w:pPr>
        <w:rPr>
          <w:lang w:val="cs-CZ"/>
        </w:rPr>
      </w:pPr>
    </w:p>
    <w:p w:rsidR="52ED4C2F" w:rsidRPr="00F2546E" w14:paraId="36EF0DC2" w14:textId="011AC2C5">
      <w:pPr>
        <w:rPr>
          <w:lang w:val="cs-CZ"/>
        </w:rPr>
      </w:pPr>
      <w:r w:rsidRPr="00F2546E">
        <w:rPr>
          <w:lang w:val="cs-CZ"/>
        </w:rPr>
        <w:br w:type="page"/>
      </w:r>
    </w:p>
    <w:p w:rsidR="00BB34D0" w:rsidRPr="008368E6" w:rsidP="00794716" w14:paraId="4FBD24C4" w14:textId="5C6C0C5C">
      <w:pPr>
        <w:pStyle w:val="Heading1"/>
        <w:numPr>
          <w:ilvl w:val="0"/>
          <w:numId w:val="0"/>
        </w:numPr>
        <w:rPr>
          <w:b/>
          <w:bCs/>
        </w:rPr>
      </w:pPr>
      <w:bookmarkStart w:id="23" w:name="_Toc256000016"/>
      <w:r w:rsidRPr="000F2C87">
        <w:t>Příloha č.</w:t>
      </w:r>
      <w:r w:rsidR="008368E6">
        <w:t xml:space="preserve"> </w:t>
      </w:r>
      <w:r w:rsidRPr="000F2C87">
        <w:t>2</w:t>
      </w:r>
      <w:r w:rsidR="008368E6">
        <w:t xml:space="preserve"> –</w:t>
      </w:r>
      <w:r w:rsidR="00470BEB">
        <w:t xml:space="preserve"> </w:t>
      </w:r>
      <w:r w:rsidR="008368E6">
        <w:t>Role</w:t>
      </w:r>
      <w:r w:rsidRPr="000F2C87">
        <w:t xml:space="preserve"> národních rozvojových finančních institucí v EU a</w:t>
      </w:r>
      <w:r w:rsidR="004C1471">
        <w:t> </w:t>
      </w:r>
      <w:r w:rsidRPr="000F2C87">
        <w:t>OECD</w:t>
      </w:r>
      <w:bookmarkEnd w:id="23"/>
    </w:p>
    <w:p w:rsidR="00BB34D0" w:rsidRPr="000F2C87" w:rsidP="00BB34D0" w14:paraId="26384D7E" w14:textId="4C738FD7">
      <w:pPr>
        <w:spacing w:before="240" w:after="240"/>
        <w:jc w:val="both"/>
        <w:rPr>
          <w:lang w:val="cs-CZ"/>
        </w:rPr>
      </w:pPr>
      <w:r w:rsidRPr="000F2C87">
        <w:rPr>
          <w:b/>
          <w:bCs/>
          <w:lang w:val="cs-CZ"/>
        </w:rPr>
        <w:t>Zahraniční zkušenosti</w:t>
      </w:r>
      <w:r w:rsidRPr="000F2C87">
        <w:rPr>
          <w:lang w:val="cs-CZ"/>
        </w:rPr>
        <w:t xml:space="preserve"> </w:t>
      </w:r>
      <w:r w:rsidRPr="000F2C87">
        <w:rPr>
          <w:b/>
          <w:bCs/>
          <w:lang w:val="cs-CZ"/>
        </w:rPr>
        <w:t>potvrzují, že finanční nástroje představují klíčový mechanismus pro podporu investic v oblastech, kde samotné tržní financování selhává nebo není dostupné v</w:t>
      </w:r>
      <w:r w:rsidR="006D1C26">
        <w:rPr>
          <w:b/>
          <w:bCs/>
          <w:lang w:val="cs-CZ"/>
        </w:rPr>
        <w:t> </w:t>
      </w:r>
      <w:r w:rsidRPr="000F2C87">
        <w:rPr>
          <w:b/>
          <w:bCs/>
          <w:lang w:val="cs-CZ"/>
        </w:rPr>
        <w:t>dostatečném rozsahu, a zároveň umožňují efektivnější využití veřejných prostředků prostřednictvím jejich návratnosti, pákového efektu a mobilizace soukromého kapitálu.</w:t>
      </w:r>
      <w:r w:rsidRPr="000F2C87">
        <w:rPr>
          <w:lang w:val="cs-CZ"/>
        </w:rPr>
        <w:t xml:space="preserve"> Významné nadnárodní i národní rozvojové instituce v členských státech Evropské unie i mimo ni využívají finanční nástroje systematicky napříč širokým spektrem tematických oblastí, přičemž jejich zkušenosti poskytují relevantní inspiraci pro nastavení rámce finančních nástrojů v České republice v období 2028+.</w:t>
      </w:r>
    </w:p>
    <w:p w:rsidR="00BB34D0" w:rsidRPr="000F2C87" w:rsidP="00BB34D0" w14:paraId="5901AFE4" w14:textId="1ECE0F16">
      <w:pPr>
        <w:spacing w:before="240" w:after="240"/>
        <w:jc w:val="both"/>
        <w:rPr>
          <w:lang w:val="cs-CZ"/>
        </w:rPr>
      </w:pPr>
      <w:r w:rsidRPr="000F2C87">
        <w:rPr>
          <w:lang w:val="cs-CZ"/>
        </w:rPr>
        <w:t>Česká republika, na rozdíl od Polska nebo Slovenska, nevěnuje dostatečnou pozornost výhodám finančních nástrojů jako alternativě dotační podpory, zejména v případě projektů, které jsou ekonomicky návratné</w:t>
      </w:r>
      <w:r w:rsidRPr="025137AC" w:rsidR="4FC76F47">
        <w:rPr>
          <w:lang w:val="cs-CZ"/>
        </w:rPr>
        <w:t xml:space="preserve"> </w:t>
      </w:r>
      <w:r w:rsidRPr="025137AC" w:rsidR="660E4ABB">
        <w:rPr>
          <w:lang w:val="cs-CZ"/>
        </w:rPr>
        <w:t>(</w:t>
      </w:r>
      <w:r w:rsidRPr="025137AC" w:rsidR="5B764BB3">
        <w:rPr>
          <w:rFonts w:ascii="Roboto" w:eastAsia="Roboto" w:hAnsi="Roboto" w:cs="Roboto"/>
          <w:color w:val="444746"/>
          <w:sz w:val="21"/>
          <w:szCs w:val="21"/>
          <w:lang w:val="cs-CZ"/>
        </w:rPr>
        <w:t>využívání finančních nástrojů</w:t>
      </w:r>
      <w:r w:rsidRPr="025137AC" w:rsidR="6524B86E">
        <w:rPr>
          <w:rFonts w:ascii="Roboto" w:eastAsia="Roboto" w:hAnsi="Roboto" w:cs="Roboto"/>
          <w:color w:val="444746"/>
          <w:sz w:val="21"/>
          <w:szCs w:val="21"/>
          <w:lang w:val="cs-CZ"/>
        </w:rPr>
        <w:t xml:space="preserve"> ze strany ČR </w:t>
      </w:r>
      <w:r w:rsidRPr="025137AC" w:rsidR="5B764BB3">
        <w:rPr>
          <w:rFonts w:ascii="Roboto" w:eastAsia="Roboto" w:hAnsi="Roboto" w:cs="Roboto"/>
          <w:color w:val="444746"/>
          <w:sz w:val="21"/>
          <w:szCs w:val="21"/>
          <w:lang w:val="cs-CZ"/>
        </w:rPr>
        <w:t>z fondů soudržnosti</w:t>
      </w:r>
      <w:r w:rsidRPr="025137AC" w:rsidR="2C104848">
        <w:rPr>
          <w:rFonts w:ascii="Roboto" w:eastAsia="Roboto" w:hAnsi="Roboto" w:cs="Roboto"/>
          <w:color w:val="444746"/>
          <w:sz w:val="21"/>
          <w:szCs w:val="21"/>
          <w:lang w:val="cs-CZ"/>
        </w:rPr>
        <w:t xml:space="preserve"> je dle statistik EK </w:t>
      </w:r>
      <w:r w:rsidRPr="025137AC" w:rsidR="5B764BB3">
        <w:rPr>
          <w:rFonts w:ascii="Roboto" w:eastAsia="Roboto" w:hAnsi="Roboto" w:cs="Roboto"/>
          <w:color w:val="444746"/>
          <w:sz w:val="21"/>
          <w:szCs w:val="21"/>
          <w:lang w:val="cs-CZ"/>
        </w:rPr>
        <w:t>2,36 % oproti průměru EU 9 %).</w:t>
      </w:r>
      <w:r w:rsidRPr="000F2C87">
        <w:rPr>
          <w:lang w:val="cs-CZ"/>
        </w:rPr>
        <w:t xml:space="preserve"> </w:t>
      </w:r>
      <w:r w:rsidRPr="000F2C87">
        <w:rPr>
          <w:b/>
          <w:bCs/>
          <w:lang w:val="cs-CZ"/>
        </w:rPr>
        <w:t xml:space="preserve">V předchozím programovém období </w:t>
      </w:r>
      <w:r w:rsidR="002A7D3A">
        <w:rPr>
          <w:b/>
          <w:bCs/>
          <w:lang w:val="cs-CZ"/>
        </w:rPr>
        <w:t>2014–2020</w:t>
      </w:r>
      <w:r w:rsidRPr="000F2C87">
        <w:rPr>
          <w:b/>
          <w:bCs/>
          <w:lang w:val="cs-CZ"/>
        </w:rPr>
        <w:t>, bylo v EU implementováno celkem 1 544 finančních nástrojů. Česko využilo pouze okolo 1,5</w:t>
      </w:r>
      <w:r w:rsidR="006D1C26">
        <w:rPr>
          <w:b/>
          <w:bCs/>
          <w:lang w:val="cs-CZ"/>
        </w:rPr>
        <w:t> </w:t>
      </w:r>
      <w:r w:rsidRPr="000F2C87">
        <w:rPr>
          <w:b/>
          <w:bCs/>
          <w:lang w:val="cs-CZ"/>
        </w:rPr>
        <w:t>mld.</w:t>
      </w:r>
      <w:r w:rsidR="006D1C26">
        <w:rPr>
          <w:b/>
          <w:bCs/>
          <w:lang w:val="cs-CZ"/>
        </w:rPr>
        <w:t> </w:t>
      </w:r>
      <w:r w:rsidRPr="000F2C87">
        <w:rPr>
          <w:b/>
          <w:bCs/>
          <w:lang w:val="cs-CZ"/>
        </w:rPr>
        <w:t>EUR ve 20 finančních nástrojích ve značně fragmentovaném nastavení</w:t>
      </w:r>
      <w:r w:rsidRPr="035825B8">
        <w:rPr>
          <w:b/>
          <w:bCs/>
          <w:lang w:val="cs-CZ"/>
        </w:rPr>
        <w:t xml:space="preserve"> </w:t>
      </w:r>
      <w:r w:rsidRPr="035825B8" w:rsidR="00884BFF">
        <w:rPr>
          <w:b/>
          <w:bCs/>
          <w:lang w:val="cs-CZ"/>
        </w:rPr>
        <w:t>–</w:t>
      </w:r>
      <w:r w:rsidRPr="035825B8">
        <w:rPr>
          <w:b/>
          <w:bCs/>
          <w:lang w:val="cs-CZ"/>
        </w:rPr>
        <w:t xml:space="preserve"> nástroje byly spouštěny nikoliv na základě koordinovaného plánu, ale na základě dílčích zadání </w:t>
      </w:r>
      <w:r w:rsidRPr="025137AC">
        <w:rPr>
          <w:b/>
          <w:bCs/>
          <w:lang w:val="cs-CZ"/>
        </w:rPr>
        <w:t>řídící</w:t>
      </w:r>
      <w:r w:rsidRPr="025137AC" w:rsidR="09D96EB9">
        <w:rPr>
          <w:b/>
          <w:bCs/>
          <w:lang w:val="cs-CZ"/>
        </w:rPr>
        <w:t>c</w:t>
      </w:r>
      <w:r w:rsidRPr="025137AC">
        <w:rPr>
          <w:b/>
          <w:bCs/>
          <w:lang w:val="cs-CZ"/>
        </w:rPr>
        <w:t>h</w:t>
      </w:r>
      <w:r w:rsidRPr="035825B8">
        <w:rPr>
          <w:b/>
          <w:bCs/>
          <w:lang w:val="cs-CZ"/>
        </w:rPr>
        <w:t xml:space="preserve"> orgánů, což vedlo k roztříštěné implementační struktuře a v podstatě nahodilému spouštění finančních nástrojů v průběhu programového období.</w:t>
      </w:r>
      <w:r w:rsidRPr="000F2C87">
        <w:rPr>
          <w:b/>
          <w:bCs/>
          <w:lang w:val="cs-CZ"/>
        </w:rPr>
        <w:t xml:space="preserve"> </w:t>
      </w:r>
      <w:r w:rsidRPr="000F2C87">
        <w:rPr>
          <w:lang w:val="cs-CZ"/>
        </w:rPr>
        <w:t xml:space="preserve">Počet nástrojů je mimo jiné dán počtem zapojených finančních institucí. </w:t>
      </w:r>
    </w:p>
    <w:p w:rsidR="00BB34D0" w:rsidRPr="000F2C87" w:rsidP="00BB34D0" w14:paraId="30C5A4DB" w14:textId="77777777">
      <w:pPr>
        <w:spacing w:before="240" w:after="240"/>
        <w:jc w:val="both"/>
        <w:rPr>
          <w:lang w:val="cs-CZ"/>
        </w:rPr>
      </w:pPr>
      <w:r w:rsidRPr="000F2C87">
        <w:rPr>
          <w:lang w:val="cs-CZ"/>
        </w:rPr>
        <w:t>Rozvojové finanční instituce např. v Německu, Polsku, Francii nebo Nizozemsku hrají mnohem aktivnější roli v podpoře energetické a průmyslové tranzice nebo podpory inovací než v Česku, jak ukazují i objemy poskytnutého financování. Tyto země mají komplexní a dobře financované programy, které podporují širokou škálu projektů zaměřených na udržitelnost. V Česku je prostor pro výraznější rozvoj těchto aktivit, což by mohlo pomoci urychlit zelenou transformaci ekonomiky.</w:t>
      </w:r>
    </w:p>
    <w:p w:rsidR="00BB34D0" w:rsidRPr="00A16138" w:rsidP="00BB34D0" w14:paraId="29523609" w14:textId="01943614">
      <w:pPr>
        <w:spacing w:before="240" w:after="240"/>
        <w:jc w:val="both"/>
        <w:rPr>
          <w:lang w:val="cs-CZ"/>
        </w:rPr>
      </w:pPr>
      <w:r w:rsidRPr="000F2C87">
        <w:rPr>
          <w:lang w:val="cs-CZ"/>
        </w:rPr>
        <w:t>Zásadním faktorem, který ovlivňuje podobu a flexibilitu finančních nástrojů v jednotlivých zemích, je způsob financování národních rozvojových institucí. Zahraniční modely ukazují, že rozsah a struktura zdrojů mají přímý dopad na administrativní náročnost, rychlost implementace i míru regulatorní flexibility jednotlivých produktů.</w:t>
      </w:r>
    </w:p>
    <w:p w:rsidR="00BB34D0" w:rsidRPr="00A16138" w:rsidP="00BB34D0" w14:paraId="51EFADE4" w14:textId="753294C5">
      <w:pPr>
        <w:spacing w:before="240" w:after="240"/>
        <w:jc w:val="both"/>
        <w:rPr>
          <w:lang w:val="cs-CZ"/>
        </w:rPr>
      </w:pPr>
      <w:r w:rsidRPr="000F2C87">
        <w:rPr>
          <w:b/>
          <w:bCs/>
          <w:lang w:val="cs-CZ"/>
        </w:rPr>
        <w:t>Evropská investiční banka (EIB)</w:t>
      </w:r>
      <w:r w:rsidRPr="000F2C87">
        <w:rPr>
          <w:lang w:val="cs-CZ"/>
        </w:rPr>
        <w:t xml:space="preserve"> je financována primárně prostřednictvím emisí dluhopisů na mezinárodních kapitálových trzích, přičemž její vysoký rating je založen na kapitálových vkladech členských států EU. EIB tak využívá vlastní bilanční kapacitu a tržní zdroje, nikoli prostředky fondů EU jako hlavní zdroj financování. Mandáty EU (např. </w:t>
      </w:r>
      <w:r w:rsidRPr="000F2C87">
        <w:rPr>
          <w:lang w:val="cs-CZ"/>
        </w:rPr>
        <w:t>InvestEU</w:t>
      </w:r>
      <w:r w:rsidRPr="000F2C87">
        <w:rPr>
          <w:lang w:val="cs-CZ"/>
        </w:rPr>
        <w:t>) představují doplňkový nástroj sdílení rizik, nikoli primární zdroj kapitálu. Díky tomu mohou být produkty EIB konstruovány jako standardní finanční instrumenty s relativně nízkou administrativní zátěží a vysokou mírou adaptability.</w:t>
      </w:r>
    </w:p>
    <w:p w:rsidR="008E6A55" w:rsidRPr="00A16138" w:rsidP="00BB34D0" w14:paraId="0EAE7AD6" w14:textId="59343720">
      <w:pPr>
        <w:spacing w:before="240" w:after="240"/>
        <w:jc w:val="both"/>
        <w:rPr>
          <w:lang w:val="cs-CZ"/>
        </w:rPr>
      </w:pPr>
      <w:r w:rsidRPr="008E6A55">
        <w:rPr>
          <w:b/>
          <w:bCs/>
          <w:lang w:val="cs-CZ"/>
        </w:rPr>
        <w:t>Evropský investiční fond (EIF)</w:t>
      </w:r>
      <w:r w:rsidRPr="008E6A55">
        <w:rPr>
          <w:lang w:val="cs-CZ"/>
        </w:rPr>
        <w:t xml:space="preserve"> je kapitálově založenou institucí EIB Group, jejíž akcionáři jsou především EIB, Evropská unie zastoupená Evropskou komisí a vybrané národní podpůrné finanční instituce. Na rozdíl od EIB</w:t>
      </w:r>
      <w:r w:rsidR="00DC554C">
        <w:rPr>
          <w:lang w:val="cs-CZ"/>
        </w:rPr>
        <w:t>,</w:t>
      </w:r>
      <w:r w:rsidRPr="008E6A55">
        <w:rPr>
          <w:lang w:val="cs-CZ"/>
        </w:rPr>
        <w:t xml:space="preserve"> EIF nevystupuje na kapitálových trzích jako emitent dluhopisů a jeho činnost není založena na tržním financování, ale na kombinaci vlastního kapitálu a</w:t>
      </w:r>
      <w:r w:rsidR="00923A7A">
        <w:rPr>
          <w:lang w:val="cs-CZ"/>
        </w:rPr>
        <w:t> </w:t>
      </w:r>
      <w:r w:rsidRPr="008E6A55">
        <w:rPr>
          <w:lang w:val="cs-CZ"/>
        </w:rPr>
        <w:t xml:space="preserve">svěřených mandátů EU a členských států. Mandáty EU (zejména </w:t>
      </w:r>
      <w:r w:rsidRPr="008E6A55">
        <w:rPr>
          <w:lang w:val="cs-CZ"/>
        </w:rPr>
        <w:t>InvestEU</w:t>
      </w:r>
      <w:r w:rsidRPr="008E6A55">
        <w:rPr>
          <w:lang w:val="cs-CZ"/>
        </w:rPr>
        <w:t xml:space="preserve">) představují pro EIF </w:t>
      </w:r>
      <w:r w:rsidRPr="008E6A55">
        <w:rPr>
          <w:lang w:val="cs-CZ"/>
        </w:rPr>
        <w:t>klíčový objemový nástroj sdílení rizik, zatímco vlastní kapitál EIF slouží především k absorpci rizika, signalizační funkci a podpoře tržního rozvoje. Díky vysoké míře standardizace a spolupráci s finančními zprostředkovateli mohou být nástroje EIF implementovány relativně flexibilně a</w:t>
      </w:r>
      <w:r w:rsidR="00923A7A">
        <w:rPr>
          <w:lang w:val="cs-CZ"/>
        </w:rPr>
        <w:t> </w:t>
      </w:r>
      <w:r w:rsidRPr="008E6A55">
        <w:rPr>
          <w:lang w:val="cs-CZ"/>
        </w:rPr>
        <w:t>administrativně úsporně, zejména ve srovnání s finančními nástroji založenými na fondech sdíleného řízení.</w:t>
      </w:r>
    </w:p>
    <w:p w:rsidR="00BB34D0" w:rsidRPr="000F2C87" w:rsidP="00BB34D0" w14:paraId="72EEEDA0" w14:textId="2DEB3C5D">
      <w:pPr>
        <w:spacing w:before="240" w:after="240"/>
        <w:jc w:val="both"/>
        <w:rPr>
          <w:b/>
          <w:bCs/>
          <w:lang w:val="cs-CZ"/>
        </w:rPr>
      </w:pPr>
      <w:r w:rsidRPr="000F2C87">
        <w:rPr>
          <w:b/>
          <w:bCs/>
          <w:lang w:val="cs-CZ"/>
        </w:rPr>
        <w:t xml:space="preserve">Podobně německá </w:t>
      </w:r>
      <w:r w:rsidRPr="000F2C87">
        <w:rPr>
          <w:b/>
          <w:bCs/>
          <w:lang w:val="cs-CZ"/>
        </w:rPr>
        <w:t>KfW</w:t>
      </w:r>
      <w:r w:rsidRPr="000F2C87">
        <w:rPr>
          <w:lang w:val="cs-CZ"/>
        </w:rPr>
        <w:t xml:space="preserve"> financuje své aktivity především emisemi dluhopisů na kapitálových trzích, opírajícími se o silnou kapitálovou základnu a garanci spolkové vlády. </w:t>
      </w:r>
      <w:r w:rsidRPr="000F2C87">
        <w:rPr>
          <w:lang w:val="cs-CZ"/>
        </w:rPr>
        <w:t>KfW</w:t>
      </w:r>
      <w:r w:rsidRPr="000F2C87">
        <w:rPr>
          <w:lang w:val="cs-CZ"/>
        </w:rPr>
        <w:t xml:space="preserve"> disponuje rozsáhlou vlastní bilanční kapacitou, která jí umožňuje dlouhodobě a stabilně poskytovat </w:t>
      </w:r>
      <w:r w:rsidRPr="000F2C87">
        <w:rPr>
          <w:b/>
          <w:bCs/>
          <w:lang w:val="cs-CZ"/>
        </w:rPr>
        <w:t>zvýhodněné úvěry bez přímé závislosti na evropských strukturálních fondech. Evropské zdroje jsou využívány komplementárně, nikoli jako dominantní financování portfolia.</w:t>
      </w:r>
    </w:p>
    <w:p w:rsidR="00BB34D0" w:rsidRPr="00A16138" w:rsidP="00BB34D0" w14:paraId="531EFF3F" w14:textId="77777777">
      <w:pPr>
        <w:spacing w:before="240" w:after="240"/>
        <w:jc w:val="both"/>
        <w:rPr>
          <w:lang w:val="cs-CZ"/>
        </w:rPr>
      </w:pPr>
      <w:r w:rsidRPr="000F2C87">
        <w:rPr>
          <w:b/>
          <w:bCs/>
          <w:lang w:val="cs-CZ"/>
        </w:rPr>
        <w:t>Polská rozvojová banka BGK</w:t>
      </w:r>
      <w:r w:rsidRPr="000F2C87">
        <w:rPr>
          <w:lang w:val="cs-CZ"/>
        </w:rPr>
        <w:t xml:space="preserve"> je financována kombinací vlastního kapitálu, emisí dluhopisů (včetně státem podporovaných emisí), národních rozpočtových zdrojů a evropských prostředků. Klíčovým rysem je však existence silné národní bilanční základny a systematické zapojení státního rozpočtu do financování strategických programů. EU fondy tvoří významnou, nikoli však výlučnou složku zdrojů.</w:t>
      </w:r>
    </w:p>
    <w:p w:rsidR="00BB34D0" w:rsidRPr="00A16138" w:rsidP="00BB34D0" w14:paraId="6732F1EB" w14:textId="77777777">
      <w:pPr>
        <w:spacing w:before="240" w:after="240"/>
        <w:jc w:val="both"/>
        <w:rPr>
          <w:lang w:val="cs-CZ"/>
        </w:rPr>
      </w:pPr>
      <w:r w:rsidRPr="000F2C87">
        <w:rPr>
          <w:b/>
          <w:bCs/>
          <w:lang w:val="cs-CZ"/>
        </w:rPr>
        <w:t xml:space="preserve">Rakouská </w:t>
      </w:r>
      <w:r w:rsidRPr="000F2C87">
        <w:rPr>
          <w:b/>
          <w:bCs/>
          <w:lang w:val="cs-CZ"/>
        </w:rPr>
        <w:t>Austria</w:t>
      </w:r>
      <w:r w:rsidRPr="000F2C87">
        <w:rPr>
          <w:b/>
          <w:bCs/>
          <w:lang w:val="cs-CZ"/>
        </w:rPr>
        <w:t xml:space="preserve"> </w:t>
      </w:r>
      <w:r w:rsidRPr="000F2C87">
        <w:rPr>
          <w:b/>
          <w:bCs/>
          <w:lang w:val="cs-CZ"/>
        </w:rPr>
        <w:t>Wirtschaftsservice</w:t>
      </w:r>
      <w:r w:rsidRPr="000F2C87">
        <w:rPr>
          <w:b/>
          <w:bCs/>
          <w:lang w:val="cs-CZ"/>
        </w:rPr>
        <w:t xml:space="preserve"> (AWS</w:t>
      </w:r>
      <w:r w:rsidRPr="000F2C87">
        <w:rPr>
          <w:lang w:val="cs-CZ"/>
        </w:rPr>
        <w:t>) funguje jako státní rozvojová agentura, jejíž činnost je financována převážně z národních rozpočtových prostředků a programových zdrojů spolkové vlády. EU fondy jsou využívány jako doplněk národních schémat. To umožňuje vyšší míru standardizace a jednodušší administraci nástrojů, zejména záručních programů.</w:t>
      </w:r>
    </w:p>
    <w:p w:rsidR="00BB34D0" w:rsidRPr="00A16138" w:rsidP="00BB34D0" w14:paraId="2877C300" w14:textId="77777777">
      <w:pPr>
        <w:spacing w:before="240" w:after="240"/>
        <w:jc w:val="both"/>
        <w:rPr>
          <w:lang w:val="cs-CZ"/>
        </w:rPr>
      </w:pPr>
      <w:r w:rsidRPr="000F2C87">
        <w:rPr>
          <w:b/>
          <w:bCs/>
          <w:lang w:val="cs-CZ"/>
        </w:rPr>
        <w:t>Slovak</w:t>
      </w:r>
      <w:r w:rsidRPr="000F2C87">
        <w:rPr>
          <w:b/>
          <w:bCs/>
          <w:lang w:val="cs-CZ"/>
        </w:rPr>
        <w:t xml:space="preserve"> </w:t>
      </w:r>
      <w:r w:rsidRPr="000F2C87">
        <w:rPr>
          <w:b/>
          <w:bCs/>
          <w:lang w:val="cs-CZ"/>
        </w:rPr>
        <w:t>Investment</w:t>
      </w:r>
      <w:r w:rsidRPr="000F2C87">
        <w:rPr>
          <w:b/>
          <w:bCs/>
          <w:lang w:val="cs-CZ"/>
        </w:rPr>
        <w:t xml:space="preserve"> Holding (SIH)</w:t>
      </w:r>
      <w:r w:rsidRPr="000F2C87">
        <w:rPr>
          <w:lang w:val="cs-CZ"/>
        </w:rPr>
        <w:t xml:space="preserve"> byl založen jako holdingová struktura primárně pro implementaci finančních nástrojů z fondů EU. Postupně však došlo k rozšíření jeho zdrojové základny zejména o návratné prostředky z předchozích období. SIH je – obdobně jako český model – výrazněji navázán na evropské strukturální fondy než například </w:t>
      </w:r>
      <w:r w:rsidRPr="000F2C87">
        <w:rPr>
          <w:lang w:val="cs-CZ"/>
        </w:rPr>
        <w:t>KfW</w:t>
      </w:r>
      <w:r w:rsidRPr="000F2C87">
        <w:rPr>
          <w:lang w:val="cs-CZ"/>
        </w:rPr>
        <w:t xml:space="preserve"> nebo EIB.</w:t>
      </w:r>
    </w:p>
    <w:p w:rsidR="00BB34D0" w:rsidRPr="00A16138" w:rsidP="00BB34D0" w14:paraId="1580AFCB" w14:textId="2E43CB0B">
      <w:pPr>
        <w:spacing w:before="240" w:after="240"/>
        <w:jc w:val="both"/>
        <w:rPr>
          <w:lang w:val="cs-CZ"/>
        </w:rPr>
      </w:pPr>
      <w:r w:rsidRPr="000F2C87">
        <w:rPr>
          <w:lang w:val="cs-CZ"/>
        </w:rPr>
        <w:t>Situace České republiky je specifická tím, že NRB dosud realizovala významnou část svých finančních nástrojů právě prostřednictvím prostředků fondů EU. Tato skutečnost má přímý dopad na konstrukci produktů. Finanční nástroje financované z fondů EU podléhají detailnímu regulatornímu rámci, včetně pravidel veřejné podpory, zásady DNSH, kontrol MSP a podniku v</w:t>
      </w:r>
      <w:r w:rsidR="00923A7A">
        <w:rPr>
          <w:lang w:val="cs-CZ"/>
        </w:rPr>
        <w:t> </w:t>
      </w:r>
      <w:r w:rsidRPr="000F2C87">
        <w:rPr>
          <w:lang w:val="cs-CZ"/>
        </w:rPr>
        <w:t>obtížích, pevně stanovených pravidel způsobilosti, výkonnostních indikátorů a víceúrovňového systému auditu a reportingu.</w:t>
      </w:r>
    </w:p>
    <w:p w:rsidR="00BB34D0" w:rsidRPr="000F2C87" w:rsidP="00BB34D0" w14:paraId="04E4BB98" w14:textId="39188A2B">
      <w:pPr>
        <w:spacing w:before="240" w:after="240"/>
        <w:jc w:val="both"/>
        <w:rPr>
          <w:b/>
          <w:bCs/>
          <w:lang w:val="cs-CZ"/>
        </w:rPr>
      </w:pPr>
      <w:r w:rsidRPr="000F2C87">
        <w:rPr>
          <w:lang w:val="cs-CZ"/>
        </w:rPr>
        <w:t xml:space="preserve">Zatímco instituce jako EIB nebo </w:t>
      </w:r>
      <w:r w:rsidRPr="000F2C87">
        <w:rPr>
          <w:lang w:val="cs-CZ"/>
        </w:rPr>
        <w:t>KfW</w:t>
      </w:r>
      <w:r w:rsidRPr="000F2C87">
        <w:rPr>
          <w:lang w:val="cs-CZ"/>
        </w:rPr>
        <w:t xml:space="preserve"> se mohou v reakci na vývoj trhu opírat o vlastní bilanční zdroje, NRB je při využívání evropských prostředků vázána programovými pravidly, která významně zvyšují administrativní náročnost a složitost jednotlivých nástrojů. To se následně promítá i do podmínek pro konečné příjemce a do zapojení komerčních bank. Jedním z</w:t>
      </w:r>
      <w:r w:rsidR="00923A7A">
        <w:rPr>
          <w:lang w:val="cs-CZ"/>
        </w:rPr>
        <w:t> </w:t>
      </w:r>
      <w:r w:rsidRPr="000F2C87">
        <w:rPr>
          <w:lang w:val="cs-CZ"/>
        </w:rPr>
        <w:t xml:space="preserve">jednoduchých řešení je </w:t>
      </w:r>
      <w:r w:rsidRPr="00A16138">
        <w:rPr>
          <w:b/>
          <w:bCs/>
          <w:lang w:val="cs-CZ"/>
        </w:rPr>
        <w:t>navýšit rozmanitost zdrojů NRB</w:t>
      </w:r>
      <w:r w:rsidRPr="000F2C87">
        <w:rPr>
          <w:lang w:val="cs-CZ"/>
        </w:rPr>
        <w:t xml:space="preserve"> určených pro tvorbu finančních nástrojů, a tedy rozšířit využívání </w:t>
      </w:r>
      <w:r w:rsidRPr="000F2C87">
        <w:rPr>
          <w:lang w:val="cs-CZ"/>
        </w:rPr>
        <w:t>blended</w:t>
      </w:r>
      <w:r w:rsidRPr="000F2C87">
        <w:rPr>
          <w:rFonts w:ascii="Cambria Math" w:hAnsi="Cambria Math" w:cs="Cambria Math"/>
          <w:lang w:val="cs-CZ"/>
        </w:rPr>
        <w:t>‑</w:t>
      </w:r>
      <w:r w:rsidRPr="000F2C87">
        <w:rPr>
          <w:lang w:val="cs-CZ"/>
        </w:rPr>
        <w:t>finance schémat.</w:t>
      </w:r>
      <w:r>
        <w:rPr>
          <w:lang w:val="cs-CZ"/>
        </w:rPr>
        <w:t xml:space="preserve"> </w:t>
      </w:r>
      <w:r w:rsidRPr="000F2C87">
        <w:rPr>
          <w:lang w:val="cs-CZ"/>
        </w:rPr>
        <w:t xml:space="preserve">NRB může prostřednictvím emisí vlastních dluhopisů </w:t>
      </w:r>
      <w:r w:rsidRPr="00A16138">
        <w:rPr>
          <w:b/>
          <w:bCs/>
          <w:lang w:val="cs-CZ"/>
        </w:rPr>
        <w:t>nebo získáním likvidity</w:t>
      </w:r>
      <w:r w:rsidRPr="000F2C87">
        <w:rPr>
          <w:lang w:val="cs-CZ"/>
        </w:rPr>
        <w:t xml:space="preserve"> v rámci mezibankovního styku od mezinárodních rozvojových bank navýšit rozsah disponibilních zdrojů pro tvorbu finančních nástrojů</w:t>
      </w:r>
      <w:r>
        <w:rPr>
          <w:lang w:val="cs-CZ"/>
        </w:rPr>
        <w:t xml:space="preserve">, </w:t>
      </w:r>
      <w:r w:rsidRPr="035825B8">
        <w:rPr>
          <w:lang w:val="cs-CZ"/>
        </w:rPr>
        <w:t>ale</w:t>
      </w:r>
      <w:r>
        <w:rPr>
          <w:lang w:val="cs-CZ"/>
        </w:rPr>
        <w:t xml:space="preserve"> pro zabezpečení výhodnosti finančního nástroje je nutno </w:t>
      </w:r>
      <w:r w:rsidRPr="00A16138">
        <w:rPr>
          <w:b/>
          <w:bCs/>
          <w:lang w:val="cs-CZ"/>
        </w:rPr>
        <w:t>zabezpečit „finanční podp</w:t>
      </w:r>
      <w:r w:rsidRPr="035825B8">
        <w:rPr>
          <w:b/>
          <w:bCs/>
          <w:lang w:val="cs-CZ"/>
        </w:rPr>
        <w:t>ů</w:t>
      </w:r>
      <w:r w:rsidRPr="00A16138">
        <w:rPr>
          <w:b/>
          <w:bCs/>
          <w:lang w:val="cs-CZ"/>
        </w:rPr>
        <w:t>rnou injekci“</w:t>
      </w:r>
      <w:r>
        <w:rPr>
          <w:lang w:val="cs-CZ"/>
        </w:rPr>
        <w:t xml:space="preserve"> v podobě národních/evropských zdrojů, která umožní dotaci úrokové sazby, vytvoření </w:t>
      </w:r>
      <w:r w:rsidRPr="035825B8">
        <w:rPr>
          <w:lang w:val="cs-CZ"/>
        </w:rPr>
        <w:t>mechanismu s</w:t>
      </w:r>
      <w:r>
        <w:rPr>
          <w:lang w:val="cs-CZ"/>
        </w:rPr>
        <w:t xml:space="preserve">dílení rizik apod. </w:t>
      </w:r>
      <w:r w:rsidRPr="000F2C87">
        <w:rPr>
          <w:b/>
          <w:bCs/>
          <w:lang w:val="cs-CZ"/>
        </w:rPr>
        <w:t xml:space="preserve">Nicméně, např. SIH na Slovensku lze použít jako příklad dobré praxe pro Českou republiku, kdy již od roku 2015 existuje specializovaná instituce zabývající se správou finančních nástrojů EU. SIH není bankou a nepodléhá žádné další zvláštní regulaci, proto nedochází ke komplikacím při vývoji produktů jako v případě NRB, která </w:t>
      </w:r>
      <w:r w:rsidRPr="000F2C87">
        <w:rPr>
          <w:b/>
          <w:bCs/>
          <w:lang w:val="cs-CZ"/>
        </w:rPr>
        <w:t>kromě pravidel EU fondů musí ještě brát v potaz regulaci a řízení rizik podle zákona o</w:t>
      </w:r>
      <w:r w:rsidR="00923A7A">
        <w:rPr>
          <w:b/>
          <w:bCs/>
          <w:lang w:val="cs-CZ"/>
        </w:rPr>
        <w:t> </w:t>
      </w:r>
      <w:r w:rsidRPr="000F2C87">
        <w:rPr>
          <w:b/>
          <w:bCs/>
          <w:lang w:val="cs-CZ"/>
        </w:rPr>
        <w:t xml:space="preserve">bankách a zákona o NRB. </w:t>
      </w:r>
      <w:r w:rsidRPr="000F2C87">
        <w:rPr>
          <w:lang w:val="cs-CZ"/>
        </w:rPr>
        <w:t>V Česku sice vznikla již v roce 2019 dceřiná společnost NRB – Národní rozvojová investiční</w:t>
      </w:r>
      <w:r w:rsidR="00FF6E88">
        <w:rPr>
          <w:lang w:val="cs-CZ"/>
        </w:rPr>
        <w:t>, a.s.</w:t>
      </w:r>
      <w:r w:rsidRPr="000F2C87">
        <w:rPr>
          <w:lang w:val="cs-CZ"/>
        </w:rPr>
        <w:t>, avšak NRI je primárně využívána pro správu specializovaných kapitálových finančních nástrojů.</w:t>
      </w:r>
    </w:p>
    <w:p w:rsidR="00BB34D0" w:rsidRPr="00A16138" w:rsidP="00BB34D0" w14:paraId="55FD5636" w14:textId="6724C14B">
      <w:pPr>
        <w:spacing w:before="240" w:after="240"/>
        <w:jc w:val="both"/>
        <w:rPr>
          <w:lang w:val="cs-CZ"/>
        </w:rPr>
      </w:pPr>
      <w:r w:rsidRPr="000F2C87">
        <w:rPr>
          <w:lang w:val="cs-CZ"/>
        </w:rPr>
        <w:t xml:space="preserve">Zahraniční zkušenosti ukazují, že vyšší míra národní kapitálové autonomie a možnost využívat vlastní bilanční zdroje rozvojových institucí vede k větší jednoduchosti, stabilitě a flexibilitě finančních produktů. Pro období 2028+ proto vyvstává otázka postupné diverzifikace zdrojové základny českých finančních nástrojů, zejména posílení národních zdrojů a bilanční kapacity NRB, aby bylo možné snížit regulatorní rigiditu a zvýšit schopnost reagovat na investiční potřeby trhu. </w:t>
      </w:r>
    </w:p>
    <w:p w:rsidR="00BB34D0" w:rsidRPr="00470BEB" w:rsidP="00470BEB" w14:paraId="72E144F5" w14:textId="3AE9C046">
      <w:pPr>
        <w:rPr>
          <w:b/>
          <w:bCs/>
        </w:rPr>
      </w:pPr>
      <w:r w:rsidRPr="00470BEB">
        <w:rPr>
          <w:b/>
          <w:bCs/>
        </w:rPr>
        <w:t>Klíčové poznatky pro ČR</w:t>
      </w:r>
    </w:p>
    <w:p w:rsidR="00BB34D0" w:rsidRPr="000F2C87" w:rsidP="00BB34D0" w14:paraId="471F680F" w14:textId="343B72A1">
      <w:pPr>
        <w:spacing w:before="240" w:after="240"/>
        <w:jc w:val="both"/>
        <w:rPr>
          <w:lang w:val="cs-CZ"/>
        </w:rPr>
      </w:pPr>
      <w:r w:rsidRPr="000F2C87">
        <w:rPr>
          <w:lang w:val="cs-CZ"/>
        </w:rPr>
        <w:t>Zahraniční zkušenosti s využíváním finančních nástrojů potvrzují, že jejich efektivní implementace je podmíněna jasným institucionálním uspořádáním a jednotným governance, zamezení fragmentace, strategickou koordinací a začleněním finančních nástrojů do celkového systému řízení veřejných investic. Finanční nástroje nejsou v úspěšných zahraničních modelech vnímány jako izolovaný technický prvek fondové politiky, ale jako plnohodnotná součást státní investiční architektury, která je strategicky řízena na národní úrovni a provázána s</w:t>
      </w:r>
      <w:r w:rsidR="00923A7A">
        <w:rPr>
          <w:lang w:val="cs-CZ"/>
        </w:rPr>
        <w:t> </w:t>
      </w:r>
      <w:r w:rsidRPr="000F2C87">
        <w:rPr>
          <w:lang w:val="cs-CZ"/>
        </w:rPr>
        <w:t>hospodářskými, klimatickými a sociálními prioritami státu.</w:t>
      </w:r>
    </w:p>
    <w:p w:rsidR="00BB34D0" w:rsidRPr="000F2C87" w:rsidP="00BB34D0" w14:paraId="1AE7E76F" w14:textId="4B085A17">
      <w:pPr>
        <w:spacing w:before="240" w:after="240"/>
        <w:jc w:val="both"/>
        <w:rPr>
          <w:lang w:val="cs-CZ"/>
        </w:rPr>
      </w:pPr>
      <w:r w:rsidRPr="000F2C87">
        <w:rPr>
          <w:lang w:val="cs-CZ"/>
        </w:rPr>
        <w:t xml:space="preserve">Souhrnně lze konstatovat, že pro Českou republiku podle existujících zahraničních zkušeností existuje potřeba </w:t>
      </w:r>
      <w:r w:rsidRPr="000F2C87">
        <w:rPr>
          <w:b/>
          <w:bCs/>
          <w:lang w:val="cs-CZ"/>
        </w:rPr>
        <w:t>integrovaného, strategicky řízeného a institucionálně jasně vymezeného systému finančních nástrojů</w:t>
      </w:r>
      <w:r w:rsidRPr="000F2C87">
        <w:rPr>
          <w:lang w:val="cs-CZ"/>
        </w:rPr>
        <w:t>, který kombinuje skupinový model NRB (včetně NRI</w:t>
      </w:r>
      <w:r w:rsidRPr="000F2C87" w:rsidR="007A4F96">
        <w:rPr>
          <w:lang w:val="cs-CZ"/>
        </w:rPr>
        <w:t>), tematickou</w:t>
      </w:r>
      <w:r w:rsidRPr="000F2C87">
        <w:rPr>
          <w:lang w:val="cs-CZ"/>
        </w:rPr>
        <w:t xml:space="preserve"> specializaci státních fondů, jasné oddělení rozhodovacích a implementačních rolí a aktivní zapojení regionů. Zahraniční zkušenosti potvrzují, že takto nastavený systém umožňuje efektivní využívání veřejných prostředků, vyšší pákový efekt soukromých investic a dlouhodobě udržitelný dopad finančních nástrojů</w:t>
      </w:r>
    </w:p>
    <w:p w:rsidR="00BB34D0" w:rsidRPr="000F2C87" w:rsidP="00BB34D0" w14:paraId="4DA65AF3" w14:textId="677DC791">
      <w:pPr>
        <w:spacing w:before="240" w:after="240"/>
        <w:jc w:val="both"/>
        <w:rPr>
          <w:lang w:val="cs-CZ"/>
        </w:rPr>
      </w:pPr>
      <w:r w:rsidRPr="000F2C87">
        <w:rPr>
          <w:lang w:val="cs-CZ"/>
        </w:rPr>
        <w:t xml:space="preserve">Prvním klíčovým poznatkem je význam </w:t>
      </w:r>
      <w:r w:rsidRPr="000F2C87">
        <w:rPr>
          <w:b/>
          <w:bCs/>
          <w:lang w:val="cs-CZ"/>
        </w:rPr>
        <w:t>integrovaného řízení finančních nástrojů</w:t>
      </w:r>
      <w:r w:rsidRPr="000F2C87">
        <w:rPr>
          <w:lang w:val="cs-CZ"/>
        </w:rPr>
        <w:t xml:space="preserve">. Zahraniční modely, zejména skupina EIB/EIF, CDP, </w:t>
      </w:r>
      <w:r w:rsidRPr="000F2C87">
        <w:rPr>
          <w:lang w:val="cs-CZ"/>
        </w:rPr>
        <w:t>Bpifrance</w:t>
      </w:r>
      <w:r w:rsidRPr="000F2C87">
        <w:rPr>
          <w:lang w:val="cs-CZ"/>
        </w:rPr>
        <w:t>, BGK ukazují, že finanční nástroje jsou řízeny v rámci jednotného strategického rámce, který propojuje politické rozhodování, programování a</w:t>
      </w:r>
      <w:r w:rsidR="00923A7A">
        <w:rPr>
          <w:lang w:val="cs-CZ"/>
        </w:rPr>
        <w:t> </w:t>
      </w:r>
      <w:r w:rsidRPr="000F2C87">
        <w:rPr>
          <w:lang w:val="cs-CZ"/>
        </w:rPr>
        <w:t xml:space="preserve">implementaci. Tento přístup umožňuje dlouhodobou stabilitu nástrojů, jejich předvídatelnost pro příjemce i finanční trh a efektivní využívání návratných prostředků napříč programovými obdobími. Pro Českou republiku z toho vyplývá potřeba chápat finanční nástroje jako trvalý prvek státní investiční politiky, nikoli jako dočasné řešení vázané na jednotlivé operační programy. </w:t>
      </w:r>
    </w:p>
    <w:p w:rsidR="00BB34D0" w:rsidRPr="000F2C87" w:rsidP="00BB34D0" w14:paraId="01FBFD04" w14:textId="5CCC8701">
      <w:pPr>
        <w:spacing w:before="240" w:after="240"/>
        <w:jc w:val="both"/>
        <w:rPr>
          <w:lang w:val="cs-CZ"/>
        </w:rPr>
      </w:pPr>
      <w:r w:rsidRPr="000F2C87">
        <w:rPr>
          <w:lang w:val="cs-CZ"/>
        </w:rPr>
        <w:t xml:space="preserve">Druhým klíčovým poznatkem je význam </w:t>
      </w:r>
      <w:r w:rsidRPr="000F2C87">
        <w:rPr>
          <w:b/>
          <w:bCs/>
          <w:lang w:val="cs-CZ"/>
        </w:rPr>
        <w:t>skupinového institucionálního modelu</w:t>
      </w:r>
      <w:r w:rsidRPr="000F2C87">
        <w:rPr>
          <w:lang w:val="cs-CZ"/>
        </w:rPr>
        <w:t>, který umožňuje oddělit jednotlivé typy finančních nástrojů podle jejich rizikovosti a investičního profilu a současně je strategicky koordinovat. Zahraniční zkušenosti potvrzují, že oddělení dluhových a</w:t>
      </w:r>
      <w:r w:rsidR="00923A7A">
        <w:rPr>
          <w:lang w:val="cs-CZ"/>
        </w:rPr>
        <w:t> </w:t>
      </w:r>
      <w:r w:rsidRPr="000F2C87">
        <w:rPr>
          <w:lang w:val="cs-CZ"/>
        </w:rPr>
        <w:t xml:space="preserve">záručních nástrojů od kapitálových investic je standardním a funkčním řešením, jak ukazují modely EIB/EIF, CDP, </w:t>
      </w:r>
      <w:r w:rsidRPr="000F2C87">
        <w:rPr>
          <w:lang w:val="cs-CZ"/>
        </w:rPr>
        <w:t>Bpifrance</w:t>
      </w:r>
      <w:r w:rsidRPr="000F2C87">
        <w:rPr>
          <w:lang w:val="cs-CZ"/>
        </w:rPr>
        <w:t xml:space="preserve"> i </w:t>
      </w:r>
      <w:r w:rsidRPr="000F2C87">
        <w:rPr>
          <w:b/>
          <w:bCs/>
          <w:lang w:val="cs-CZ"/>
        </w:rPr>
        <w:t>národní přístupy kombinující rozvojovou banku s</w:t>
      </w:r>
      <w:r w:rsidR="00923A7A">
        <w:rPr>
          <w:b/>
          <w:bCs/>
          <w:lang w:val="cs-CZ"/>
        </w:rPr>
        <w:t> </w:t>
      </w:r>
      <w:r w:rsidRPr="000F2C87">
        <w:rPr>
          <w:b/>
          <w:bCs/>
          <w:lang w:val="cs-CZ"/>
        </w:rPr>
        <w:t>kapitálovým pilířem, včetně polského uspořádání založeného na roli BGK a kapitálových aktivitách skupiny Polského rozvojového fondu (PFR)</w:t>
      </w:r>
      <w:r w:rsidRPr="000F2C87">
        <w:rPr>
          <w:lang w:val="cs-CZ"/>
        </w:rPr>
        <w:t>. Tento model je plně relevantní pro Českou republiku prostřednictvím skupiny NRB, v jejímž rámci plní NRB roli implementátora úvěrových a záručních nástrojů, zatímco NRI zajišťuje realizaci kapitálových nástrojů. Klíčovým poznatkem je, že přidaná hodnota tohoto uspořádání spočívá ve strategické koordinaci jednotlivých forem podpory, nikoli v jejich institucionálním slučování.</w:t>
      </w:r>
    </w:p>
    <w:p w:rsidR="00BB34D0" w:rsidRPr="000F2C87" w:rsidP="00BB34D0" w14:paraId="3B2622AC" w14:textId="33A7C577">
      <w:pPr>
        <w:spacing w:before="240" w:after="240"/>
        <w:jc w:val="both"/>
        <w:rPr>
          <w:lang w:val="cs-CZ"/>
        </w:rPr>
      </w:pPr>
      <w:r w:rsidRPr="000F2C87">
        <w:rPr>
          <w:lang w:val="cs-CZ"/>
        </w:rPr>
        <w:t xml:space="preserve">Třetím zásadním poznatkem je </w:t>
      </w:r>
      <w:r w:rsidRPr="000F2C87">
        <w:rPr>
          <w:b/>
          <w:bCs/>
          <w:lang w:val="cs-CZ"/>
        </w:rPr>
        <w:t>jasné vymezení rolí mezi rozhodovacím a implementačním pilířem systému</w:t>
      </w:r>
      <w:r w:rsidRPr="000F2C87">
        <w:rPr>
          <w:lang w:val="cs-CZ"/>
        </w:rPr>
        <w:t>. Zahraniční praxe jednoznačně ukazuje, že politické a strategické rozhodování o prioritách, tematickém zaměření a rozsahu využívání finančních nástrojů náleží vládě a</w:t>
      </w:r>
      <w:r w:rsidR="00923A7A">
        <w:rPr>
          <w:lang w:val="cs-CZ"/>
        </w:rPr>
        <w:t> </w:t>
      </w:r>
      <w:r w:rsidRPr="000F2C87">
        <w:rPr>
          <w:lang w:val="cs-CZ"/>
        </w:rPr>
        <w:t xml:space="preserve">příslušným ministerstvům, zatímco samotná implementace je svěřena specializovaným institucím. Tento princip je patrný napříč zahraničními modely, včetně systémů, kde implementační roli plní rozvojové banky a jejich skupiny, jako je </w:t>
      </w:r>
      <w:r w:rsidRPr="000F2C87">
        <w:rPr>
          <w:b/>
          <w:bCs/>
          <w:lang w:val="cs-CZ"/>
        </w:rPr>
        <w:t>BGK a subjekty skupiny PFR v</w:t>
      </w:r>
      <w:r w:rsidR="00923A7A">
        <w:rPr>
          <w:b/>
          <w:bCs/>
          <w:lang w:val="cs-CZ"/>
        </w:rPr>
        <w:t> </w:t>
      </w:r>
      <w:r w:rsidRPr="000F2C87">
        <w:rPr>
          <w:b/>
          <w:bCs/>
          <w:lang w:val="cs-CZ"/>
        </w:rPr>
        <w:t>Polsku</w:t>
      </w:r>
      <w:r w:rsidRPr="000F2C87">
        <w:rPr>
          <w:lang w:val="cs-CZ"/>
        </w:rPr>
        <w:t>. V českém prostředí to znamená jasné oddělení role vlády a resortů jako nositelů strategických rozhodnutí od role implementačních subjektů, zejména skupiny NRB a příslušných státních fondů, které odpovídají za návrh konkrétních nástrojů, jejich provoz a spolupráci s</w:t>
      </w:r>
      <w:r w:rsidR="00923A7A">
        <w:rPr>
          <w:lang w:val="cs-CZ"/>
        </w:rPr>
        <w:t> </w:t>
      </w:r>
      <w:r w:rsidRPr="000F2C87">
        <w:rPr>
          <w:lang w:val="cs-CZ"/>
        </w:rPr>
        <w:t xml:space="preserve">finančním trhem. </w:t>
      </w:r>
    </w:p>
    <w:p w:rsidR="00BB34D0" w:rsidRPr="000F2C87" w:rsidP="00BB34D0" w14:paraId="410CFE5F" w14:textId="7D8227B4">
      <w:pPr>
        <w:spacing w:before="240" w:after="240"/>
        <w:jc w:val="both"/>
        <w:rPr>
          <w:lang w:val="cs-CZ"/>
        </w:rPr>
      </w:pPr>
      <w:r w:rsidRPr="000F2C87">
        <w:rPr>
          <w:lang w:val="cs-CZ"/>
        </w:rPr>
        <w:t xml:space="preserve">Čtvrtým klíčovým poznatkem je význam </w:t>
      </w:r>
      <w:r w:rsidRPr="000F2C87">
        <w:rPr>
          <w:b/>
          <w:bCs/>
          <w:lang w:val="cs-CZ"/>
        </w:rPr>
        <w:t>tematické specializace implementačních institucí při zachování jednotného rámce řízení</w:t>
      </w:r>
      <w:r w:rsidRPr="000F2C87">
        <w:rPr>
          <w:lang w:val="cs-CZ"/>
        </w:rPr>
        <w:t>. V českém prostředí tomu odpovídá rozdělení rolí mezi skupinu NRB, SFPI a SFŽP, případně též SFDI. SFPI je díky dlouhodobé úzké spolupráci s</w:t>
      </w:r>
      <w:r w:rsidR="00923A7A">
        <w:rPr>
          <w:lang w:val="cs-CZ"/>
        </w:rPr>
        <w:t> </w:t>
      </w:r>
      <w:r w:rsidRPr="000F2C87">
        <w:rPr>
          <w:lang w:val="cs-CZ"/>
        </w:rPr>
        <w:t xml:space="preserve">regionálními a místními samosprávami vhodným nositelem finančních nástrojů v oblasti bydlení, </w:t>
      </w:r>
      <w:r w:rsidRPr="035825B8">
        <w:rPr>
          <w:lang w:val="cs-CZ"/>
        </w:rPr>
        <w:t>sociální veřejné</w:t>
      </w:r>
      <w:r w:rsidRPr="000F2C87">
        <w:rPr>
          <w:lang w:val="cs-CZ"/>
        </w:rPr>
        <w:t xml:space="preserve"> infrastruktury a municipálních investic, zatímco SFŽP je specializovaný implementátor finančních nástrojů v oblasti energetiky, životního prostředí, vodního hospodářství nebo klimatické adaptace.</w:t>
      </w:r>
      <w:r w:rsidR="001627E0">
        <w:rPr>
          <w:lang w:val="cs-CZ"/>
        </w:rPr>
        <w:t xml:space="preserve"> </w:t>
      </w:r>
      <w:r w:rsidRPr="000F2C87">
        <w:rPr>
          <w:lang w:val="cs-CZ"/>
        </w:rPr>
        <w:t>Jednotný rámec řízení přitom zajišťuje, že tematická specializace nevede k roztříštěnosti systému.</w:t>
      </w:r>
      <w:r>
        <w:rPr>
          <w:lang w:val="cs-CZ"/>
        </w:rPr>
        <w:t xml:space="preserve"> </w:t>
      </w:r>
    </w:p>
    <w:p w:rsidR="00BB34D0" w:rsidRPr="000F2C87" w:rsidP="00BB34D0" w14:paraId="2A8763D8" w14:textId="4B640743">
      <w:pPr>
        <w:spacing w:before="240" w:after="240"/>
        <w:jc w:val="both"/>
        <w:rPr>
          <w:lang w:val="cs-CZ"/>
        </w:rPr>
      </w:pPr>
      <w:r w:rsidRPr="000F2C87">
        <w:rPr>
          <w:lang w:val="cs-CZ"/>
        </w:rPr>
        <w:t xml:space="preserve">Pátým klíčovým poznatkem je </w:t>
      </w:r>
      <w:r w:rsidRPr="000F2C87">
        <w:rPr>
          <w:b/>
          <w:bCs/>
          <w:lang w:val="cs-CZ"/>
        </w:rPr>
        <w:t>důraz na revolving prostředků, rychlost implementace a</w:t>
      </w:r>
      <w:r w:rsidR="00923A7A">
        <w:rPr>
          <w:b/>
          <w:bCs/>
          <w:lang w:val="cs-CZ"/>
        </w:rPr>
        <w:t> </w:t>
      </w:r>
      <w:r w:rsidRPr="000F2C87">
        <w:rPr>
          <w:b/>
          <w:bCs/>
          <w:lang w:val="cs-CZ"/>
        </w:rPr>
        <w:t>pákový efekt soukromého kapitálu</w:t>
      </w:r>
      <w:r w:rsidRPr="000F2C87">
        <w:rPr>
          <w:lang w:val="cs-CZ"/>
        </w:rPr>
        <w:t>. Zahraniční instituce systematicky využívají finanční nástroje s cílem maximalizovat návratnost veřejných prostředků, umožnit jejich opakované použití a urychlit realizaci investic oproti klasickým dotačním schématům. Rychlost implementace a jednoduchost nástrojů jsou v zahraničních modelech považovány za klíčový faktor úspěchu, zejména u podpory podnikání, energetických úspor a menších infrastrukturních projektů, což potvrzují i zkušenosti rozvojových bank využívajících standardizovaná úvěrová a</w:t>
      </w:r>
      <w:r w:rsidR="00923A7A">
        <w:rPr>
          <w:lang w:val="cs-CZ"/>
        </w:rPr>
        <w:t> </w:t>
      </w:r>
      <w:r w:rsidRPr="000F2C87">
        <w:rPr>
          <w:lang w:val="cs-CZ"/>
        </w:rPr>
        <w:t xml:space="preserve">záruční schémata, včetně </w:t>
      </w:r>
      <w:r w:rsidRPr="000F2C87">
        <w:rPr>
          <w:b/>
          <w:bCs/>
          <w:lang w:val="cs-CZ"/>
        </w:rPr>
        <w:t>BGK</w:t>
      </w:r>
      <w:r w:rsidRPr="000F2C87">
        <w:rPr>
          <w:lang w:val="cs-CZ"/>
        </w:rPr>
        <w:t>. Současně je kladen důraz na mobilizaci soukromého kapitálu prostřednictvím úvěrů, záruk a kapitálových vstupů.</w:t>
      </w:r>
    </w:p>
    <w:p w:rsidR="00BB34D0" w:rsidRPr="000F2C87" w:rsidP="00BB34D0" w14:paraId="270E2D70" w14:textId="69D318CB">
      <w:pPr>
        <w:spacing w:before="240" w:after="240"/>
        <w:jc w:val="both"/>
        <w:rPr>
          <w:lang w:val="cs-CZ"/>
        </w:rPr>
      </w:pPr>
      <w:r w:rsidRPr="000F2C87">
        <w:rPr>
          <w:lang w:val="cs-CZ"/>
        </w:rPr>
        <w:t xml:space="preserve">Šestým klíčovým poznatkem je význam </w:t>
      </w:r>
      <w:r w:rsidRPr="000F2C87">
        <w:rPr>
          <w:b/>
          <w:bCs/>
          <w:lang w:val="cs-CZ"/>
        </w:rPr>
        <w:t>regionální dimenze finančních nástrojů při zachování jednotného národního rámce</w:t>
      </w:r>
      <w:r w:rsidRPr="000F2C87">
        <w:rPr>
          <w:lang w:val="cs-CZ"/>
        </w:rPr>
        <w:t xml:space="preserve">. Zahraniční zkušenosti, zejména modely </w:t>
      </w:r>
      <w:r w:rsidRPr="000F2C87">
        <w:rPr>
          <w:lang w:val="cs-CZ"/>
        </w:rPr>
        <w:t>British</w:t>
      </w:r>
      <w:r w:rsidRPr="000F2C87">
        <w:rPr>
          <w:lang w:val="cs-CZ"/>
        </w:rPr>
        <w:t xml:space="preserve"> Business Bank, </w:t>
      </w:r>
      <w:r w:rsidRPr="000F2C87">
        <w:rPr>
          <w:lang w:val="cs-CZ"/>
        </w:rPr>
        <w:t>Slovak</w:t>
      </w:r>
      <w:r w:rsidRPr="000F2C87">
        <w:rPr>
          <w:lang w:val="cs-CZ"/>
        </w:rPr>
        <w:t xml:space="preserve"> </w:t>
      </w:r>
      <w:r w:rsidRPr="000F2C87">
        <w:rPr>
          <w:lang w:val="cs-CZ"/>
        </w:rPr>
        <w:t>Investment</w:t>
      </w:r>
      <w:r w:rsidRPr="000F2C87">
        <w:rPr>
          <w:lang w:val="cs-CZ"/>
        </w:rPr>
        <w:t xml:space="preserve"> Holding a </w:t>
      </w:r>
      <w:r w:rsidRPr="000F2C87">
        <w:rPr>
          <w:b/>
          <w:bCs/>
          <w:lang w:val="cs-CZ"/>
        </w:rPr>
        <w:t>národní systémy využívající regionální finanční nástroje spravované centrální rozvojovou bankou, včetně přístupu uplatňovaného BGK v Polsku</w:t>
      </w:r>
      <w:r w:rsidRPr="000F2C87">
        <w:rPr>
          <w:lang w:val="cs-CZ"/>
        </w:rPr>
        <w:t xml:space="preserve">, ukazují, že regionálně zaměřené finanční nástroje mohou zvýšit efektivitu podpory a lépe reagovat na územní specifika, pokud jsou navrženy a řízeny v rámci standardizované architektury. Pro Českou republiku z toho vyplývá potřeba zohlednit potřebu regionů při vymezování investičních potřeb a priorit, aniž by docházelo k roztříštění implementace nebo oslabení strategické koordinace na národní úrovni. Skupina </w:t>
      </w:r>
      <w:r w:rsidRPr="58610A51">
        <w:rPr>
          <w:lang w:val="cs-CZ"/>
        </w:rPr>
        <w:t>NRB</w:t>
      </w:r>
      <w:r w:rsidRPr="473CC721">
        <w:rPr>
          <w:lang w:val="cs-CZ"/>
        </w:rPr>
        <w:t xml:space="preserve"> nebo</w:t>
      </w:r>
      <w:r w:rsidRPr="58610A51">
        <w:rPr>
          <w:lang w:val="cs-CZ"/>
        </w:rPr>
        <w:t xml:space="preserve"> SFPI</w:t>
      </w:r>
      <w:r w:rsidRPr="000F2C87">
        <w:rPr>
          <w:lang w:val="cs-CZ"/>
        </w:rPr>
        <w:t xml:space="preserve">, může v tomto modelu plnit roli centrálního správce finanční architektury, zatímco kraje a další územní partneři se podílejí na strategickém vymezení regionální dimenze </w:t>
      </w:r>
      <w:r w:rsidRPr="000F2C87" w:rsidR="00012EE1">
        <w:rPr>
          <w:lang w:val="cs-CZ"/>
        </w:rPr>
        <w:t>podpory při</w:t>
      </w:r>
      <w:r w:rsidRPr="000F2C87">
        <w:rPr>
          <w:lang w:val="cs-CZ"/>
        </w:rPr>
        <w:t xml:space="preserve"> určováni investiční strategie.</w:t>
      </w:r>
    </w:p>
    <w:p w:rsidR="00BB34D0" w:rsidRPr="000F2C87" w:rsidP="00BB34D0" w14:paraId="65F1DE9A" w14:textId="77777777">
      <w:pPr>
        <w:spacing w:before="240" w:after="240"/>
        <w:jc w:val="both"/>
        <w:rPr>
          <w:lang w:val="cs-CZ"/>
        </w:rPr>
      </w:pPr>
      <w:r w:rsidRPr="000F2C87">
        <w:rPr>
          <w:b/>
          <w:bCs/>
          <w:lang w:val="cs-CZ"/>
        </w:rPr>
        <w:t>Sedmý a poslední klíčový poznatek se týká implementačních modelů</w:t>
      </w:r>
      <w:r w:rsidRPr="000F2C87">
        <w:rPr>
          <w:lang w:val="cs-CZ"/>
        </w:rPr>
        <w:t xml:space="preserve">. V kontextu praktických zkušeností s implementací finančních nástrojů se v zahraničí uplatňují zejména </w:t>
      </w:r>
      <w:r w:rsidRPr="5D90F279">
        <w:rPr>
          <w:lang w:val="cs-CZ"/>
        </w:rPr>
        <w:t>tři</w:t>
      </w:r>
      <w:r w:rsidRPr="000F2C87">
        <w:rPr>
          <w:lang w:val="cs-CZ"/>
        </w:rPr>
        <w:t xml:space="preserve"> základní implementační modely – investiční platforma, </w:t>
      </w:r>
      <w:r w:rsidRPr="000F2C87">
        <w:rPr>
          <w:b/>
          <w:bCs/>
          <w:lang w:val="cs-CZ"/>
        </w:rPr>
        <w:t>holdingový fond</w:t>
      </w:r>
      <w:r w:rsidRPr="000F2C87">
        <w:rPr>
          <w:lang w:val="cs-CZ"/>
        </w:rPr>
        <w:t xml:space="preserve"> a </w:t>
      </w:r>
      <w:r w:rsidRPr="000F2C87">
        <w:rPr>
          <w:b/>
          <w:bCs/>
          <w:lang w:val="cs-CZ"/>
        </w:rPr>
        <w:t>on-</w:t>
      </w:r>
      <w:r w:rsidRPr="000F2C87">
        <w:rPr>
          <w:b/>
          <w:bCs/>
          <w:lang w:val="cs-CZ"/>
        </w:rPr>
        <w:t>lendingový</w:t>
      </w:r>
      <w:r w:rsidRPr="000F2C87">
        <w:rPr>
          <w:b/>
          <w:bCs/>
          <w:lang w:val="cs-CZ"/>
        </w:rPr>
        <w:t xml:space="preserve"> model</w:t>
      </w:r>
      <w:r w:rsidRPr="000F2C87">
        <w:rPr>
          <w:lang w:val="cs-CZ"/>
        </w:rPr>
        <w:t>. Tyto modely se liší mírou zapojení finančních institucí, rozdělením rolí mezi veřejný a soukromý sektor a nároky na implementační kapacitu.</w:t>
      </w:r>
    </w:p>
    <w:p w:rsidR="00BB34D0" w:rsidRPr="00A16138" w:rsidP="00BB34D0" w14:paraId="0AF5ADA3" w14:textId="77777777">
      <w:pPr>
        <w:spacing w:before="240" w:after="240"/>
        <w:jc w:val="both"/>
        <w:rPr>
          <w:b/>
          <w:bCs/>
          <w:lang w:val="cs-CZ"/>
        </w:rPr>
      </w:pPr>
      <w:r w:rsidRPr="00A16138">
        <w:rPr>
          <w:b/>
          <w:bCs/>
          <w:lang w:val="cs-CZ"/>
        </w:rPr>
        <w:t>Investiční platforma</w:t>
      </w:r>
    </w:p>
    <w:p w:rsidR="00BB34D0" w:rsidRPr="000F2C87" w:rsidP="00BB34D0" w14:paraId="0E130B14" w14:textId="1D301B08">
      <w:pPr>
        <w:spacing w:before="240" w:after="240"/>
        <w:jc w:val="both"/>
        <w:rPr>
          <w:lang w:val="cs-CZ"/>
        </w:rPr>
      </w:pPr>
      <w:r w:rsidRPr="000F2C87">
        <w:rPr>
          <w:lang w:val="cs-CZ"/>
        </w:rPr>
        <w:t xml:space="preserve">Investiční platforma je koncept, který je možné vymezit jako </w:t>
      </w:r>
      <w:r w:rsidRPr="00A16138">
        <w:rPr>
          <w:b/>
          <w:bCs/>
          <w:lang w:val="cs-CZ"/>
        </w:rPr>
        <w:t>fondový a řídicí rámec</w:t>
      </w:r>
      <w:r w:rsidRPr="000F2C87">
        <w:rPr>
          <w:lang w:val="cs-CZ"/>
        </w:rPr>
        <w:t xml:space="preserve"> umožňující shromažďovat kapitál z různých zdrojů a koordinovaně jej využívat pro financování projektů v</w:t>
      </w:r>
      <w:r w:rsidR="00923A7A">
        <w:rPr>
          <w:lang w:val="cs-CZ"/>
        </w:rPr>
        <w:t> </w:t>
      </w:r>
      <w:r w:rsidRPr="000F2C87">
        <w:rPr>
          <w:lang w:val="cs-CZ"/>
        </w:rPr>
        <w:t>konkrétním regionu prostřednictvím souboru finančních nástrojů. Platforma může vystupovat jako přímý poskytovatel podpory konečným příjemcům a zároveň plní roli strategického investora a správce veřejných prostředků.</w:t>
      </w:r>
    </w:p>
    <w:p w:rsidR="00BB34D0" w:rsidRPr="00F22EA7" w:rsidP="00F22EA7" w14:paraId="0B9CAEF9" w14:textId="77777777">
      <w:pPr>
        <w:spacing w:before="240" w:after="240"/>
        <w:jc w:val="both"/>
        <w:rPr>
          <w:b/>
          <w:bCs/>
          <w:lang w:val="cs-CZ"/>
        </w:rPr>
      </w:pPr>
      <w:r w:rsidRPr="00F22EA7">
        <w:rPr>
          <w:b/>
          <w:bCs/>
          <w:lang w:val="cs-CZ"/>
        </w:rPr>
        <w:t>Holdingový fond</w:t>
      </w:r>
    </w:p>
    <w:p w:rsidR="00BB34D0" w:rsidRPr="000F2C87" w:rsidP="00BB34D0" w14:paraId="14F13C7C" w14:textId="77777777">
      <w:pPr>
        <w:spacing w:before="240" w:after="240"/>
        <w:jc w:val="both"/>
        <w:rPr>
          <w:lang w:val="cs-CZ"/>
        </w:rPr>
      </w:pPr>
      <w:r w:rsidRPr="000F2C87">
        <w:rPr>
          <w:lang w:val="cs-CZ"/>
        </w:rPr>
        <w:t xml:space="preserve">Holdingový fond představuje </w:t>
      </w:r>
      <w:r w:rsidRPr="000F2C87">
        <w:rPr>
          <w:b/>
          <w:bCs/>
          <w:lang w:val="cs-CZ"/>
        </w:rPr>
        <w:t>centralizovanou implementační strukturu</w:t>
      </w:r>
      <w:r w:rsidRPr="000F2C87">
        <w:rPr>
          <w:lang w:val="cs-CZ"/>
        </w:rPr>
        <w:t>, v jejímž rámci jsou veřejné prostředky soustředěny do jednoho nadřazeného fondu, který následně alokuje prostředky prostřednictvím vybraných finančních zprostředkovatelů. Holdingový fond nevystupuje jako přímý poskytovatel podpory konečným příjemcům, ale plní roli strategického investora a správce veřejných prostředků.</w:t>
      </w:r>
    </w:p>
    <w:p w:rsidR="00BB34D0" w:rsidRPr="00B46814" w:rsidP="00BB34D0" w14:paraId="05AA131A" w14:textId="135F1E02">
      <w:pPr>
        <w:spacing w:before="240" w:after="240"/>
        <w:jc w:val="both"/>
        <w:rPr>
          <w:lang w:val="cs-CZ"/>
        </w:rPr>
      </w:pPr>
      <w:r w:rsidRPr="000F2C87">
        <w:rPr>
          <w:lang w:val="cs-CZ"/>
        </w:rPr>
        <w:t>V tomto modelu holdingový fond stanovuje investiční strategii, tematické zaměření a základní parametry nástrojů a prostřednictvím výběrových řízení vybírá finanční zprostředkovatele, kteří realizují konkrétní investice. Typicky se jedná o investiční fondy, správce kapitálových nástrojů nebo jiné subjekty s investičním mandátem. Holdingový fond je proto častěji využíván u</w:t>
      </w:r>
      <w:r w:rsidR="00923A7A">
        <w:rPr>
          <w:lang w:val="cs-CZ"/>
        </w:rPr>
        <w:t> </w:t>
      </w:r>
      <w:r w:rsidRPr="000F2C87">
        <w:rPr>
          <w:b/>
          <w:bCs/>
          <w:lang w:val="cs-CZ"/>
        </w:rPr>
        <w:t>kapitálových a kvazikapitálových nástrojů</w:t>
      </w:r>
      <w:r w:rsidRPr="000F2C87">
        <w:rPr>
          <w:lang w:val="cs-CZ"/>
        </w:rPr>
        <w:t xml:space="preserve">, tedy typicky investic s vyšší mírou rizika, kde je nezbytný aktivní investiční přístup a dlouhodobé řízení </w:t>
      </w:r>
      <w:r w:rsidRPr="00B46814">
        <w:rPr>
          <w:lang w:val="cs-CZ"/>
        </w:rPr>
        <w:t>portfolia, nebo u komplexnějších investičních strategií.</w:t>
      </w:r>
    </w:p>
    <w:p w:rsidR="00BB34D0" w:rsidRPr="00F22EA7" w:rsidP="00F22EA7" w14:paraId="68AB8CCE" w14:textId="77777777">
      <w:pPr>
        <w:spacing w:before="240" w:after="240"/>
        <w:jc w:val="both"/>
        <w:rPr>
          <w:b/>
          <w:bCs/>
          <w:lang w:val="cs-CZ"/>
        </w:rPr>
      </w:pPr>
      <w:r w:rsidRPr="00F22EA7">
        <w:rPr>
          <w:b/>
          <w:bCs/>
          <w:lang w:val="cs-CZ"/>
        </w:rPr>
        <w:t>On-</w:t>
      </w:r>
      <w:r w:rsidRPr="00F22EA7">
        <w:rPr>
          <w:b/>
          <w:bCs/>
          <w:lang w:val="cs-CZ"/>
        </w:rPr>
        <w:t>lendingový</w:t>
      </w:r>
      <w:r w:rsidRPr="00F22EA7">
        <w:rPr>
          <w:b/>
          <w:bCs/>
          <w:lang w:val="cs-CZ"/>
        </w:rPr>
        <w:t xml:space="preserve"> model</w:t>
      </w:r>
    </w:p>
    <w:p w:rsidR="00BB34D0" w:rsidRPr="000F2C87" w:rsidP="00BB34D0" w14:paraId="1845BC2A" w14:textId="77777777">
      <w:pPr>
        <w:spacing w:before="240" w:after="240"/>
        <w:jc w:val="both"/>
        <w:rPr>
          <w:lang w:val="cs-CZ"/>
        </w:rPr>
      </w:pPr>
      <w:r w:rsidRPr="000F2C87">
        <w:rPr>
          <w:lang w:val="cs-CZ"/>
        </w:rPr>
        <w:t>On-</w:t>
      </w:r>
      <w:r w:rsidRPr="000F2C87">
        <w:rPr>
          <w:lang w:val="cs-CZ"/>
        </w:rPr>
        <w:t>lendingový</w:t>
      </w:r>
      <w:r w:rsidRPr="000F2C87">
        <w:rPr>
          <w:lang w:val="cs-CZ"/>
        </w:rPr>
        <w:t xml:space="preserve"> model je založen na </w:t>
      </w:r>
      <w:r w:rsidRPr="000F2C87">
        <w:rPr>
          <w:b/>
          <w:bCs/>
          <w:lang w:val="cs-CZ"/>
        </w:rPr>
        <w:t>přímém zapojení bankovního sektoru</w:t>
      </w:r>
      <w:r w:rsidRPr="000F2C87">
        <w:rPr>
          <w:lang w:val="cs-CZ"/>
        </w:rPr>
        <w:t xml:space="preserve"> do implementace finančních nástrojů. Veřejné prostředky jsou v tomto případě poskytovány bankám, které je následně využívají k poskytování úvěrů konečným příjemcům. Banka zůstává hlavním nositelem vztahu s klientem, odpovídá za posouzení úvěrového rizika, administraci úvěru i jeho splácení, zatímco veřejný sektor vstupuje do struktury financování formou zdrojů, záruk nebo zvýhodnění podmínek.</w:t>
      </w:r>
    </w:p>
    <w:p w:rsidR="00BB34D0" w:rsidP="00BB34D0" w14:paraId="46505E5D" w14:textId="702BA9F1">
      <w:pPr>
        <w:spacing w:before="240" w:after="240"/>
        <w:jc w:val="both"/>
        <w:rPr>
          <w:lang w:val="cs-CZ"/>
        </w:rPr>
      </w:pPr>
      <w:r w:rsidRPr="000F2C87">
        <w:rPr>
          <w:lang w:val="cs-CZ"/>
        </w:rPr>
        <w:t xml:space="preserve">Tento model je v praxi často v modelu tzv. Risk </w:t>
      </w:r>
      <w:r w:rsidRPr="000F2C87">
        <w:rPr>
          <w:lang w:val="cs-CZ"/>
        </w:rPr>
        <w:t>Sharing</w:t>
      </w:r>
      <w:r w:rsidRPr="000F2C87">
        <w:rPr>
          <w:lang w:val="cs-CZ"/>
        </w:rPr>
        <w:t xml:space="preserve"> </w:t>
      </w:r>
      <w:r w:rsidRPr="000F2C87">
        <w:rPr>
          <w:lang w:val="cs-CZ"/>
        </w:rPr>
        <w:t>Loans</w:t>
      </w:r>
      <w:r w:rsidRPr="000F2C87">
        <w:rPr>
          <w:lang w:val="cs-CZ"/>
        </w:rPr>
        <w:t xml:space="preserve"> kombinován s </w:t>
      </w:r>
      <w:r w:rsidRPr="000F2C87">
        <w:rPr>
          <w:b/>
          <w:bCs/>
          <w:lang w:val="cs-CZ"/>
        </w:rPr>
        <w:t>nástroji zajištění</w:t>
      </w:r>
      <w:r w:rsidRPr="000F2C87">
        <w:rPr>
          <w:lang w:val="cs-CZ"/>
        </w:rPr>
        <w:t>, zejména s portfoliovými nebo individuálními zárukami, které snižují rizikovost úvěrů a zlepšují dostupnost financování pro malé a střední podniky. On-</w:t>
      </w:r>
      <w:r w:rsidRPr="000F2C87">
        <w:rPr>
          <w:lang w:val="cs-CZ"/>
        </w:rPr>
        <w:t>lendingový</w:t>
      </w:r>
      <w:r w:rsidRPr="000F2C87">
        <w:rPr>
          <w:lang w:val="cs-CZ"/>
        </w:rPr>
        <w:t xml:space="preserve"> model využívá existující komerční distribuční kanály a standardní úvěrové procesy.</w:t>
      </w:r>
    </w:p>
    <w:p w:rsidR="00470BEB" w:rsidP="00BB34D0" w14:paraId="7FAEC8A4" w14:textId="0C0ACA7A">
      <w:pPr>
        <w:spacing w:before="240" w:after="240"/>
        <w:jc w:val="both"/>
        <w:rPr>
          <w:lang w:val="cs-CZ"/>
        </w:rPr>
      </w:pPr>
      <w:r>
        <w:rPr>
          <w:lang w:val="cs-CZ"/>
        </w:rPr>
        <w:br w:type="page"/>
      </w:r>
    </w:p>
    <w:p w:rsidR="00923109" w:rsidRPr="0012473D" w:rsidP="006B0E98" w14:paraId="00577E9C" w14:textId="3791C0CC">
      <w:pPr>
        <w:pStyle w:val="Heading1"/>
        <w:numPr>
          <w:ilvl w:val="0"/>
          <w:numId w:val="0"/>
        </w:numPr>
      </w:pPr>
      <w:bookmarkStart w:id="24" w:name="_Toc256000017"/>
      <w:r w:rsidRPr="0012473D">
        <w:t xml:space="preserve">Příloha </w:t>
      </w:r>
      <w:r w:rsidR="003335AB">
        <w:t xml:space="preserve">č. </w:t>
      </w:r>
      <w:r w:rsidRPr="0012473D">
        <w:t>3</w:t>
      </w:r>
      <w:r w:rsidR="00470BEB">
        <w:t xml:space="preserve"> – Finanční </w:t>
      </w:r>
      <w:r w:rsidR="001419B8">
        <w:t>nástroje 2021–2027 napříč</w:t>
      </w:r>
      <w:r w:rsidR="009E240D">
        <w:t xml:space="preserve"> operačními programy</w:t>
      </w:r>
      <w:bookmarkEnd w:id="24"/>
    </w:p>
    <w:p w:rsidR="00923109" w:rsidRPr="00470BEB" w:rsidP="00470BEB" w14:paraId="29A9DE27" w14:textId="642367D3">
      <w:pPr>
        <w:rPr>
          <w:b/>
          <w:bCs/>
        </w:rPr>
      </w:pPr>
      <w:r w:rsidRPr="00470BEB">
        <w:rPr>
          <w:b/>
          <w:bCs/>
        </w:rPr>
        <w:t>Operační program Technologie a aplikace pro konkurenceschopnost (OP TAK)</w:t>
      </w:r>
    </w:p>
    <w:p w:rsidR="00923109" w:rsidRPr="000F2C87" w:rsidP="00923109" w14:paraId="74BC3BD5" w14:textId="718C1962">
      <w:pPr>
        <w:spacing w:before="240" w:after="240"/>
        <w:jc w:val="both"/>
        <w:rPr>
          <w:lang w:val="cs-CZ"/>
        </w:rPr>
      </w:pPr>
      <w:r w:rsidRPr="000F2C87">
        <w:rPr>
          <w:lang w:val="cs-CZ"/>
        </w:rPr>
        <w:t>OP TAK dlouhodobě využívá finanční nástroje jako jeden z hlavních nástrojů podpory investic podnikatelského sektoru, navazující na předchozí zkušenosti z oblasti podpory podnikání a</w:t>
      </w:r>
      <w:r w:rsidR="00275713">
        <w:rPr>
          <w:lang w:val="cs-CZ"/>
        </w:rPr>
        <w:t> </w:t>
      </w:r>
      <w:r w:rsidRPr="000F2C87">
        <w:rPr>
          <w:lang w:val="cs-CZ"/>
        </w:rPr>
        <w:t xml:space="preserve">inovací. Finanční nástroje jsou zaměřeny především na </w:t>
      </w:r>
      <w:r w:rsidRPr="000F2C87">
        <w:rPr>
          <w:b/>
          <w:bCs/>
          <w:lang w:val="cs-CZ"/>
        </w:rPr>
        <w:t>malé a střední podniky</w:t>
      </w:r>
      <w:r w:rsidRPr="000F2C87">
        <w:rPr>
          <w:lang w:val="cs-CZ"/>
        </w:rPr>
        <w:t>, a to v</w:t>
      </w:r>
      <w:r w:rsidR="00275713">
        <w:rPr>
          <w:lang w:val="cs-CZ"/>
        </w:rPr>
        <w:t> </w:t>
      </w:r>
      <w:r w:rsidRPr="000F2C87">
        <w:rPr>
          <w:lang w:val="cs-CZ"/>
        </w:rPr>
        <w:t xml:space="preserve">oblastech </w:t>
      </w:r>
      <w:r w:rsidRPr="000F2C87">
        <w:rPr>
          <w:b/>
          <w:bCs/>
          <w:lang w:val="cs-CZ"/>
        </w:rPr>
        <w:t>modernizace výroby, digitalizace, energetických úspor, technologického rozvoje a transformačních projektů</w:t>
      </w:r>
      <w:r w:rsidRPr="000F2C87">
        <w:rPr>
          <w:lang w:val="cs-CZ"/>
        </w:rPr>
        <w:t xml:space="preserve"> s cílem zvýšit konkurenceschopnost podniků.</w:t>
      </w:r>
    </w:p>
    <w:p w:rsidR="00923109" w:rsidRPr="000F2C87" w:rsidP="00923109" w14:paraId="74504706" w14:textId="4BC00F22">
      <w:pPr>
        <w:spacing w:before="240" w:after="240"/>
        <w:jc w:val="both"/>
        <w:rPr>
          <w:lang w:val="cs-CZ"/>
        </w:rPr>
      </w:pPr>
      <w:r w:rsidRPr="000F2C87">
        <w:rPr>
          <w:lang w:val="cs-CZ"/>
        </w:rPr>
        <w:t xml:space="preserve">Používány jsou zejména </w:t>
      </w:r>
      <w:r w:rsidRPr="000F2C87">
        <w:rPr>
          <w:b/>
          <w:bCs/>
          <w:lang w:val="cs-CZ"/>
        </w:rPr>
        <w:t>úvěrové a záruční nástroje</w:t>
      </w:r>
      <w:r w:rsidRPr="000F2C87">
        <w:rPr>
          <w:lang w:val="cs-CZ"/>
        </w:rPr>
        <w:t xml:space="preserve">, které jsou v některých případech kombinovány s grantovou podporou v rámci jedné operace. Implementace probíhá prostřednictvím </w:t>
      </w:r>
      <w:r w:rsidRPr="000F2C87">
        <w:rPr>
          <w:b/>
          <w:bCs/>
          <w:lang w:val="cs-CZ"/>
        </w:rPr>
        <w:t>NRB</w:t>
      </w:r>
      <w:r w:rsidRPr="000F2C87">
        <w:rPr>
          <w:lang w:val="cs-CZ"/>
        </w:rPr>
        <w:t xml:space="preserve">, která nástroje realizuje ve spolupráci s komerčními bankami. Tento model umožnuje zapojení soukromého kapitálu do financování investic a přenos části rizika na finanční trh. V rámci úvěrových a kapitálových finančních nástrojů jsou realizovány programy s </w:t>
      </w:r>
      <w:r w:rsidRPr="000F2C87">
        <w:rPr>
          <w:b/>
          <w:bCs/>
          <w:lang w:val="cs-CZ"/>
        </w:rPr>
        <w:t>alokací v</w:t>
      </w:r>
      <w:r w:rsidR="00275713">
        <w:rPr>
          <w:b/>
          <w:bCs/>
          <w:lang w:val="cs-CZ"/>
        </w:rPr>
        <w:t> </w:t>
      </w:r>
      <w:r w:rsidRPr="000F2C87">
        <w:rPr>
          <w:b/>
          <w:bCs/>
          <w:lang w:val="cs-CZ"/>
        </w:rPr>
        <w:t>souhrnné výši 11 mld. Kč</w:t>
      </w:r>
      <w:r w:rsidRPr="000F2C87">
        <w:rPr>
          <w:lang w:val="cs-CZ"/>
        </w:rPr>
        <w:t>.</w:t>
      </w:r>
    </w:p>
    <w:p w:rsidR="00923109" w:rsidRPr="00470BEB" w:rsidP="00470BEB" w14:paraId="46C199B4" w14:textId="3D52EDAF">
      <w:pPr>
        <w:rPr>
          <w:b/>
          <w:bCs/>
        </w:rPr>
      </w:pPr>
      <w:r w:rsidRPr="00470BEB">
        <w:rPr>
          <w:b/>
          <w:bCs/>
        </w:rPr>
        <w:t>Operační program Životní prostředí (OPŽP)</w:t>
      </w:r>
    </w:p>
    <w:p w:rsidR="00923109" w:rsidRPr="000F2C87" w:rsidP="00923109" w14:paraId="0C327738" w14:textId="5975AE1B">
      <w:pPr>
        <w:spacing w:before="240" w:after="240"/>
        <w:jc w:val="both"/>
        <w:rPr>
          <w:lang w:val="cs-CZ"/>
        </w:rPr>
      </w:pPr>
      <w:r w:rsidRPr="000F2C87">
        <w:rPr>
          <w:lang w:val="cs-CZ"/>
        </w:rPr>
        <w:t xml:space="preserve">V rámci OPŽP jsou finanční nástroje v období 2021–2027 využívány jako doplněk k dotační podpoře u </w:t>
      </w:r>
      <w:r w:rsidRPr="08046740">
        <w:rPr>
          <w:lang w:val="cs-CZ"/>
        </w:rPr>
        <w:t>investi</w:t>
      </w:r>
      <w:r w:rsidRPr="08046740" w:rsidR="7BD68A33">
        <w:rPr>
          <w:lang w:val="cs-CZ"/>
        </w:rPr>
        <w:t>čních projektů</w:t>
      </w:r>
      <w:r w:rsidRPr="000F2C87">
        <w:rPr>
          <w:lang w:val="cs-CZ"/>
        </w:rPr>
        <w:t xml:space="preserve"> s významným environmentálním přínosem. Významná část návratné podpory je využívána v oblasti </w:t>
      </w:r>
      <w:r w:rsidRPr="000F2C87">
        <w:rPr>
          <w:b/>
          <w:bCs/>
          <w:lang w:val="cs-CZ"/>
        </w:rPr>
        <w:t>oběhového hospodářství</w:t>
      </w:r>
      <w:r w:rsidRPr="000F2C87">
        <w:rPr>
          <w:lang w:val="cs-CZ"/>
        </w:rPr>
        <w:t xml:space="preserve">, zejména u projektů zaměřených na nakládání s odpady, materiálové využití odpadů a recyklaci, přičemž </w:t>
      </w:r>
      <w:r w:rsidRPr="000F2C87">
        <w:rPr>
          <w:b/>
          <w:bCs/>
          <w:lang w:val="cs-CZ"/>
        </w:rPr>
        <w:t>alokace finančního nástroje pro tuto oblast kombinujícího individuální záruky s dotační složkou podpory činí přibližně 1 mld. Kč</w:t>
      </w:r>
      <w:r w:rsidRPr="000F2C87">
        <w:rPr>
          <w:lang w:val="cs-CZ"/>
        </w:rPr>
        <w:t>.</w:t>
      </w:r>
    </w:p>
    <w:p w:rsidR="00923109" w:rsidRPr="000F2C87" w:rsidP="00923109" w14:paraId="0714573E" w14:textId="2AC95E62">
      <w:pPr>
        <w:spacing w:before="240" w:after="240"/>
        <w:jc w:val="both"/>
        <w:rPr>
          <w:lang w:val="cs-CZ"/>
        </w:rPr>
      </w:pPr>
      <w:r w:rsidRPr="000F2C87">
        <w:rPr>
          <w:lang w:val="cs-CZ"/>
        </w:rPr>
        <w:t xml:space="preserve">Další nástroj návratné podpory směřuje do oblasti vodohospodářské infastruktury, konkrétně do </w:t>
      </w:r>
      <w:r w:rsidRPr="000F2C87">
        <w:rPr>
          <w:b/>
          <w:bCs/>
          <w:lang w:val="cs-CZ"/>
        </w:rPr>
        <w:t>modernizace čistíren odpadních vod</w:t>
      </w:r>
      <w:r w:rsidRPr="000F2C87">
        <w:rPr>
          <w:lang w:val="cs-CZ"/>
        </w:rPr>
        <w:t xml:space="preserve">. Jedná se o podporu formou </w:t>
      </w:r>
      <w:r w:rsidRPr="000F2C87">
        <w:rPr>
          <w:b/>
          <w:bCs/>
          <w:lang w:val="cs-CZ"/>
        </w:rPr>
        <w:t>zvýhodněného úvěru</w:t>
      </w:r>
      <w:r w:rsidRPr="000F2C87">
        <w:rPr>
          <w:lang w:val="cs-CZ"/>
        </w:rPr>
        <w:t xml:space="preserve">. Nástroj má celkovou alokaci </w:t>
      </w:r>
      <w:r w:rsidRPr="000F2C87">
        <w:rPr>
          <w:b/>
          <w:bCs/>
          <w:lang w:val="cs-CZ"/>
        </w:rPr>
        <w:t>1,3 mld. Kč</w:t>
      </w:r>
      <w:r w:rsidRPr="000F2C87">
        <w:rPr>
          <w:lang w:val="cs-CZ"/>
        </w:rPr>
        <w:t xml:space="preserve"> a je určen všem vlastníkům vodohospodářské infrastruktury.</w:t>
      </w:r>
    </w:p>
    <w:p w:rsidR="00923109" w:rsidRPr="00470BEB" w:rsidP="00470BEB" w14:paraId="3263AC55" w14:textId="10F3125D">
      <w:pPr>
        <w:rPr>
          <w:b/>
          <w:bCs/>
        </w:rPr>
      </w:pPr>
      <w:r w:rsidRPr="00470BEB">
        <w:rPr>
          <w:b/>
          <w:bCs/>
        </w:rPr>
        <w:t>Operační program Spravedlivá transformace (OP ST)</w:t>
      </w:r>
    </w:p>
    <w:p w:rsidR="00923109" w:rsidRPr="000F2C87" w:rsidP="00923109" w14:paraId="34D7054F" w14:textId="2401F309">
      <w:pPr>
        <w:spacing w:before="240" w:after="240"/>
        <w:jc w:val="both"/>
        <w:rPr>
          <w:lang w:val="cs-CZ"/>
        </w:rPr>
      </w:pPr>
      <w:r w:rsidRPr="000F2C87">
        <w:rPr>
          <w:lang w:val="cs-CZ"/>
        </w:rPr>
        <w:t xml:space="preserve">V rámci </w:t>
      </w:r>
      <w:r w:rsidRPr="000F2C87">
        <w:rPr>
          <w:b/>
          <w:bCs/>
          <w:lang w:val="cs-CZ"/>
        </w:rPr>
        <w:t>OP ST</w:t>
      </w:r>
      <w:r w:rsidRPr="000F2C87">
        <w:rPr>
          <w:lang w:val="cs-CZ"/>
        </w:rPr>
        <w:t xml:space="preserve"> jsou finanční nástroje koncipovány jako doplněk dotační podpory s cílem zvýšit multiplikační efekt veřejných prostředků a podpořit dlouhodobou udržitelnost investic v</w:t>
      </w:r>
      <w:r w:rsidR="00275713">
        <w:rPr>
          <w:lang w:val="cs-CZ"/>
        </w:rPr>
        <w:t> </w:t>
      </w:r>
      <w:r w:rsidRPr="000F2C87">
        <w:rPr>
          <w:lang w:val="cs-CZ"/>
        </w:rPr>
        <w:t xml:space="preserve">transformujících se regionech. V implementační fázi OP ST je nejvýznamnějším nástrojem </w:t>
      </w:r>
      <w:r w:rsidRPr="000F2C87">
        <w:rPr>
          <w:b/>
          <w:bCs/>
          <w:lang w:val="cs-CZ"/>
        </w:rPr>
        <w:t>Úvěr Transformace (3,5 mld. Kč)</w:t>
      </w:r>
      <w:r w:rsidRPr="000F2C87">
        <w:rPr>
          <w:lang w:val="cs-CZ"/>
        </w:rPr>
        <w:t xml:space="preserve">, realizovaný </w:t>
      </w:r>
      <w:r w:rsidRPr="000F2C87">
        <w:rPr>
          <w:b/>
          <w:bCs/>
          <w:lang w:val="cs-CZ"/>
        </w:rPr>
        <w:t>NRB</w:t>
      </w:r>
      <w:r w:rsidRPr="000F2C87">
        <w:rPr>
          <w:lang w:val="cs-CZ"/>
        </w:rPr>
        <w:t xml:space="preserve"> formou </w:t>
      </w:r>
      <w:r w:rsidRPr="000F2C87">
        <w:rPr>
          <w:b/>
          <w:bCs/>
          <w:lang w:val="cs-CZ"/>
        </w:rPr>
        <w:t>přímého finančního nástroje</w:t>
      </w:r>
      <w:r w:rsidRPr="000F2C87">
        <w:rPr>
          <w:lang w:val="cs-CZ"/>
        </w:rPr>
        <w:t>. Nástroj je zaměřen na podporu investičních projektů přispívajících k hospodářské restrukturalizaci a</w:t>
      </w:r>
      <w:r w:rsidR="00275713">
        <w:rPr>
          <w:lang w:val="cs-CZ"/>
        </w:rPr>
        <w:t> </w:t>
      </w:r>
      <w:r w:rsidRPr="000F2C87">
        <w:rPr>
          <w:lang w:val="cs-CZ"/>
        </w:rPr>
        <w:t>diverzifikaci ekonomik dotčených území.</w:t>
      </w:r>
    </w:p>
    <w:p w:rsidR="00923109" w:rsidRPr="000F2C87" w:rsidP="00923109" w14:paraId="37F365AA" w14:textId="1285242C">
      <w:pPr>
        <w:spacing w:before="240" w:after="240"/>
        <w:jc w:val="both"/>
        <w:rPr>
          <w:lang w:val="cs-CZ"/>
        </w:rPr>
      </w:pPr>
      <w:r w:rsidRPr="000F2C87">
        <w:rPr>
          <w:lang w:val="cs-CZ"/>
        </w:rPr>
        <w:t xml:space="preserve">Specifickou roli v rámci OP ST hrají nástroje zaměřené na regeneraci </w:t>
      </w:r>
      <w:r w:rsidRPr="000F2C87">
        <w:rPr>
          <w:lang w:val="cs-CZ"/>
        </w:rPr>
        <w:t>brownfields</w:t>
      </w:r>
      <w:r w:rsidRPr="000F2C87">
        <w:rPr>
          <w:lang w:val="cs-CZ"/>
        </w:rPr>
        <w:t xml:space="preserve">, které reagují na strukturální a environmentální zátěže v uhelných regionech. V Moravskoslezském kraji je regenerace </w:t>
      </w:r>
      <w:r w:rsidRPr="000F2C87">
        <w:rPr>
          <w:lang w:val="cs-CZ"/>
        </w:rPr>
        <w:t>brownfields</w:t>
      </w:r>
      <w:r w:rsidRPr="000F2C87">
        <w:rPr>
          <w:lang w:val="cs-CZ"/>
        </w:rPr>
        <w:t xml:space="preserve"> podporována prostřednictvím </w:t>
      </w:r>
      <w:r w:rsidRPr="000F2C87">
        <w:rPr>
          <w:b/>
          <w:bCs/>
          <w:lang w:val="cs-CZ"/>
        </w:rPr>
        <w:t>holdingového fondu spravovaného NRI</w:t>
      </w:r>
      <w:r w:rsidRPr="000F2C87">
        <w:rPr>
          <w:lang w:val="cs-CZ"/>
        </w:rPr>
        <w:t xml:space="preserve"> s </w:t>
      </w:r>
      <w:r w:rsidRPr="000F2C87">
        <w:rPr>
          <w:b/>
          <w:bCs/>
          <w:lang w:val="cs-CZ"/>
        </w:rPr>
        <w:t>alokací 1 mld. Kč</w:t>
      </w:r>
      <w:r w:rsidRPr="000F2C87">
        <w:rPr>
          <w:lang w:val="cs-CZ"/>
        </w:rPr>
        <w:t xml:space="preserve">. Zvolená holdingová struktura umožňuje zapojení specializovaných finančních zprostředkovatelů a flexibilní nastavení finančních produktů podle charakteru jednotlivých projektů. </w:t>
      </w:r>
      <w:r w:rsidR="00B46814">
        <w:rPr>
          <w:lang w:val="cs-CZ"/>
        </w:rPr>
        <w:t>Realizován</w:t>
      </w:r>
      <w:r w:rsidRPr="000F2C87">
        <w:rPr>
          <w:lang w:val="cs-CZ"/>
        </w:rPr>
        <w:t xml:space="preserve"> je také přímý finanční nástroj na </w:t>
      </w:r>
      <w:r w:rsidRPr="000F2C87">
        <w:rPr>
          <w:b/>
          <w:bCs/>
          <w:lang w:val="cs-CZ"/>
        </w:rPr>
        <w:t xml:space="preserve">regeneraci </w:t>
      </w:r>
      <w:r w:rsidRPr="000F2C87">
        <w:rPr>
          <w:b/>
          <w:bCs/>
          <w:lang w:val="cs-CZ"/>
        </w:rPr>
        <w:t>brownfields</w:t>
      </w:r>
      <w:r w:rsidRPr="000F2C87">
        <w:rPr>
          <w:b/>
          <w:bCs/>
          <w:lang w:val="cs-CZ"/>
        </w:rPr>
        <w:t xml:space="preserve"> v</w:t>
      </w:r>
      <w:r w:rsidR="00B46814">
        <w:rPr>
          <w:b/>
          <w:bCs/>
          <w:lang w:val="cs-CZ"/>
        </w:rPr>
        <w:t> </w:t>
      </w:r>
      <w:r w:rsidRPr="000F2C87">
        <w:rPr>
          <w:b/>
          <w:bCs/>
          <w:lang w:val="cs-CZ"/>
        </w:rPr>
        <w:t>Ústeckém a Karlovarském kraji (1,55 mld. Kč)</w:t>
      </w:r>
      <w:r w:rsidRPr="000F2C87">
        <w:rPr>
          <w:lang w:val="cs-CZ"/>
        </w:rPr>
        <w:t xml:space="preserve">, který </w:t>
      </w:r>
      <w:r w:rsidR="00B46814">
        <w:rPr>
          <w:lang w:val="cs-CZ"/>
        </w:rPr>
        <w:t>je</w:t>
      </w:r>
      <w:r w:rsidRPr="000F2C87">
        <w:rPr>
          <w:lang w:val="cs-CZ"/>
        </w:rPr>
        <w:t xml:space="preserve"> implementován </w:t>
      </w:r>
      <w:r w:rsidRPr="000F2C87">
        <w:rPr>
          <w:b/>
          <w:bCs/>
          <w:lang w:val="cs-CZ"/>
        </w:rPr>
        <w:t>SFŽP</w:t>
      </w:r>
      <w:r w:rsidRPr="000F2C87">
        <w:rPr>
          <w:lang w:val="cs-CZ"/>
        </w:rPr>
        <w:t xml:space="preserve"> a reflektuje specifické environmentální a územní potřeby těchto regionů.</w:t>
      </w:r>
    </w:p>
    <w:p w:rsidR="00923109" w:rsidRPr="000F2C87" w:rsidP="00923109" w14:paraId="0F900CEB" w14:textId="08DDC4D9">
      <w:pPr>
        <w:spacing w:before="240" w:after="240"/>
        <w:jc w:val="both"/>
        <w:rPr>
          <w:lang w:val="cs-CZ"/>
        </w:rPr>
      </w:pPr>
      <w:r w:rsidRPr="000F2C87">
        <w:rPr>
          <w:lang w:val="cs-CZ"/>
        </w:rPr>
        <w:t xml:space="preserve">Dalším nástrojem v implementační fázi OP ST je </w:t>
      </w:r>
      <w:r w:rsidRPr="000F2C87">
        <w:rPr>
          <w:b/>
          <w:bCs/>
          <w:lang w:val="cs-CZ"/>
        </w:rPr>
        <w:t>Záruka Transformace (0,5 mld. Kč)</w:t>
      </w:r>
      <w:r w:rsidRPr="000F2C87">
        <w:rPr>
          <w:lang w:val="cs-CZ"/>
        </w:rPr>
        <w:t xml:space="preserve">, realizovaná </w:t>
      </w:r>
      <w:r w:rsidRPr="000F2C87">
        <w:rPr>
          <w:b/>
          <w:bCs/>
          <w:lang w:val="cs-CZ"/>
        </w:rPr>
        <w:t>NRB</w:t>
      </w:r>
      <w:r w:rsidRPr="000F2C87">
        <w:rPr>
          <w:lang w:val="cs-CZ"/>
        </w:rPr>
        <w:t xml:space="preserve"> formou přímého finančního nástroje</w:t>
      </w:r>
      <w:r w:rsidRPr="025137AC" w:rsidR="7E4D816D">
        <w:rPr>
          <w:lang w:val="cs-CZ"/>
        </w:rPr>
        <w:t xml:space="preserve"> (ne prostřednictvím finančního zprostředkovatele)</w:t>
      </w:r>
      <w:r w:rsidRPr="025137AC">
        <w:rPr>
          <w:lang w:val="cs-CZ"/>
        </w:rPr>
        <w:t>,</w:t>
      </w:r>
      <w:r w:rsidRPr="000F2C87">
        <w:rPr>
          <w:lang w:val="cs-CZ"/>
        </w:rPr>
        <w:t xml:space="preserve"> jejímž cílem je usnadnit přístup k externímu financování zejména malým a středním podnikům v</w:t>
      </w:r>
      <w:r w:rsidR="00275713">
        <w:rPr>
          <w:lang w:val="cs-CZ"/>
        </w:rPr>
        <w:t> </w:t>
      </w:r>
      <w:r w:rsidRPr="000F2C87">
        <w:rPr>
          <w:lang w:val="cs-CZ"/>
        </w:rPr>
        <w:t xml:space="preserve">transformujících se regionech. </w:t>
      </w:r>
    </w:p>
    <w:p w:rsidR="00923109" w:rsidRPr="00470BEB" w:rsidP="00470BEB" w14:paraId="244C44E7" w14:textId="41C5FCCF">
      <w:pPr>
        <w:rPr>
          <w:b/>
          <w:bCs/>
        </w:rPr>
      </w:pPr>
      <w:r w:rsidRPr="00470BEB">
        <w:rPr>
          <w:b/>
          <w:bCs/>
        </w:rPr>
        <w:t>Operační program Zaměstnanost plus (OPZ+)</w:t>
      </w:r>
    </w:p>
    <w:p w:rsidR="00923109" w:rsidRPr="000F2C87" w:rsidP="00923109" w14:paraId="1CFC07DE" w14:textId="1E2FD2C9">
      <w:pPr>
        <w:spacing w:before="240" w:after="240"/>
        <w:jc w:val="both"/>
        <w:rPr>
          <w:lang w:val="cs-CZ"/>
        </w:rPr>
      </w:pPr>
      <w:r w:rsidRPr="000F2C87">
        <w:rPr>
          <w:lang w:val="cs-CZ"/>
        </w:rPr>
        <w:t xml:space="preserve">V Operačním programu Zaměstnanost plus jsou finanční nástroje využívány </w:t>
      </w:r>
      <w:r w:rsidRPr="000F2C87">
        <w:rPr>
          <w:b/>
          <w:bCs/>
          <w:lang w:val="cs-CZ"/>
        </w:rPr>
        <w:t>v omezeném rozsahu.</w:t>
      </w:r>
      <w:r w:rsidRPr="000F2C87">
        <w:rPr>
          <w:rFonts w:ascii="Segoe UI" w:eastAsia="Times New Roman" w:hAnsi="Segoe UI" w:cs="Segoe UI"/>
          <w:sz w:val="21"/>
          <w:szCs w:val="21"/>
          <w:lang w:val="cs-CZ" w:eastAsia="cs-CZ"/>
        </w:rPr>
        <w:t xml:space="preserve"> </w:t>
      </w:r>
      <w:r w:rsidRPr="000F2C87">
        <w:rPr>
          <w:lang w:val="cs-CZ"/>
        </w:rPr>
        <w:t xml:space="preserve">Program </w:t>
      </w:r>
      <w:r w:rsidRPr="000F2C87">
        <w:rPr>
          <w:b/>
          <w:bCs/>
          <w:lang w:val="cs-CZ"/>
        </w:rPr>
        <w:t>S</w:t>
      </w:r>
      <w:r w:rsidRPr="000F2C87">
        <w:rPr>
          <w:b/>
          <w:bCs/>
          <w:lang w:val="cs-CZ"/>
        </w:rPr>
        <w:noBreakHyphen/>
        <w:t xml:space="preserve">podnik </w:t>
      </w:r>
      <w:r w:rsidRPr="000F2C87">
        <w:rPr>
          <w:lang w:val="cs-CZ"/>
        </w:rPr>
        <w:t>je zaměřen na podporu sociálního podnikání v České republice. Jeho cílem je pomoci podnikům, které kromě ekonomického zisku sledují i společenský přínos, zejména vytvářením pracovních míst pro znevýhodněné osoby na trhu práce. Podpora směřuje především na rozvoj a stabilizaci sociálních podniků, posílení jejich podnikatelských kapacit a</w:t>
      </w:r>
      <w:r w:rsidR="00275713">
        <w:rPr>
          <w:lang w:val="cs-CZ"/>
        </w:rPr>
        <w:t> </w:t>
      </w:r>
      <w:r w:rsidRPr="000F2C87">
        <w:rPr>
          <w:lang w:val="cs-CZ"/>
        </w:rPr>
        <w:t>dlouhodobou udržitelnost, a to prostřednictvím finančních prostředků z Evropského sociálního fondu plus.</w:t>
      </w:r>
    </w:p>
    <w:p w:rsidR="00923109" w:rsidP="00923109" w14:paraId="0BC6A119" w14:textId="77777777">
      <w:pPr>
        <w:spacing w:before="240" w:after="240"/>
        <w:jc w:val="both"/>
        <w:rPr>
          <w:lang w:val="cs-CZ"/>
        </w:rPr>
      </w:pPr>
      <w:r w:rsidRPr="000F2C87">
        <w:rPr>
          <w:lang w:val="cs-CZ"/>
        </w:rPr>
        <w:t xml:space="preserve">Podpora je poskytována formou </w:t>
      </w:r>
      <w:r w:rsidRPr="000F2C87">
        <w:rPr>
          <w:b/>
          <w:bCs/>
          <w:lang w:val="cs-CZ"/>
        </w:rPr>
        <w:t>kombinace návratné podpory s dotační složkou</w:t>
      </w:r>
      <w:r w:rsidRPr="000F2C87">
        <w:rPr>
          <w:lang w:val="cs-CZ"/>
        </w:rPr>
        <w:t xml:space="preserve">, která umožňuje financovat investice s nižší schopností generovat vlastní příjmy. Zkušenosti z realizace potvrdily, že u vybraných typů projektů byla kombinace finančního nástroje a dotace </w:t>
      </w:r>
      <w:r w:rsidRPr="000F2C87">
        <w:rPr>
          <w:b/>
          <w:bCs/>
          <w:lang w:val="cs-CZ"/>
        </w:rPr>
        <w:t>nezbytnou podmínkou finanční udržitelnosti investic</w:t>
      </w:r>
      <w:r w:rsidRPr="000F2C87">
        <w:rPr>
          <w:lang w:val="cs-CZ"/>
        </w:rPr>
        <w:t>. Finanční nástroje v OPZ+ zůstaly doplňkovým nástrojem vedle převažující dotační podpory a jejich využití bylo objemově omezené.</w:t>
      </w:r>
    </w:p>
    <w:p w:rsidR="00E63425" w:rsidRPr="00470BEB" w:rsidP="00470BEB" w14:paraId="59A2B307" w14:textId="0A369AFD">
      <w:pPr>
        <w:rPr>
          <w:b/>
          <w:bCs/>
          <w:lang w:val="cs-CZ"/>
        </w:rPr>
      </w:pPr>
      <w:r w:rsidRPr="00470BEB">
        <w:rPr>
          <w:b/>
          <w:bCs/>
        </w:rPr>
        <w:t>Národní plán obnovy</w:t>
      </w:r>
    </w:p>
    <w:p w:rsidR="52ED4C2F" w:rsidRPr="00117A28" w:rsidP="00747426" w14:paraId="2D79364A" w14:textId="7BEED43B">
      <w:pPr>
        <w:spacing w:before="240" w:after="240"/>
        <w:jc w:val="both"/>
        <w:rPr>
          <w:lang w:val="cs-CZ"/>
        </w:rPr>
      </w:pPr>
      <w:r w:rsidRPr="4037B9F9">
        <w:rPr>
          <w:lang w:val="cs-CZ"/>
        </w:rPr>
        <w:t xml:space="preserve">Finanční nástroje jsou poskytovány i v rámci národního pánu obnovy.  V případě dostupného nájemního bydlení poskytuje SFPI zvýhodněný úvěr s dotační složkou ve výši 7 mld. Kč, NRB pak zvýhodněný úvěr v objemu 2,25 mld. Kč. </w:t>
      </w:r>
    </w:p>
    <w:sectPr w:rsidSect="006848B4">
      <w:footerReference w:type="default" r:id="rId28"/>
      <w:headerReference w:type="first" r:id="rId29"/>
      <w:footerReference w:type="first" r:id="rId30"/>
      <w:pgSz w:w="11906" w:h="16838"/>
      <w:pgMar w:top="1440" w:right="1440" w:bottom="1440" w:left="1440" w:header="708" w:footer="708"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C4214C5-36E9-429F-ABA6-F63C341DDB30}"/>
  </w:font>
  <w:font w:name="Aptos">
    <w:charset w:val="00"/>
    <w:family w:val="swiss"/>
    <w:pitch w:val="variable"/>
    <w:sig w:usb0="20000287" w:usb1="00000003" w:usb2="00000000" w:usb3="00000000" w:csb0="0000019F" w:csb1="00000000"/>
    <w:embedRegular r:id="rId2" w:fontKey="{375D27B7-72A7-46A7-889D-FC98E5C885A2}"/>
    <w:embedBold r:id="rId3" w:fontKey="{FA4DBC01-1935-40C1-A5F5-72E4192981CA}"/>
    <w:embedItalic r:id="rId4" w:fontKey="{C03B16FB-0ECA-4C26-A71B-75DADE6EF295}"/>
    <w:embedBoldItalic r:id="rId5" w:fontKey="{E037FE83-83B4-4F6A-BF76-4A16E14AE39E}"/>
  </w:font>
  <w:font w:name="Aptos SemiBold">
    <w:charset w:val="00"/>
    <w:family w:val="swiss"/>
    <w:pitch w:val="variable"/>
    <w:sig w:usb0="20000287" w:usb1="00000003" w:usb2="00000000" w:usb3="00000000" w:csb0="0000019F" w:csb1="00000000"/>
    <w:embedRegular r:id="rId6" w:fontKey="{C1DE867D-8AFA-485D-BCF9-FE7F266EE1BD}"/>
  </w:font>
  <w:font w:name="Aptos Display">
    <w:charset w:val="00"/>
    <w:family w:val="swiss"/>
    <w:pitch w:val="variable"/>
    <w:sig w:usb0="20000287" w:usb1="00000003" w:usb2="00000000" w:usb3="00000000" w:csb0="0000019F" w:csb1="00000000"/>
    <w:embedRegular r:id="rId7" w:fontKey="{4C0BE507-A8B2-48DB-96EE-EBF94ED9407A}"/>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8" w:fontKey="{DAA9E024-906C-4E71-A005-73BD5B0E833B}"/>
  </w:font>
  <w:font w:name="Calibri">
    <w:panose1 w:val="020F0502020204030204"/>
    <w:charset w:val="EE"/>
    <w:family w:val="swiss"/>
    <w:pitch w:val="variable"/>
    <w:sig w:usb0="E4002EFF" w:usb1="C200247B" w:usb2="00000009" w:usb3="00000000" w:csb0="000001FF" w:csb1="00000000"/>
    <w:embedRegular r:id="rId9" w:fontKey="{98332E2B-C966-4A41-AA9A-078C26992598}"/>
    <w:embedBold r:id="rId10" w:fontKey="{C23470F9-DF9A-4872-89FA-8B1A19EAF37C}"/>
  </w:font>
  <w:font w:name="Roboto">
    <w:charset w:val="00"/>
    <w:family w:val="auto"/>
    <w:pitch w:val="variable"/>
    <w:sig w:usb0="E0000AFF" w:usb1="5000217F" w:usb2="00000021" w:usb3="00000000" w:csb0="0000019F" w:csb1="00000000"/>
    <w:embedRegular r:id="rId11" w:fontKey="{E9E3786C-EF62-4340-9EE2-8487657C3D8D}"/>
  </w:font>
  <w:font w:name="Cambria Math">
    <w:panose1 w:val="02040503050406030204"/>
    <w:charset w:val="EE"/>
    <w:family w:val="roman"/>
    <w:pitch w:val="variable"/>
    <w:sig w:usb0="E00006FF" w:usb1="420024FF" w:usb2="02000000" w:usb3="00000000" w:csb0="0000019F" w:csb1="00000000"/>
    <w:embedRegular r:id="rId12" w:fontKey="{4282D213-F864-430C-8ED0-BDCA97ABB007}"/>
  </w:font>
  <w:font w:name="游ゴシック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7B3F" w:rsidP="006848B4" w14:paraId="000001E1" w14:textId="645BC6DC">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t>44</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E27FF" w14:paraId="35DC7905" w14:textId="6B5F22EB">
    <w:pPr>
      <w:pStyle w:val="Footer"/>
    </w:pPr>
    <w:r>
      <w:rPr>
        <w:noProof/>
      </w:rPr>
      <w:drawing>
        <wp:anchor distT="0" distB="0" distL="114300" distR="114300" simplePos="0" relativeHeight="251659264" behindDoc="1" locked="0" layoutInCell="1" allowOverlap="1">
          <wp:simplePos x="0" y="0"/>
          <wp:positionH relativeFrom="column">
            <wp:posOffset>2917099</wp:posOffset>
          </wp:positionH>
          <wp:positionV relativeFrom="paragraph">
            <wp:posOffset>-3528876</wp:posOffset>
          </wp:positionV>
          <wp:extent cx="2984500" cy="2984500"/>
          <wp:effectExtent l="0" t="0" r="6350" b="6350"/>
          <wp:wrapNone/>
          <wp:docPr id="1850680299" name="Picture 11" descr="Obsah obrázku kruh, snímek obrazovky, Barevnost, Symetri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80299" name="Picture 11" descr="Obsah obrázku kruh, snímek obrazovky, Barevnost, Symetrie&#10;&#10;Obsah generovaný pomocí AI může být nesprávný."/>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984500" cy="298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CA4">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-152127</wp:posOffset>
          </wp:positionV>
          <wp:extent cx="2764490" cy="396000"/>
          <wp:effectExtent l="0" t="0" r="0" b="4445"/>
          <wp:wrapNone/>
          <wp:docPr id="1194578045" name="Picture 10" descr="Obsah obrázku text, snímek obrazovky, Písmo,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78045" name="Picture 10" descr="Obsah obrázku text, snímek obrazovky, Písmo, Grafika&#10;&#10;Obsah generovaný pomocí AI může být nesprávný."/>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449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B2481" w14:paraId="1500472B" w14:textId="77777777">
      <w:pPr>
        <w:spacing w:after="0" w:line="240" w:lineRule="auto"/>
      </w:pPr>
      <w:r>
        <w:separator/>
      </w:r>
    </w:p>
  </w:footnote>
  <w:footnote w:type="continuationSeparator" w:id="1">
    <w:p w:rsidR="00DB2481" w14:paraId="75B52344" w14:textId="77777777">
      <w:pPr>
        <w:spacing w:after="0" w:line="240" w:lineRule="auto"/>
      </w:pPr>
      <w:r>
        <w:continuationSeparator/>
      </w:r>
    </w:p>
  </w:footnote>
  <w:footnote w:type="continuationNotice" w:id="2">
    <w:p w:rsidR="00DB2481" w14:paraId="23E5E265" w14:textId="77777777">
      <w:pPr>
        <w:spacing w:after="0" w:line="240" w:lineRule="auto"/>
      </w:pPr>
    </w:p>
  </w:footnote>
  <w:footnote w:id="3">
    <w:p w:rsidR="00EC59EC" w:rsidRPr="00E76B9D" w:rsidP="00EC59EC" w14:paraId="4E2520AB" w14:textId="77777777">
      <w:pPr>
        <w:pStyle w:val="FootnoteText"/>
        <w:rPr>
          <w:lang w:val="en-US"/>
        </w:rPr>
      </w:pPr>
      <w:r>
        <w:rPr>
          <w:rStyle w:val="FootnoteReference"/>
        </w:rPr>
        <w:footnoteRef/>
      </w:r>
      <w:r>
        <w:t xml:space="preserve"> </w:t>
      </w:r>
      <w:r w:rsidRPr="025137AC">
        <w:rPr>
          <w:lang w:val="en-US"/>
        </w:rPr>
        <w:t xml:space="preserve">Převzato z následujícího zdroje, upraveno: </w:t>
      </w:r>
      <w:hyperlink r:id="rId1" w:history="1">
        <w:r w:rsidRPr="025137AC">
          <w:rPr>
            <w:rStyle w:val="Hyperlink"/>
            <w:lang w:val="en-US"/>
          </w:rPr>
          <w:t>https://timeline.worldbank.org/content/dam/sites/timeline/docs/migrated/12-112-ForwardLook-DC2017-0002-24March2017.pdf</w:t>
        </w:r>
      </w:hyperlink>
    </w:p>
  </w:footnote>
  <w:footnote w:id="4">
    <w:p w:rsidR="00DF517C" w:rsidRPr="00D82E4E" w:rsidP="00C764B6" w14:paraId="618F0498" w14:textId="7AEBDE0D">
      <w:pPr>
        <w:pStyle w:val="FootnoteText"/>
        <w:rPr>
          <w:lang w:val="cs-CZ"/>
        </w:rPr>
      </w:pPr>
      <w:r>
        <w:rPr>
          <w:rStyle w:val="FootnoteReference"/>
        </w:rPr>
        <w:footnoteRef/>
      </w:r>
      <w:r>
        <w:t xml:space="preserve"> </w:t>
      </w:r>
      <w:hyperlink r:id="rId2" w:anchor=":~:text=2007%2D2013%20period%2C%20rising%20to%20%E2%82%AC31.0%20billion%20for,Luxembourg%2C%20have%20made%20use%20of%20financial%20instruments" w:history="1">
        <w:r w:rsidRPr="00A95519">
          <w:rPr>
            <w:rStyle w:val="Hyperlink"/>
          </w:rPr>
          <w:t>https://www.eca.europa.eu/ECAPublications/SR-2025-24/SR-2025-24_EN.pdf#:~:text=2007%2D2013%20period%2C%20rising%20to%20%E2%82%AC31.0%20billion%20for,Luxembourg%2C%20have%20made%20use%20of%20financial%20instruments</w:t>
        </w:r>
      </w:hyperlink>
      <w:r>
        <w:t xml:space="preserve"> </w:t>
      </w:r>
    </w:p>
  </w:footnote>
  <w:footnote w:id="5">
    <w:p w:rsidR="00B346BF" w:rsidRPr="00E3531F" w:rsidP="0038403D" w14:paraId="316B334A" w14:textId="4A2570EF">
      <w:pPr>
        <w:pStyle w:val="FootnoteText"/>
        <w:jc w:val="both"/>
        <w:rPr>
          <w:lang w:val="cs-CZ"/>
        </w:rPr>
      </w:pPr>
      <w:r>
        <w:rPr>
          <w:rStyle w:val="FootnoteReference"/>
        </w:rPr>
        <w:footnoteRef/>
      </w:r>
      <w:r>
        <w:t xml:space="preserve"> </w:t>
      </w:r>
      <w:r w:rsidR="00B31094">
        <w:t xml:space="preserve">Zejména </w:t>
      </w:r>
      <w:r w:rsidRPr="00E3531F" w:rsidR="00B20CA2">
        <w:rPr>
          <w:rFonts w:asciiTheme="minorHAnsi" w:hAnsiTheme="minorHAnsi"/>
        </w:rPr>
        <w:t>Nařízení o Evropském fondu a NRPP</w:t>
      </w:r>
      <w:r w:rsidRPr="00D2406E" w:rsidR="00B20CA2">
        <w:rPr>
          <w:rFonts w:ascii="Arial" w:hAnsi="Arial" w:cs="Arial"/>
        </w:rPr>
        <w:t>​</w:t>
      </w:r>
      <w:r w:rsidRPr="00E3531F" w:rsidR="00B20CA2">
        <w:rPr>
          <w:rFonts w:asciiTheme="minorHAnsi" w:hAnsiTheme="minorHAnsi" w:cs="Arial"/>
        </w:rPr>
        <w:t xml:space="preserve"> (</w:t>
      </w:r>
      <w:r w:rsidRPr="00E3531F" w:rsidR="00B31094">
        <w:rPr>
          <w:rFonts w:asciiTheme="minorHAnsi" w:hAnsiTheme="minorHAnsi"/>
          <w:i/>
          <w:iCs/>
        </w:rPr>
        <w:t xml:space="preserve">Návrh </w:t>
      </w:r>
      <w:r w:rsidR="00B932FB">
        <w:rPr>
          <w:rFonts w:asciiTheme="minorHAnsi" w:hAnsiTheme="minorHAnsi"/>
          <w:i/>
          <w:iCs/>
        </w:rPr>
        <w:t>N</w:t>
      </w:r>
      <w:r w:rsidRPr="00E3531F" w:rsidR="00B31094">
        <w:rPr>
          <w:rFonts w:asciiTheme="minorHAnsi" w:hAnsiTheme="minorHAnsi"/>
          <w:i/>
          <w:iCs/>
        </w:rPr>
        <w:t>ařízení Evropského parlamentu a Rady, kterým</w:t>
      </w:r>
      <w:r w:rsidR="0038403D">
        <w:rPr>
          <w:rFonts w:asciiTheme="minorHAnsi" w:hAnsiTheme="minorHAnsi"/>
          <w:i/>
        </w:rPr>
        <w:t> </w:t>
      </w:r>
      <w:r w:rsidRPr="00E3531F" w:rsidR="00B31094">
        <w:rPr>
          <w:rFonts w:asciiTheme="minorHAnsi" w:hAnsiTheme="minorHAnsi"/>
          <w:i/>
          <w:iCs/>
        </w:rPr>
        <w:t>se</w:t>
      </w:r>
      <w:r w:rsidR="0038403D">
        <w:rPr>
          <w:rFonts w:asciiTheme="minorHAnsi" w:hAnsiTheme="minorHAnsi"/>
          <w:i/>
        </w:rPr>
        <w:t> </w:t>
      </w:r>
      <w:r w:rsidRPr="00E3531F" w:rsidR="00B31094">
        <w:rPr>
          <w:rFonts w:asciiTheme="minorHAnsi" w:hAnsiTheme="minorHAnsi"/>
          <w:i/>
          <w:iCs/>
        </w:rPr>
        <w:t>zřizuje Evropský fond pro hospodářskou, sociální a územní soudržnost, zemědělství a rozvoj venkova, rybolov a námořní záležitosti, prosperitu a bezpečnost na období 2028–2034 a kterým se mění nařízení (EU) 2023/955 a (EU, Euratom) 2024/2509</w:t>
      </w:r>
      <w:r w:rsidRPr="00E3531F" w:rsidR="00B20CA2">
        <w:rPr>
          <w:rFonts w:asciiTheme="minorHAnsi" w:hAnsiTheme="minorHAnsi"/>
        </w:rPr>
        <w:t>)</w:t>
      </w:r>
      <w:r w:rsidRPr="00E3531F" w:rsidR="00B31094">
        <w:rPr>
          <w:rFonts w:asciiTheme="minorHAnsi" w:hAnsiTheme="minorHAnsi"/>
        </w:rPr>
        <w:t xml:space="preserve">, </w:t>
      </w:r>
      <w:r w:rsidRPr="00E3531F" w:rsidR="007700AB">
        <w:rPr>
          <w:rFonts w:asciiTheme="minorHAnsi" w:hAnsiTheme="minorHAnsi"/>
        </w:rPr>
        <w:t>Nařízení o Víceletém finančním rámci</w:t>
      </w:r>
      <w:r w:rsidRPr="00E3531F" w:rsidR="007700AB">
        <w:rPr>
          <w:rFonts w:asciiTheme="minorHAnsi" w:hAnsiTheme="minorHAnsi" w:cs="Arial"/>
        </w:rPr>
        <w:t xml:space="preserve"> (</w:t>
      </w:r>
      <w:r w:rsidRPr="00B932FB" w:rsidR="00B77C42">
        <w:rPr>
          <w:rFonts w:asciiTheme="minorHAnsi" w:hAnsiTheme="minorHAnsi" w:cs="Arial"/>
          <w:i/>
          <w:iCs/>
        </w:rPr>
        <w:t xml:space="preserve">Návrh </w:t>
      </w:r>
      <w:r w:rsidRPr="00B932FB" w:rsidR="00B932FB">
        <w:rPr>
          <w:rFonts w:asciiTheme="minorHAnsi" w:hAnsiTheme="minorHAnsi" w:cs="Arial"/>
          <w:i/>
          <w:iCs/>
        </w:rPr>
        <w:t>Nařízení</w:t>
      </w:r>
      <w:r w:rsidRPr="00B932FB" w:rsidR="00B77C42">
        <w:rPr>
          <w:rFonts w:asciiTheme="minorHAnsi" w:hAnsiTheme="minorHAnsi" w:cs="Arial"/>
          <w:i/>
          <w:iCs/>
        </w:rPr>
        <w:t xml:space="preserve"> </w:t>
      </w:r>
      <w:r w:rsidRPr="00B932FB" w:rsidR="00B932FB">
        <w:rPr>
          <w:rFonts w:asciiTheme="minorHAnsi" w:hAnsiTheme="minorHAnsi" w:cs="Arial"/>
          <w:i/>
          <w:iCs/>
        </w:rPr>
        <w:t>Rady</w:t>
      </w:r>
      <w:r w:rsidRPr="00B932FB" w:rsidR="00B77C42">
        <w:rPr>
          <w:rFonts w:asciiTheme="minorHAnsi" w:hAnsiTheme="minorHAnsi" w:cs="Arial"/>
          <w:i/>
          <w:iCs/>
        </w:rPr>
        <w:t>, kterým se stanoví víceletý finanční rámec na období 2028–2034</w:t>
      </w:r>
      <w:r w:rsidRPr="00E3531F" w:rsidR="007700AB">
        <w:rPr>
          <w:rFonts w:asciiTheme="minorHAnsi" w:hAnsiTheme="minorHAnsi" w:cs="Arial"/>
        </w:rPr>
        <w:t>)</w:t>
      </w:r>
      <w:r w:rsidR="008D2CE5">
        <w:rPr>
          <w:rFonts w:asciiTheme="minorHAnsi" w:hAnsiTheme="minorHAnsi" w:cs="Arial"/>
        </w:rPr>
        <w:t xml:space="preserve"> a </w:t>
      </w:r>
      <w:r w:rsidR="00435915">
        <w:rPr>
          <w:rFonts w:asciiTheme="minorHAnsi" w:hAnsiTheme="minorHAnsi" w:cs="Arial"/>
        </w:rPr>
        <w:t>Nařízení o výkonnostním rámci (</w:t>
      </w:r>
      <w:r w:rsidRPr="00607642" w:rsidR="00435915">
        <w:rPr>
          <w:rFonts w:asciiTheme="minorHAnsi" w:hAnsiTheme="minorHAnsi" w:cs="Arial"/>
          <w:i/>
          <w:iCs/>
        </w:rPr>
        <w:t xml:space="preserve">Návrh </w:t>
      </w:r>
      <w:r w:rsidRPr="00435915" w:rsidR="00435915">
        <w:rPr>
          <w:rFonts w:asciiTheme="minorHAnsi" w:hAnsiTheme="minorHAnsi"/>
          <w:i/>
          <w:iCs/>
        </w:rPr>
        <w:t>Nařízení Evropského parlamentu a Rady</w:t>
      </w:r>
      <w:r w:rsidRPr="00607642" w:rsidR="00435915">
        <w:rPr>
          <w:rFonts w:asciiTheme="minorHAnsi" w:hAnsiTheme="minorHAnsi" w:cs="Arial"/>
          <w:i/>
          <w:iCs/>
        </w:rPr>
        <w:t>, kterým se stanoví rámec pro sledování rozpočtových výdajů a výkonnost rozpočtu a další horizontální pravidla programů a činností Unie</w:t>
      </w:r>
      <w:r w:rsidR="00435915">
        <w:rPr>
          <w:rFonts w:asciiTheme="minorHAnsi" w:hAnsiTheme="minorHAnsi" w:cs="Arial"/>
        </w:rPr>
        <w:t>)</w:t>
      </w:r>
      <w:r w:rsidRPr="00E3531F" w:rsidR="007700AB">
        <w:rPr>
          <w:rFonts w:asciiTheme="minorHAnsi" w:hAnsiTheme="minorHAnsi" w:cs="Arial"/>
        </w:rPr>
        <w:t>.</w:t>
      </w:r>
    </w:p>
  </w:footnote>
  <w:footnote w:id="6">
    <w:p w:rsidR="00065141" w:rsidRPr="00115ED8" w:rsidP="00065141" w14:paraId="37B9C2A6" w14:textId="77777777">
      <w:pPr>
        <w:pStyle w:val="FootnoteText"/>
        <w:jc w:val="both"/>
        <w:rPr>
          <w:lang w:val="cs-CZ"/>
        </w:rPr>
      </w:pPr>
      <w:r>
        <w:rPr>
          <w:rStyle w:val="FootnoteReference"/>
        </w:rPr>
        <w:footnoteRef/>
      </w:r>
      <w:r>
        <w:t xml:space="preserve"> Ve smyslu čl. 17 </w:t>
      </w:r>
      <w:r w:rsidRPr="00115ED8">
        <w:rPr>
          <w:i/>
          <w:iCs/>
        </w:rPr>
        <w:t>Nařízení Evropského parlamentu a Rady (EU) 2020/852, o zřízení rámce pro usnadnění udržitelných investic</w:t>
      </w:r>
      <w:r>
        <w:t>.</w:t>
      </w:r>
    </w:p>
  </w:footnote>
  <w:footnote w:id="7">
    <w:p w:rsidR="00065141" w:rsidRPr="00115ED8" w:rsidP="00065141" w14:paraId="6C6D271B" w14:textId="77777777">
      <w:pPr>
        <w:pStyle w:val="FootnoteText"/>
        <w:jc w:val="both"/>
        <w:rPr>
          <w:lang w:val="cs-CZ"/>
        </w:rPr>
      </w:pPr>
      <w:r>
        <w:rPr>
          <w:rStyle w:val="FootnoteReference"/>
        </w:rPr>
        <w:footnoteRef/>
      </w:r>
      <w:r>
        <w:t xml:space="preserve"> Dle </w:t>
      </w:r>
      <w:r w:rsidRPr="00115ED8">
        <w:rPr>
          <w:i/>
          <w:iCs/>
        </w:rPr>
        <w:t>Doporučení Komise 2003/361/ES ze dne 6. května 2003 o definici mikropodniků, malých a středních podniků</w:t>
      </w:r>
      <w:r>
        <w:t>.</w:t>
      </w:r>
    </w:p>
  </w:footnote>
  <w:footnote w:id="8">
    <w:p w:rsidR="00065141" w:rsidRPr="00804D30" w:rsidP="00065141" w14:paraId="3282179E" w14:textId="77777777">
      <w:pPr>
        <w:spacing w:after="0" w:line="240" w:lineRule="auto"/>
        <w:jc w:val="both"/>
        <w:rPr>
          <w:sz w:val="20"/>
          <w:szCs w:val="20"/>
        </w:rPr>
      </w:pPr>
      <w:r w:rsidRPr="6D387690">
        <w:rPr>
          <w:rStyle w:val="FootnoteReference"/>
        </w:rPr>
        <w:footnoteRef/>
      </w:r>
      <w:r>
        <w:t xml:space="preserve"> </w:t>
      </w:r>
      <w:r w:rsidRPr="00804D30">
        <w:rPr>
          <w:sz w:val="20"/>
          <w:szCs w:val="20"/>
        </w:rPr>
        <w:t xml:space="preserve">Čl. 2, bod 18 </w:t>
      </w:r>
      <w:r w:rsidRPr="00804D30">
        <w:rPr>
          <w:i/>
          <w:iCs/>
          <w:sz w:val="20"/>
          <w:szCs w:val="20"/>
        </w:rPr>
        <w:t xml:space="preserve">Nařízení Komise (EU) č. 651/2014 </w:t>
      </w:r>
      <w:r w:rsidRPr="00804D30">
        <w:rPr>
          <w:sz w:val="20"/>
          <w:szCs w:val="20"/>
        </w:rPr>
        <w:t>ze dne 17. června 2014, kterým se v souladu s</w:t>
      </w:r>
      <w:r>
        <w:rPr>
          <w:sz w:val="20"/>
          <w:szCs w:val="20"/>
        </w:rPr>
        <w:t> </w:t>
      </w:r>
      <w:r w:rsidRPr="00804D30">
        <w:rPr>
          <w:sz w:val="20"/>
          <w:szCs w:val="20"/>
        </w:rPr>
        <w:t>čl</w:t>
      </w:r>
      <w:r>
        <w:rPr>
          <w:sz w:val="20"/>
          <w:szCs w:val="20"/>
        </w:rPr>
        <w:t>.</w:t>
      </w:r>
      <w:r w:rsidRPr="00804D30">
        <w:rPr>
          <w:sz w:val="20"/>
          <w:szCs w:val="20"/>
        </w:rPr>
        <w:t xml:space="preserve"> 107 a</w:t>
      </w:r>
      <w:r>
        <w:rPr>
          <w:sz w:val="20"/>
          <w:szCs w:val="20"/>
        </w:rPr>
        <w:t> </w:t>
      </w:r>
      <w:r w:rsidRPr="00804D30">
        <w:rPr>
          <w:sz w:val="20"/>
          <w:szCs w:val="20"/>
        </w:rPr>
        <w:t xml:space="preserve">108 </w:t>
      </w:r>
      <w:r w:rsidRPr="004B43D2">
        <w:rPr>
          <w:sz w:val="20"/>
          <w:szCs w:val="20"/>
        </w:rPr>
        <w:t>Smlouvy</w:t>
      </w:r>
      <w:r w:rsidRPr="00804D30">
        <w:rPr>
          <w:sz w:val="20"/>
          <w:szCs w:val="20"/>
        </w:rPr>
        <w:t xml:space="preserve"> </w:t>
      </w:r>
      <w:r>
        <w:rPr>
          <w:sz w:val="20"/>
          <w:szCs w:val="20"/>
        </w:rPr>
        <w:t xml:space="preserve">o fungování Evropské unie </w:t>
      </w:r>
      <w:r w:rsidRPr="00804D30">
        <w:rPr>
          <w:sz w:val="20"/>
          <w:szCs w:val="20"/>
        </w:rPr>
        <w:t>prohlašují určité kategorie podpory za slučitelné s vnitřním trhem.</w:t>
      </w:r>
    </w:p>
  </w:footnote>
  <w:footnote w:id="9">
    <w:p w:rsidR="00BD7E61" w:rsidRPr="00BD7E61" w:rsidP="00BD7E61" w14:paraId="1D78B43D" w14:textId="7B3C532B">
      <w:pPr>
        <w:pStyle w:val="FootnoteText"/>
        <w:rPr>
          <w:lang w:val="cs-CZ"/>
        </w:rPr>
      </w:pPr>
      <w:r>
        <w:rPr>
          <w:rStyle w:val="FootnoteReference"/>
        </w:rPr>
        <w:footnoteRef/>
      </w:r>
      <w:r>
        <w:t xml:space="preserve"> </w:t>
      </w:r>
      <w:r w:rsidRPr="00BD7E61">
        <w:rPr>
          <w:rFonts w:asciiTheme="minorHAnsi" w:hAnsiTheme="minorHAnsi"/>
        </w:rPr>
        <w:t xml:space="preserve">Šetření proběhlo v roce 2025 pod koordinací </w:t>
      </w:r>
      <w:r w:rsidR="005077FB">
        <w:rPr>
          <w:rFonts w:asciiTheme="minorHAnsi" w:hAnsiTheme="minorHAnsi"/>
        </w:rPr>
        <w:t xml:space="preserve">Ministerstva pro místní </w:t>
      </w:r>
      <w:r w:rsidR="00253533">
        <w:rPr>
          <w:rFonts w:asciiTheme="minorHAnsi" w:hAnsiTheme="minorHAnsi"/>
        </w:rPr>
        <w:t xml:space="preserve">rozvoj – Národního orgánu pro koordinaci </w:t>
      </w:r>
      <w:r w:rsidR="005077FB">
        <w:rPr>
          <w:rFonts w:asciiTheme="minorHAnsi" w:hAnsiTheme="minorHAnsi"/>
        </w:rPr>
        <w:t>(</w:t>
      </w:r>
      <w:r w:rsidRPr="00BD7E61">
        <w:rPr>
          <w:rFonts w:asciiTheme="minorHAnsi" w:hAnsiTheme="minorHAnsi"/>
        </w:rPr>
        <w:t>MMR</w:t>
      </w:r>
      <w:r w:rsidRPr="00BD7E61">
        <w:rPr>
          <w:rFonts w:asciiTheme="minorHAnsi" w:hAnsiTheme="minorHAnsi"/>
        </w:rPr>
        <w:noBreakHyphen/>
        <w:t>NOK</w:t>
      </w:r>
      <w:r w:rsidR="005077FB">
        <w:rPr>
          <w:rFonts w:asciiTheme="minorHAnsi" w:hAnsiTheme="minorHAnsi"/>
        </w:rPr>
        <w:t>)</w:t>
      </w:r>
      <w:r w:rsidRPr="00BD7E61">
        <w:rPr>
          <w:rFonts w:asciiTheme="minorHAnsi" w:hAnsiTheme="minorHAnsi"/>
        </w:rPr>
        <w:t xml:space="preserve"> ve dvou fázích za účasti klíčových institucí zapojených do implementace finančních nástrojů v</w:t>
      </w:r>
      <w:r>
        <w:rPr>
          <w:rFonts w:asciiTheme="minorHAnsi" w:hAnsiTheme="minorHAnsi"/>
        </w:rPr>
        <w:t> </w:t>
      </w:r>
      <w:r w:rsidRPr="00BD7E61">
        <w:rPr>
          <w:rFonts w:asciiTheme="minorHAnsi" w:hAnsiTheme="minorHAnsi"/>
        </w:rPr>
        <w:t>ČR</w:t>
      </w:r>
      <w:r>
        <w:rPr>
          <w:rFonts w:asciiTheme="minorHAnsi" w:hAnsiTheme="minorHAnsi"/>
        </w:rPr>
        <w:t>.</w:t>
      </w:r>
    </w:p>
    <w:p w:rsidR="002E1161" w:rsidRPr="002E1161" w14:paraId="051FCFE4" w14:textId="3AA74CA5">
      <w:pPr>
        <w:pStyle w:val="FootnoteText"/>
        <w:rPr>
          <w:lang w:val="cs-C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7B3F" w14:paraId="000001DF" w14:textId="7E62C3DD">
    <w:pPr>
      <w:pBdr>
        <w:top w:val="nil"/>
        <w:left w:val="nil"/>
        <w:bottom w:val="nil"/>
        <w:right w:val="nil"/>
        <w:between w:val="nil"/>
      </w:pBdr>
      <w:tabs>
        <w:tab w:val="center" w:pos="4513"/>
        <w:tab w:val="right" w:pos="9026"/>
      </w:tabs>
      <w:spacing w:after="0" w:line="240" w:lineRule="auto"/>
      <w:rPr>
        <w:color w:val="000000"/>
      </w:rPr>
    </w:pPr>
    <w:r>
      <w:rPr>
        <w:noProof/>
      </w:rPr>
      <w:drawing>
        <wp:inline distT="0" distB="0" distL="0" distR="0">
          <wp:extent cx="3702050" cy="641350"/>
          <wp:effectExtent l="0" t="0" r="0" b="6350"/>
          <wp:docPr id="1561691369" name="Picture 6" descr="Obsah obrázku Písmo, Grafika, snímek obrazovky,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91369" name="Picture 6" descr="Obsah obrázku Písmo, Grafika, snímek obrazovky, text&#10;&#10;Obsah generovaný pomocí AI může být nesprávný."/>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2050" cy="641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EE142F4A"/>
    <w:lvl w:ilvl="0">
      <w:start w:val="1"/>
      <w:numFmt w:val="bullet"/>
      <w:pStyle w:val="ListBullet"/>
      <w:lvlText w:val=""/>
      <w:lvlJc w:val="left"/>
      <w:pPr>
        <w:tabs>
          <w:tab w:val="num" w:pos="360"/>
        </w:tabs>
        <w:ind w:left="360" w:hanging="360"/>
      </w:pPr>
      <w:rPr>
        <w:rFonts w:ascii="Symbol" w:hAnsi="Symbol" w:hint="default"/>
        <w:color w:val="215E99" w:themeColor="text2" w:themeTint="BF"/>
      </w:rPr>
    </w:lvl>
  </w:abstractNum>
  <w:abstractNum w:abstractNumId="1">
    <w:nsid w:val="0B2673DB"/>
    <w:multiLevelType w:val="multilevel"/>
    <w:tmpl w:val="DF38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BC2FBB"/>
    <w:multiLevelType w:val="multilevel"/>
    <w:tmpl w:val="BCD8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253282"/>
    <w:multiLevelType w:val="multilevel"/>
    <w:tmpl w:val="D310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EB0427"/>
    <w:multiLevelType w:val="hybridMultilevel"/>
    <w:tmpl w:val="2B0CC1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3D595084"/>
    <w:multiLevelType w:val="multilevel"/>
    <w:tmpl w:val="22E2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CA22B2"/>
    <w:multiLevelType w:val="multilevel"/>
    <w:tmpl w:val="921245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4AF6080C"/>
    <w:multiLevelType w:val="multilevel"/>
    <w:tmpl w:val="BD04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9B2A6E"/>
    <w:multiLevelType w:val="multilevel"/>
    <w:tmpl w:val="224E677C"/>
    <w:lvl w:ilvl="0">
      <w:start w:val="1"/>
      <w:numFmt w:val="upperRoman"/>
      <w:pStyle w:val="Heading1"/>
      <w:lvlText w:val="%1."/>
      <w:lvlJc w:val="left"/>
      <w:pPr>
        <w:ind w:left="0" w:firstLine="0"/>
      </w:pPr>
    </w:lvl>
    <w:lvl w:ilvl="1">
      <w:start w:val="1"/>
      <w:numFmt w:val="decimal"/>
      <w:lvlRestart w:val="0"/>
      <w:pStyle w:val="Heading2"/>
      <w:lvlText w:val="%2."/>
      <w:lvlJc w:val="left"/>
      <w:pPr>
        <w:ind w:left="0" w:firstLine="0"/>
      </w:pPr>
      <w:rPr>
        <w:rFonts w:hint="default"/>
      </w:rPr>
    </w:lvl>
    <w:lvl w:ilvl="2">
      <w:start w:val="1"/>
      <w:numFmt w:val="decimal"/>
      <w:pStyle w:val="Heading3"/>
      <w:lvlText w:val="%2.%3"/>
      <w:lvlJc w:val="left"/>
      <w:pPr>
        <w:ind w:left="0" w:firstLine="0"/>
      </w:pPr>
      <w:rPr>
        <w:rFonts w:hint="default"/>
        <w:color w:val="2F69A3"/>
      </w:rPr>
    </w:lvl>
    <w:lvl w:ilvl="3">
      <w:start w:val="1"/>
      <w:numFmt w:val="none"/>
      <w:pStyle w:val="Heading4"/>
      <w:lvlText w:val="%4"/>
      <w:lvlJc w:val="left"/>
      <w:pPr>
        <w:ind w:left="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9">
    <w:nsid w:val="52EA2018"/>
    <w:multiLevelType w:val="multilevel"/>
    <w:tmpl w:val="C49E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7F154C"/>
    <w:multiLevelType w:val="multilevel"/>
    <w:tmpl w:val="68E8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900622"/>
    <w:multiLevelType w:val="multilevel"/>
    <w:tmpl w:val="1010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D03593"/>
    <w:multiLevelType w:val="hybridMultilevel"/>
    <w:tmpl w:val="7B7EECE4"/>
    <w:lvl w:ilvl="0">
      <w:start w:val="1"/>
      <w:numFmt w:val="decimal"/>
      <w:lvlText w:val="%1."/>
      <w:lvlJc w:val="left"/>
      <w:pPr>
        <w:ind w:left="720" w:hanging="360"/>
      </w:pPr>
      <w:rPr>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C4937A4"/>
    <w:multiLevelType w:val="hybridMultilevel"/>
    <w:tmpl w:val="B5B8D6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2521C7D"/>
    <w:multiLevelType w:val="multilevel"/>
    <w:tmpl w:val="5B5431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68DB7A05"/>
    <w:multiLevelType w:val="multilevel"/>
    <w:tmpl w:val="B264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9188B7"/>
    <w:multiLevelType w:val="hybridMultilevel"/>
    <w:tmpl w:val="DF66F0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713D0413"/>
    <w:multiLevelType w:val="multilevel"/>
    <w:tmpl w:val="6518E734"/>
    <w:lvl w:ilvl="0">
      <w:start w:val="1"/>
      <w:numFmt w:val="upperRoman"/>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71662783"/>
    <w:multiLevelType w:val="multilevel"/>
    <w:tmpl w:val="2D04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D311B0"/>
    <w:multiLevelType w:val="hybridMultilevel"/>
    <w:tmpl w:val="68E2031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770C586C"/>
    <w:multiLevelType w:val="multilevel"/>
    <w:tmpl w:val="E604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90247C"/>
    <w:multiLevelType w:val="multilevel"/>
    <w:tmpl w:val="B22A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A8E3A4"/>
    <w:multiLevelType w:val="hybridMultilevel"/>
    <w:tmpl w:val="310033F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A672660"/>
    <w:multiLevelType w:val="multilevel"/>
    <w:tmpl w:val="D1F6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0"/>
  </w:num>
  <w:num w:numId="4">
    <w:abstractNumId w:val="13"/>
  </w:num>
  <w:num w:numId="5">
    <w:abstractNumId w:val="4"/>
  </w:num>
  <w:num w:numId="6">
    <w:abstractNumId w:val="16"/>
  </w:num>
  <w:num w:numId="7">
    <w:abstractNumId w:val="22"/>
  </w:num>
  <w:num w:numId="8">
    <w:abstractNumId w:val="11"/>
  </w:num>
  <w:num w:numId="9">
    <w:abstractNumId w:val="3"/>
  </w:num>
  <w:num w:numId="10">
    <w:abstractNumId w:val="18"/>
  </w:num>
  <w:num w:numId="11">
    <w:abstractNumId w:val="10"/>
  </w:num>
  <w:num w:numId="12">
    <w:abstractNumId w:val="9"/>
  </w:num>
  <w:num w:numId="13">
    <w:abstractNumId w:val="21"/>
  </w:num>
  <w:num w:numId="14">
    <w:abstractNumId w:val="23"/>
  </w:num>
  <w:num w:numId="15">
    <w:abstractNumId w:val="5"/>
  </w:num>
  <w:num w:numId="16">
    <w:abstractNumId w:val="17"/>
  </w:num>
  <w:num w:numId="17">
    <w:abstractNumId w:val="17"/>
  </w:num>
  <w:num w:numId="18">
    <w:abstractNumId w:val="12"/>
  </w:num>
  <w:num w:numId="19">
    <w:abstractNumId w:val="12"/>
    <w:lvlOverride w:ilvl="0">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0"/>
  </w:num>
  <w:num w:numId="24">
    <w:abstractNumId w:val="7"/>
  </w:num>
  <w:num w:numId="25">
    <w:abstractNumId w:val="1"/>
  </w:num>
  <w:num w:numId="26">
    <w:abstractNumId w:val="15"/>
  </w:num>
  <w:num w:numId="27">
    <w:abstractNumId w:val="19"/>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8"/>
  </w:num>
  <w:num w:numId="3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revisionView w:comments="1" w:formatting="0" w:inkAnnotations="1" w:insDel="1" w:markup="1"/>
  <w:doNotTrackFormatting/>
  <w:defaultTabStop w:val="720"/>
  <w:hyphenationZone w:val="425"/>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B3F"/>
    <w:rsid w:val="000007FA"/>
    <w:rsid w:val="00000FCC"/>
    <w:rsid w:val="00001566"/>
    <w:rsid w:val="00001B95"/>
    <w:rsid w:val="00001F4E"/>
    <w:rsid w:val="000027B7"/>
    <w:rsid w:val="0000331E"/>
    <w:rsid w:val="00003469"/>
    <w:rsid w:val="00004470"/>
    <w:rsid w:val="000055E3"/>
    <w:rsid w:val="00005CB1"/>
    <w:rsid w:val="000067FA"/>
    <w:rsid w:val="00006C87"/>
    <w:rsid w:val="000072D7"/>
    <w:rsid w:val="000076B6"/>
    <w:rsid w:val="0000799E"/>
    <w:rsid w:val="00010230"/>
    <w:rsid w:val="00010391"/>
    <w:rsid w:val="00010595"/>
    <w:rsid w:val="000105F7"/>
    <w:rsid w:val="00010D9F"/>
    <w:rsid w:val="00010DE7"/>
    <w:rsid w:val="0001107E"/>
    <w:rsid w:val="000112F8"/>
    <w:rsid w:val="000116E6"/>
    <w:rsid w:val="00011C9D"/>
    <w:rsid w:val="00011FB6"/>
    <w:rsid w:val="00012EE1"/>
    <w:rsid w:val="00014D25"/>
    <w:rsid w:val="0001552D"/>
    <w:rsid w:val="000158D0"/>
    <w:rsid w:val="000161DA"/>
    <w:rsid w:val="00016C74"/>
    <w:rsid w:val="000178AB"/>
    <w:rsid w:val="000209C3"/>
    <w:rsid w:val="00020FAF"/>
    <w:rsid w:val="0002188F"/>
    <w:rsid w:val="000218DC"/>
    <w:rsid w:val="00021A71"/>
    <w:rsid w:val="00021A8B"/>
    <w:rsid w:val="00021C56"/>
    <w:rsid w:val="00024326"/>
    <w:rsid w:val="000247E1"/>
    <w:rsid w:val="000254A1"/>
    <w:rsid w:val="000255AE"/>
    <w:rsid w:val="00026D49"/>
    <w:rsid w:val="00026F77"/>
    <w:rsid w:val="000272A8"/>
    <w:rsid w:val="00027F18"/>
    <w:rsid w:val="0003040E"/>
    <w:rsid w:val="00030C1D"/>
    <w:rsid w:val="0003132A"/>
    <w:rsid w:val="00031468"/>
    <w:rsid w:val="000327DF"/>
    <w:rsid w:val="00032BFB"/>
    <w:rsid w:val="00032C91"/>
    <w:rsid w:val="00033897"/>
    <w:rsid w:val="00033E99"/>
    <w:rsid w:val="000340DE"/>
    <w:rsid w:val="00034204"/>
    <w:rsid w:val="0003448E"/>
    <w:rsid w:val="0003603E"/>
    <w:rsid w:val="000362A1"/>
    <w:rsid w:val="00037023"/>
    <w:rsid w:val="00037BD7"/>
    <w:rsid w:val="00040607"/>
    <w:rsid w:val="000410F7"/>
    <w:rsid w:val="000418C6"/>
    <w:rsid w:val="00041AB1"/>
    <w:rsid w:val="00041B08"/>
    <w:rsid w:val="00041C4F"/>
    <w:rsid w:val="00041DE8"/>
    <w:rsid w:val="0004262C"/>
    <w:rsid w:val="00042FDC"/>
    <w:rsid w:val="000432B1"/>
    <w:rsid w:val="00043EE1"/>
    <w:rsid w:val="00043F6C"/>
    <w:rsid w:val="000442B0"/>
    <w:rsid w:val="000448F0"/>
    <w:rsid w:val="00045303"/>
    <w:rsid w:val="00045570"/>
    <w:rsid w:val="000456F9"/>
    <w:rsid w:val="0004586F"/>
    <w:rsid w:val="00045E23"/>
    <w:rsid w:val="000461E4"/>
    <w:rsid w:val="0004657A"/>
    <w:rsid w:val="00046702"/>
    <w:rsid w:val="00050290"/>
    <w:rsid w:val="00050795"/>
    <w:rsid w:val="0005087D"/>
    <w:rsid w:val="00050CAC"/>
    <w:rsid w:val="00050E49"/>
    <w:rsid w:val="00051213"/>
    <w:rsid w:val="00051C82"/>
    <w:rsid w:val="000521FE"/>
    <w:rsid w:val="00052266"/>
    <w:rsid w:val="00052B25"/>
    <w:rsid w:val="00052B74"/>
    <w:rsid w:val="000530F3"/>
    <w:rsid w:val="00053340"/>
    <w:rsid w:val="00053B26"/>
    <w:rsid w:val="000543B5"/>
    <w:rsid w:val="000547E7"/>
    <w:rsid w:val="00054C39"/>
    <w:rsid w:val="00054F88"/>
    <w:rsid w:val="00057201"/>
    <w:rsid w:val="00057338"/>
    <w:rsid w:val="000603AE"/>
    <w:rsid w:val="00060594"/>
    <w:rsid w:val="000617E9"/>
    <w:rsid w:val="00061852"/>
    <w:rsid w:val="00061D1A"/>
    <w:rsid w:val="00062760"/>
    <w:rsid w:val="0006375B"/>
    <w:rsid w:val="0006405F"/>
    <w:rsid w:val="00064511"/>
    <w:rsid w:val="000650D9"/>
    <w:rsid w:val="00065141"/>
    <w:rsid w:val="00065FDE"/>
    <w:rsid w:val="000669B3"/>
    <w:rsid w:val="000672F4"/>
    <w:rsid w:val="000675C5"/>
    <w:rsid w:val="00067B3F"/>
    <w:rsid w:val="00067CD0"/>
    <w:rsid w:val="00067F7D"/>
    <w:rsid w:val="0007012A"/>
    <w:rsid w:val="0007103A"/>
    <w:rsid w:val="0007140A"/>
    <w:rsid w:val="00071661"/>
    <w:rsid w:val="00071EFC"/>
    <w:rsid w:val="000723EE"/>
    <w:rsid w:val="000729C6"/>
    <w:rsid w:val="000734C8"/>
    <w:rsid w:val="000753A5"/>
    <w:rsid w:val="000757AA"/>
    <w:rsid w:val="00075A71"/>
    <w:rsid w:val="00076B64"/>
    <w:rsid w:val="00076CD1"/>
    <w:rsid w:val="00076D3E"/>
    <w:rsid w:val="00076D43"/>
    <w:rsid w:val="00077A2C"/>
    <w:rsid w:val="000802BC"/>
    <w:rsid w:val="000806F3"/>
    <w:rsid w:val="00081B1D"/>
    <w:rsid w:val="00081D82"/>
    <w:rsid w:val="00082AC6"/>
    <w:rsid w:val="000831B9"/>
    <w:rsid w:val="000842B7"/>
    <w:rsid w:val="00085758"/>
    <w:rsid w:val="000868F2"/>
    <w:rsid w:val="00086B27"/>
    <w:rsid w:val="00090625"/>
    <w:rsid w:val="00090B76"/>
    <w:rsid w:val="00090F8F"/>
    <w:rsid w:val="0009111F"/>
    <w:rsid w:val="00091526"/>
    <w:rsid w:val="000918F1"/>
    <w:rsid w:val="00092C60"/>
    <w:rsid w:val="00092FA2"/>
    <w:rsid w:val="00093091"/>
    <w:rsid w:val="0009347A"/>
    <w:rsid w:val="00093608"/>
    <w:rsid w:val="00093E5E"/>
    <w:rsid w:val="00093EF3"/>
    <w:rsid w:val="000946E3"/>
    <w:rsid w:val="00094D0E"/>
    <w:rsid w:val="00094D6F"/>
    <w:rsid w:val="00095354"/>
    <w:rsid w:val="0009657C"/>
    <w:rsid w:val="00096C18"/>
    <w:rsid w:val="00096E31"/>
    <w:rsid w:val="00097E10"/>
    <w:rsid w:val="00097E3A"/>
    <w:rsid w:val="000A0181"/>
    <w:rsid w:val="000A0957"/>
    <w:rsid w:val="000A097C"/>
    <w:rsid w:val="000A1300"/>
    <w:rsid w:val="000A2520"/>
    <w:rsid w:val="000A260C"/>
    <w:rsid w:val="000A2893"/>
    <w:rsid w:val="000A2E67"/>
    <w:rsid w:val="000A3980"/>
    <w:rsid w:val="000A3AF8"/>
    <w:rsid w:val="000A451A"/>
    <w:rsid w:val="000A4D4E"/>
    <w:rsid w:val="000A5064"/>
    <w:rsid w:val="000A5EFA"/>
    <w:rsid w:val="000A627F"/>
    <w:rsid w:val="000A64D4"/>
    <w:rsid w:val="000A69E8"/>
    <w:rsid w:val="000A6DA5"/>
    <w:rsid w:val="000A71D4"/>
    <w:rsid w:val="000A762D"/>
    <w:rsid w:val="000A7EA5"/>
    <w:rsid w:val="000B0666"/>
    <w:rsid w:val="000B0DCF"/>
    <w:rsid w:val="000B1AD1"/>
    <w:rsid w:val="000B250F"/>
    <w:rsid w:val="000B2C63"/>
    <w:rsid w:val="000B2CFD"/>
    <w:rsid w:val="000B2E0C"/>
    <w:rsid w:val="000B2EC1"/>
    <w:rsid w:val="000B4DBC"/>
    <w:rsid w:val="000B54EC"/>
    <w:rsid w:val="000B55CC"/>
    <w:rsid w:val="000B61A1"/>
    <w:rsid w:val="000B61E0"/>
    <w:rsid w:val="000B7188"/>
    <w:rsid w:val="000B7B4B"/>
    <w:rsid w:val="000B7F19"/>
    <w:rsid w:val="000C0627"/>
    <w:rsid w:val="000C0E8F"/>
    <w:rsid w:val="000C25C9"/>
    <w:rsid w:val="000C2683"/>
    <w:rsid w:val="000C2EFF"/>
    <w:rsid w:val="000C2F40"/>
    <w:rsid w:val="000C31F6"/>
    <w:rsid w:val="000C338B"/>
    <w:rsid w:val="000C384A"/>
    <w:rsid w:val="000C3984"/>
    <w:rsid w:val="000C3DCA"/>
    <w:rsid w:val="000C40EF"/>
    <w:rsid w:val="000C4252"/>
    <w:rsid w:val="000C4A4B"/>
    <w:rsid w:val="000C4B11"/>
    <w:rsid w:val="000C4F63"/>
    <w:rsid w:val="000C5C27"/>
    <w:rsid w:val="000C5EB4"/>
    <w:rsid w:val="000C61FE"/>
    <w:rsid w:val="000C6334"/>
    <w:rsid w:val="000C6426"/>
    <w:rsid w:val="000C649E"/>
    <w:rsid w:val="000C6DD3"/>
    <w:rsid w:val="000C7172"/>
    <w:rsid w:val="000C7210"/>
    <w:rsid w:val="000C7B50"/>
    <w:rsid w:val="000C7F40"/>
    <w:rsid w:val="000C7FAB"/>
    <w:rsid w:val="000D1111"/>
    <w:rsid w:val="000D195B"/>
    <w:rsid w:val="000D1F35"/>
    <w:rsid w:val="000D2016"/>
    <w:rsid w:val="000D23E0"/>
    <w:rsid w:val="000D2B96"/>
    <w:rsid w:val="000D2E99"/>
    <w:rsid w:val="000D300F"/>
    <w:rsid w:val="000D4978"/>
    <w:rsid w:val="000D4F8C"/>
    <w:rsid w:val="000D4FB4"/>
    <w:rsid w:val="000D567D"/>
    <w:rsid w:val="000D5AF6"/>
    <w:rsid w:val="000D5F0F"/>
    <w:rsid w:val="000D61AC"/>
    <w:rsid w:val="000D6284"/>
    <w:rsid w:val="000D6691"/>
    <w:rsid w:val="000D6DF6"/>
    <w:rsid w:val="000D6E7E"/>
    <w:rsid w:val="000D6F25"/>
    <w:rsid w:val="000D77B7"/>
    <w:rsid w:val="000D786D"/>
    <w:rsid w:val="000D78BC"/>
    <w:rsid w:val="000D8798"/>
    <w:rsid w:val="000E077C"/>
    <w:rsid w:val="000E1ADE"/>
    <w:rsid w:val="000E21F2"/>
    <w:rsid w:val="000E2304"/>
    <w:rsid w:val="000E2610"/>
    <w:rsid w:val="000E27FF"/>
    <w:rsid w:val="000E3661"/>
    <w:rsid w:val="000E3B08"/>
    <w:rsid w:val="000E4444"/>
    <w:rsid w:val="000E46A8"/>
    <w:rsid w:val="000E4A39"/>
    <w:rsid w:val="000E4DFE"/>
    <w:rsid w:val="000E514B"/>
    <w:rsid w:val="000E5838"/>
    <w:rsid w:val="000E6482"/>
    <w:rsid w:val="000E6603"/>
    <w:rsid w:val="000E6851"/>
    <w:rsid w:val="000E69C2"/>
    <w:rsid w:val="000E73B3"/>
    <w:rsid w:val="000F0378"/>
    <w:rsid w:val="000F1241"/>
    <w:rsid w:val="000F184D"/>
    <w:rsid w:val="000F1A37"/>
    <w:rsid w:val="000F1EA0"/>
    <w:rsid w:val="000F20F5"/>
    <w:rsid w:val="000F2C87"/>
    <w:rsid w:val="000F3051"/>
    <w:rsid w:val="000F333C"/>
    <w:rsid w:val="000F362C"/>
    <w:rsid w:val="000F368A"/>
    <w:rsid w:val="000F3B95"/>
    <w:rsid w:val="000F41DF"/>
    <w:rsid w:val="000F4832"/>
    <w:rsid w:val="000F4BDD"/>
    <w:rsid w:val="000F6220"/>
    <w:rsid w:val="000F6599"/>
    <w:rsid w:val="000F6C09"/>
    <w:rsid w:val="000F736A"/>
    <w:rsid w:val="000F7523"/>
    <w:rsid w:val="000F7C22"/>
    <w:rsid w:val="000F7CB4"/>
    <w:rsid w:val="00101198"/>
    <w:rsid w:val="001016B2"/>
    <w:rsid w:val="00101C79"/>
    <w:rsid w:val="00101E9D"/>
    <w:rsid w:val="00101FC8"/>
    <w:rsid w:val="001023D6"/>
    <w:rsid w:val="00102822"/>
    <w:rsid w:val="00102968"/>
    <w:rsid w:val="00102E0E"/>
    <w:rsid w:val="0010347B"/>
    <w:rsid w:val="00103504"/>
    <w:rsid w:val="00104164"/>
    <w:rsid w:val="001042A6"/>
    <w:rsid w:val="00104B89"/>
    <w:rsid w:val="0010506D"/>
    <w:rsid w:val="001061A5"/>
    <w:rsid w:val="0010651B"/>
    <w:rsid w:val="00106904"/>
    <w:rsid w:val="00106B77"/>
    <w:rsid w:val="00106BB8"/>
    <w:rsid w:val="001070A5"/>
    <w:rsid w:val="00107656"/>
    <w:rsid w:val="0010780A"/>
    <w:rsid w:val="0011112E"/>
    <w:rsid w:val="001111AD"/>
    <w:rsid w:val="001111E9"/>
    <w:rsid w:val="00111620"/>
    <w:rsid w:val="00111BD6"/>
    <w:rsid w:val="001121FC"/>
    <w:rsid w:val="001127AD"/>
    <w:rsid w:val="001133C7"/>
    <w:rsid w:val="0011364A"/>
    <w:rsid w:val="001140AE"/>
    <w:rsid w:val="00114240"/>
    <w:rsid w:val="00114CAA"/>
    <w:rsid w:val="00115B1F"/>
    <w:rsid w:val="00115EC7"/>
    <w:rsid w:val="00115ED8"/>
    <w:rsid w:val="00116351"/>
    <w:rsid w:val="00117A28"/>
    <w:rsid w:val="00117FB9"/>
    <w:rsid w:val="00120420"/>
    <w:rsid w:val="0012062F"/>
    <w:rsid w:val="00120A3E"/>
    <w:rsid w:val="00120CA4"/>
    <w:rsid w:val="00120D8E"/>
    <w:rsid w:val="0012102A"/>
    <w:rsid w:val="00121C0C"/>
    <w:rsid w:val="00122101"/>
    <w:rsid w:val="00122132"/>
    <w:rsid w:val="00122354"/>
    <w:rsid w:val="001224B4"/>
    <w:rsid w:val="0012291F"/>
    <w:rsid w:val="001238F0"/>
    <w:rsid w:val="00123FD9"/>
    <w:rsid w:val="0012441F"/>
    <w:rsid w:val="0012473D"/>
    <w:rsid w:val="00124DBC"/>
    <w:rsid w:val="001258C4"/>
    <w:rsid w:val="00126FC8"/>
    <w:rsid w:val="001270FD"/>
    <w:rsid w:val="00127504"/>
    <w:rsid w:val="0012786F"/>
    <w:rsid w:val="00127ED9"/>
    <w:rsid w:val="001307F6"/>
    <w:rsid w:val="00130DE9"/>
    <w:rsid w:val="00131131"/>
    <w:rsid w:val="001311E2"/>
    <w:rsid w:val="0013228B"/>
    <w:rsid w:val="00132E6F"/>
    <w:rsid w:val="00133084"/>
    <w:rsid w:val="001331BB"/>
    <w:rsid w:val="001339ED"/>
    <w:rsid w:val="0013476A"/>
    <w:rsid w:val="00134AC5"/>
    <w:rsid w:val="00135D38"/>
    <w:rsid w:val="0013603B"/>
    <w:rsid w:val="001361A8"/>
    <w:rsid w:val="001375BD"/>
    <w:rsid w:val="001403D3"/>
    <w:rsid w:val="0014060B"/>
    <w:rsid w:val="00140F16"/>
    <w:rsid w:val="001419B8"/>
    <w:rsid w:val="001428DA"/>
    <w:rsid w:val="00142AC4"/>
    <w:rsid w:val="00142F3C"/>
    <w:rsid w:val="001430F3"/>
    <w:rsid w:val="00143520"/>
    <w:rsid w:val="001439D3"/>
    <w:rsid w:val="00143B22"/>
    <w:rsid w:val="00143F8B"/>
    <w:rsid w:val="001440DC"/>
    <w:rsid w:val="00144150"/>
    <w:rsid w:val="00144798"/>
    <w:rsid w:val="00144CC3"/>
    <w:rsid w:val="00145581"/>
    <w:rsid w:val="00145ACE"/>
    <w:rsid w:val="00145EF2"/>
    <w:rsid w:val="001460FE"/>
    <w:rsid w:val="00146553"/>
    <w:rsid w:val="00146792"/>
    <w:rsid w:val="00147170"/>
    <w:rsid w:val="001473AD"/>
    <w:rsid w:val="001473C3"/>
    <w:rsid w:val="001473D3"/>
    <w:rsid w:val="001475C1"/>
    <w:rsid w:val="001477E3"/>
    <w:rsid w:val="001478B7"/>
    <w:rsid w:val="00147CF1"/>
    <w:rsid w:val="00147DCF"/>
    <w:rsid w:val="001506BB"/>
    <w:rsid w:val="001507E1"/>
    <w:rsid w:val="00150D0F"/>
    <w:rsid w:val="00151BCD"/>
    <w:rsid w:val="0015331B"/>
    <w:rsid w:val="001534E6"/>
    <w:rsid w:val="001536D0"/>
    <w:rsid w:val="00154CCB"/>
    <w:rsid w:val="0015505E"/>
    <w:rsid w:val="001557E1"/>
    <w:rsid w:val="00155881"/>
    <w:rsid w:val="00155C53"/>
    <w:rsid w:val="00156991"/>
    <w:rsid w:val="00156B7C"/>
    <w:rsid w:val="00156C1F"/>
    <w:rsid w:val="00156C25"/>
    <w:rsid w:val="00156F47"/>
    <w:rsid w:val="0015753C"/>
    <w:rsid w:val="00157A31"/>
    <w:rsid w:val="00157D9A"/>
    <w:rsid w:val="001607CE"/>
    <w:rsid w:val="001609E3"/>
    <w:rsid w:val="001609EA"/>
    <w:rsid w:val="00160B25"/>
    <w:rsid w:val="00160B3F"/>
    <w:rsid w:val="001613DE"/>
    <w:rsid w:val="00161D1F"/>
    <w:rsid w:val="001623EC"/>
    <w:rsid w:val="001624CD"/>
    <w:rsid w:val="001625F1"/>
    <w:rsid w:val="001627E0"/>
    <w:rsid w:val="00162DBD"/>
    <w:rsid w:val="001635BF"/>
    <w:rsid w:val="001635F4"/>
    <w:rsid w:val="00163919"/>
    <w:rsid w:val="00163AA9"/>
    <w:rsid w:val="00163B14"/>
    <w:rsid w:val="00163C5B"/>
    <w:rsid w:val="00163DA9"/>
    <w:rsid w:val="00164002"/>
    <w:rsid w:val="00164631"/>
    <w:rsid w:val="00164A3C"/>
    <w:rsid w:val="00164DB5"/>
    <w:rsid w:val="00164FEF"/>
    <w:rsid w:val="001657DB"/>
    <w:rsid w:val="001657F2"/>
    <w:rsid w:val="00165995"/>
    <w:rsid w:val="00165C91"/>
    <w:rsid w:val="00165F7D"/>
    <w:rsid w:val="001660B9"/>
    <w:rsid w:val="001663D2"/>
    <w:rsid w:val="00166904"/>
    <w:rsid w:val="00166A09"/>
    <w:rsid w:val="00166E7D"/>
    <w:rsid w:val="00166FC8"/>
    <w:rsid w:val="00167047"/>
    <w:rsid w:val="00167599"/>
    <w:rsid w:val="0016790E"/>
    <w:rsid w:val="00167CE7"/>
    <w:rsid w:val="00167EE4"/>
    <w:rsid w:val="00170138"/>
    <w:rsid w:val="00170446"/>
    <w:rsid w:val="001708EC"/>
    <w:rsid w:val="0017096B"/>
    <w:rsid w:val="00170B54"/>
    <w:rsid w:val="00170C3D"/>
    <w:rsid w:val="001712C9"/>
    <w:rsid w:val="00171D3B"/>
    <w:rsid w:val="0017249C"/>
    <w:rsid w:val="00172F6C"/>
    <w:rsid w:val="00173210"/>
    <w:rsid w:val="00173601"/>
    <w:rsid w:val="001738FD"/>
    <w:rsid w:val="0017403D"/>
    <w:rsid w:val="0017479D"/>
    <w:rsid w:val="001763CB"/>
    <w:rsid w:val="00176CF3"/>
    <w:rsid w:val="00176D4B"/>
    <w:rsid w:val="00176E0A"/>
    <w:rsid w:val="00177AEE"/>
    <w:rsid w:val="001806EE"/>
    <w:rsid w:val="00180A2F"/>
    <w:rsid w:val="00180DD0"/>
    <w:rsid w:val="00180EF8"/>
    <w:rsid w:val="00181955"/>
    <w:rsid w:val="001830BE"/>
    <w:rsid w:val="00183278"/>
    <w:rsid w:val="0018346F"/>
    <w:rsid w:val="00184329"/>
    <w:rsid w:val="00184A20"/>
    <w:rsid w:val="00184F99"/>
    <w:rsid w:val="001863B5"/>
    <w:rsid w:val="00186BFD"/>
    <w:rsid w:val="00186D48"/>
    <w:rsid w:val="00186DD8"/>
    <w:rsid w:val="00186E1E"/>
    <w:rsid w:val="001900F8"/>
    <w:rsid w:val="0019051E"/>
    <w:rsid w:val="00190C8F"/>
    <w:rsid w:val="001910C7"/>
    <w:rsid w:val="00191310"/>
    <w:rsid w:val="0019155E"/>
    <w:rsid w:val="001957A2"/>
    <w:rsid w:val="00195A3A"/>
    <w:rsid w:val="00195F4C"/>
    <w:rsid w:val="00196079"/>
    <w:rsid w:val="001965D2"/>
    <w:rsid w:val="001976B1"/>
    <w:rsid w:val="00197898"/>
    <w:rsid w:val="00197C6E"/>
    <w:rsid w:val="001A01BD"/>
    <w:rsid w:val="001A01E0"/>
    <w:rsid w:val="001A0B8B"/>
    <w:rsid w:val="001A11A9"/>
    <w:rsid w:val="001A39C2"/>
    <w:rsid w:val="001A4001"/>
    <w:rsid w:val="001A4129"/>
    <w:rsid w:val="001A4168"/>
    <w:rsid w:val="001A4316"/>
    <w:rsid w:val="001A4ACD"/>
    <w:rsid w:val="001A4C2E"/>
    <w:rsid w:val="001A54E6"/>
    <w:rsid w:val="001A5A3C"/>
    <w:rsid w:val="001A5F19"/>
    <w:rsid w:val="001A7495"/>
    <w:rsid w:val="001A74E5"/>
    <w:rsid w:val="001A7A70"/>
    <w:rsid w:val="001A7AF1"/>
    <w:rsid w:val="001A7DDC"/>
    <w:rsid w:val="001B0984"/>
    <w:rsid w:val="001B179B"/>
    <w:rsid w:val="001B21CD"/>
    <w:rsid w:val="001B2CAD"/>
    <w:rsid w:val="001B33FE"/>
    <w:rsid w:val="001B3BF1"/>
    <w:rsid w:val="001B3C1F"/>
    <w:rsid w:val="001B46DA"/>
    <w:rsid w:val="001B4CD1"/>
    <w:rsid w:val="001B4D06"/>
    <w:rsid w:val="001B4DEC"/>
    <w:rsid w:val="001B4FBE"/>
    <w:rsid w:val="001B5542"/>
    <w:rsid w:val="001B663A"/>
    <w:rsid w:val="001B7C58"/>
    <w:rsid w:val="001C0033"/>
    <w:rsid w:val="001C0452"/>
    <w:rsid w:val="001C1074"/>
    <w:rsid w:val="001C12DA"/>
    <w:rsid w:val="001C1365"/>
    <w:rsid w:val="001C1A0C"/>
    <w:rsid w:val="001C1C03"/>
    <w:rsid w:val="001C20E5"/>
    <w:rsid w:val="001C2199"/>
    <w:rsid w:val="001C364C"/>
    <w:rsid w:val="001C3654"/>
    <w:rsid w:val="001C3783"/>
    <w:rsid w:val="001C441B"/>
    <w:rsid w:val="001C5774"/>
    <w:rsid w:val="001C57C0"/>
    <w:rsid w:val="001C6BF6"/>
    <w:rsid w:val="001C707F"/>
    <w:rsid w:val="001C7913"/>
    <w:rsid w:val="001C7EE7"/>
    <w:rsid w:val="001D00C4"/>
    <w:rsid w:val="001D0349"/>
    <w:rsid w:val="001D0583"/>
    <w:rsid w:val="001D09BE"/>
    <w:rsid w:val="001D0BCC"/>
    <w:rsid w:val="001D0E72"/>
    <w:rsid w:val="001D0F51"/>
    <w:rsid w:val="001D18C1"/>
    <w:rsid w:val="001D18FD"/>
    <w:rsid w:val="001D2DA7"/>
    <w:rsid w:val="001D2FC5"/>
    <w:rsid w:val="001D304A"/>
    <w:rsid w:val="001D32C3"/>
    <w:rsid w:val="001D3878"/>
    <w:rsid w:val="001D3A51"/>
    <w:rsid w:val="001D4045"/>
    <w:rsid w:val="001D4A0E"/>
    <w:rsid w:val="001D4BA1"/>
    <w:rsid w:val="001D5084"/>
    <w:rsid w:val="001D51D5"/>
    <w:rsid w:val="001D6072"/>
    <w:rsid w:val="001D617A"/>
    <w:rsid w:val="001D61D4"/>
    <w:rsid w:val="001D6D42"/>
    <w:rsid w:val="001E0041"/>
    <w:rsid w:val="001E121C"/>
    <w:rsid w:val="001E1BDA"/>
    <w:rsid w:val="001E1FF2"/>
    <w:rsid w:val="001E2849"/>
    <w:rsid w:val="001E3508"/>
    <w:rsid w:val="001E39D0"/>
    <w:rsid w:val="001E3DAD"/>
    <w:rsid w:val="001E4462"/>
    <w:rsid w:val="001E4B16"/>
    <w:rsid w:val="001E4C29"/>
    <w:rsid w:val="001E5608"/>
    <w:rsid w:val="001E5C12"/>
    <w:rsid w:val="001E5C7C"/>
    <w:rsid w:val="001E696B"/>
    <w:rsid w:val="001E6CD8"/>
    <w:rsid w:val="001E70C7"/>
    <w:rsid w:val="001E75A5"/>
    <w:rsid w:val="001E7777"/>
    <w:rsid w:val="001E7841"/>
    <w:rsid w:val="001F2352"/>
    <w:rsid w:val="001F247B"/>
    <w:rsid w:val="001F26F5"/>
    <w:rsid w:val="001F2737"/>
    <w:rsid w:val="001F281C"/>
    <w:rsid w:val="001F2A1A"/>
    <w:rsid w:val="001F3819"/>
    <w:rsid w:val="001F3D15"/>
    <w:rsid w:val="001F3E04"/>
    <w:rsid w:val="001F4F10"/>
    <w:rsid w:val="001F5247"/>
    <w:rsid w:val="001F5C5D"/>
    <w:rsid w:val="001F6BE2"/>
    <w:rsid w:val="001F737F"/>
    <w:rsid w:val="001F75A7"/>
    <w:rsid w:val="00200D55"/>
    <w:rsid w:val="00201780"/>
    <w:rsid w:val="002019FF"/>
    <w:rsid w:val="00201AA6"/>
    <w:rsid w:val="00201D05"/>
    <w:rsid w:val="00201D22"/>
    <w:rsid w:val="002020EE"/>
    <w:rsid w:val="002021B3"/>
    <w:rsid w:val="002028DF"/>
    <w:rsid w:val="00202DC6"/>
    <w:rsid w:val="00202E2C"/>
    <w:rsid w:val="00204127"/>
    <w:rsid w:val="00204588"/>
    <w:rsid w:val="002046E5"/>
    <w:rsid w:val="00205988"/>
    <w:rsid w:val="00205EF0"/>
    <w:rsid w:val="0020748B"/>
    <w:rsid w:val="00210610"/>
    <w:rsid w:val="00210C68"/>
    <w:rsid w:val="00211B8A"/>
    <w:rsid w:val="00211D76"/>
    <w:rsid w:val="00212897"/>
    <w:rsid w:val="00212E71"/>
    <w:rsid w:val="00213012"/>
    <w:rsid w:val="00213311"/>
    <w:rsid w:val="00213AC6"/>
    <w:rsid w:val="0021419B"/>
    <w:rsid w:val="00215803"/>
    <w:rsid w:val="002159CF"/>
    <w:rsid w:val="00215BD6"/>
    <w:rsid w:val="00216444"/>
    <w:rsid w:val="002165A0"/>
    <w:rsid w:val="00216BD5"/>
    <w:rsid w:val="00216C7B"/>
    <w:rsid w:val="00217034"/>
    <w:rsid w:val="002171B7"/>
    <w:rsid w:val="00217433"/>
    <w:rsid w:val="0022056F"/>
    <w:rsid w:val="002206ED"/>
    <w:rsid w:val="0022096A"/>
    <w:rsid w:val="00220B35"/>
    <w:rsid w:val="00220F98"/>
    <w:rsid w:val="00221CBB"/>
    <w:rsid w:val="00222006"/>
    <w:rsid w:val="00222719"/>
    <w:rsid w:val="00222AA3"/>
    <w:rsid w:val="00223100"/>
    <w:rsid w:val="002232A7"/>
    <w:rsid w:val="002238B3"/>
    <w:rsid w:val="00223F7A"/>
    <w:rsid w:val="002242A9"/>
    <w:rsid w:val="0022447A"/>
    <w:rsid w:val="00224E40"/>
    <w:rsid w:val="00225212"/>
    <w:rsid w:val="002256E7"/>
    <w:rsid w:val="00225CEC"/>
    <w:rsid w:val="00226505"/>
    <w:rsid w:val="00226745"/>
    <w:rsid w:val="002273DD"/>
    <w:rsid w:val="00227EA0"/>
    <w:rsid w:val="0023004D"/>
    <w:rsid w:val="002301B9"/>
    <w:rsid w:val="002309C4"/>
    <w:rsid w:val="00230B52"/>
    <w:rsid w:val="00230E08"/>
    <w:rsid w:val="00230FB4"/>
    <w:rsid w:val="002311BA"/>
    <w:rsid w:val="00231DD2"/>
    <w:rsid w:val="00232E70"/>
    <w:rsid w:val="00233451"/>
    <w:rsid w:val="0023373A"/>
    <w:rsid w:val="00233CA3"/>
    <w:rsid w:val="00234222"/>
    <w:rsid w:val="002346A6"/>
    <w:rsid w:val="00234925"/>
    <w:rsid w:val="00234998"/>
    <w:rsid w:val="00234D1B"/>
    <w:rsid w:val="0023514F"/>
    <w:rsid w:val="00235337"/>
    <w:rsid w:val="0023566B"/>
    <w:rsid w:val="00235723"/>
    <w:rsid w:val="002361CD"/>
    <w:rsid w:val="00236B6B"/>
    <w:rsid w:val="00236E6B"/>
    <w:rsid w:val="0023768A"/>
    <w:rsid w:val="00237A63"/>
    <w:rsid w:val="00237BE6"/>
    <w:rsid w:val="0024069B"/>
    <w:rsid w:val="002411AA"/>
    <w:rsid w:val="00241522"/>
    <w:rsid w:val="002417F7"/>
    <w:rsid w:val="00241A27"/>
    <w:rsid w:val="00241DB8"/>
    <w:rsid w:val="00243FBE"/>
    <w:rsid w:val="0024465D"/>
    <w:rsid w:val="00244AAE"/>
    <w:rsid w:val="002454C7"/>
    <w:rsid w:val="002456D8"/>
    <w:rsid w:val="0024582F"/>
    <w:rsid w:val="00245F83"/>
    <w:rsid w:val="0024619F"/>
    <w:rsid w:val="00246B6C"/>
    <w:rsid w:val="00246C23"/>
    <w:rsid w:val="00246FEA"/>
    <w:rsid w:val="00247628"/>
    <w:rsid w:val="00247B2B"/>
    <w:rsid w:val="00247CF3"/>
    <w:rsid w:val="00250B92"/>
    <w:rsid w:val="00252264"/>
    <w:rsid w:val="002522ED"/>
    <w:rsid w:val="002523A6"/>
    <w:rsid w:val="00252AA2"/>
    <w:rsid w:val="00253533"/>
    <w:rsid w:val="00253CC9"/>
    <w:rsid w:val="00254477"/>
    <w:rsid w:val="00254CE8"/>
    <w:rsid w:val="00254D18"/>
    <w:rsid w:val="00255450"/>
    <w:rsid w:val="00255652"/>
    <w:rsid w:val="002556CF"/>
    <w:rsid w:val="002559E2"/>
    <w:rsid w:val="0025610B"/>
    <w:rsid w:val="002564EE"/>
    <w:rsid w:val="0025678E"/>
    <w:rsid w:val="0025764B"/>
    <w:rsid w:val="00257D52"/>
    <w:rsid w:val="002604AB"/>
    <w:rsid w:val="00260E2A"/>
    <w:rsid w:val="0026119A"/>
    <w:rsid w:val="00262405"/>
    <w:rsid w:val="002629B9"/>
    <w:rsid w:val="00262DA6"/>
    <w:rsid w:val="00263005"/>
    <w:rsid w:val="00263FC5"/>
    <w:rsid w:val="002641E9"/>
    <w:rsid w:val="00264ED0"/>
    <w:rsid w:val="0026535E"/>
    <w:rsid w:val="002659A0"/>
    <w:rsid w:val="00265F97"/>
    <w:rsid w:val="002663E7"/>
    <w:rsid w:val="00267589"/>
    <w:rsid w:val="00267B00"/>
    <w:rsid w:val="002700F5"/>
    <w:rsid w:val="00270696"/>
    <w:rsid w:val="00270D34"/>
    <w:rsid w:val="0027132F"/>
    <w:rsid w:val="00271426"/>
    <w:rsid w:val="00271A4A"/>
    <w:rsid w:val="002722A6"/>
    <w:rsid w:val="00272BAE"/>
    <w:rsid w:val="00273475"/>
    <w:rsid w:val="002736C6"/>
    <w:rsid w:val="002736E0"/>
    <w:rsid w:val="0027434D"/>
    <w:rsid w:val="00274469"/>
    <w:rsid w:val="0027521B"/>
    <w:rsid w:val="0027524B"/>
    <w:rsid w:val="00275713"/>
    <w:rsid w:val="00275BC5"/>
    <w:rsid w:val="00275F02"/>
    <w:rsid w:val="0027656E"/>
    <w:rsid w:val="00276639"/>
    <w:rsid w:val="002769AC"/>
    <w:rsid w:val="00276BA6"/>
    <w:rsid w:val="00276D61"/>
    <w:rsid w:val="002770FC"/>
    <w:rsid w:val="0027747C"/>
    <w:rsid w:val="00277901"/>
    <w:rsid w:val="00277B1C"/>
    <w:rsid w:val="00277B6F"/>
    <w:rsid w:val="00277D0F"/>
    <w:rsid w:val="00277F22"/>
    <w:rsid w:val="0028038C"/>
    <w:rsid w:val="00280D1E"/>
    <w:rsid w:val="00280DFE"/>
    <w:rsid w:val="002814FF"/>
    <w:rsid w:val="00281967"/>
    <w:rsid w:val="00281C75"/>
    <w:rsid w:val="00281D4C"/>
    <w:rsid w:val="0028230C"/>
    <w:rsid w:val="002829D4"/>
    <w:rsid w:val="00282D2C"/>
    <w:rsid w:val="002835F4"/>
    <w:rsid w:val="00284B1F"/>
    <w:rsid w:val="00284D56"/>
    <w:rsid w:val="00284DBC"/>
    <w:rsid w:val="002857E6"/>
    <w:rsid w:val="00285894"/>
    <w:rsid w:val="00285E00"/>
    <w:rsid w:val="00285F3F"/>
    <w:rsid w:val="00286B5A"/>
    <w:rsid w:val="00286DA3"/>
    <w:rsid w:val="00290D9C"/>
    <w:rsid w:val="00290E14"/>
    <w:rsid w:val="002913CF"/>
    <w:rsid w:val="0029175C"/>
    <w:rsid w:val="00292E70"/>
    <w:rsid w:val="00293018"/>
    <w:rsid w:val="00293091"/>
    <w:rsid w:val="00293371"/>
    <w:rsid w:val="00293433"/>
    <w:rsid w:val="00293D84"/>
    <w:rsid w:val="00293E48"/>
    <w:rsid w:val="00294CD7"/>
    <w:rsid w:val="0029545C"/>
    <w:rsid w:val="00295612"/>
    <w:rsid w:val="002956B5"/>
    <w:rsid w:val="00295BD7"/>
    <w:rsid w:val="00296262"/>
    <w:rsid w:val="00296DB6"/>
    <w:rsid w:val="00297242"/>
    <w:rsid w:val="00297384"/>
    <w:rsid w:val="002977AF"/>
    <w:rsid w:val="002A007D"/>
    <w:rsid w:val="002A047E"/>
    <w:rsid w:val="002A0A24"/>
    <w:rsid w:val="002A0D0F"/>
    <w:rsid w:val="002A0E7E"/>
    <w:rsid w:val="002A0FED"/>
    <w:rsid w:val="002A0FEF"/>
    <w:rsid w:val="002A0FF4"/>
    <w:rsid w:val="002A0FFB"/>
    <w:rsid w:val="002A1050"/>
    <w:rsid w:val="002A141B"/>
    <w:rsid w:val="002A1432"/>
    <w:rsid w:val="002A1A5A"/>
    <w:rsid w:val="002A315C"/>
    <w:rsid w:val="002A3E32"/>
    <w:rsid w:val="002A3F9F"/>
    <w:rsid w:val="002A43EF"/>
    <w:rsid w:val="002A450D"/>
    <w:rsid w:val="002A4AEB"/>
    <w:rsid w:val="002A4DBC"/>
    <w:rsid w:val="002A547A"/>
    <w:rsid w:val="002A566D"/>
    <w:rsid w:val="002A568F"/>
    <w:rsid w:val="002A72E4"/>
    <w:rsid w:val="002A783A"/>
    <w:rsid w:val="002A7D3A"/>
    <w:rsid w:val="002A7E87"/>
    <w:rsid w:val="002B0C21"/>
    <w:rsid w:val="002B0CCF"/>
    <w:rsid w:val="002B15E3"/>
    <w:rsid w:val="002B28AD"/>
    <w:rsid w:val="002B30C1"/>
    <w:rsid w:val="002B31E2"/>
    <w:rsid w:val="002B3FE8"/>
    <w:rsid w:val="002B51C9"/>
    <w:rsid w:val="002B5225"/>
    <w:rsid w:val="002B6CFB"/>
    <w:rsid w:val="002B72FD"/>
    <w:rsid w:val="002B7E0E"/>
    <w:rsid w:val="002C02CC"/>
    <w:rsid w:val="002C0D26"/>
    <w:rsid w:val="002C1560"/>
    <w:rsid w:val="002C1798"/>
    <w:rsid w:val="002C1F73"/>
    <w:rsid w:val="002C287D"/>
    <w:rsid w:val="002C3138"/>
    <w:rsid w:val="002C344C"/>
    <w:rsid w:val="002C3C59"/>
    <w:rsid w:val="002C4B68"/>
    <w:rsid w:val="002C4C17"/>
    <w:rsid w:val="002C4C4D"/>
    <w:rsid w:val="002C4ECA"/>
    <w:rsid w:val="002C5A5A"/>
    <w:rsid w:val="002C5EA2"/>
    <w:rsid w:val="002C6D23"/>
    <w:rsid w:val="002C6D98"/>
    <w:rsid w:val="002C6F12"/>
    <w:rsid w:val="002C7787"/>
    <w:rsid w:val="002C7792"/>
    <w:rsid w:val="002C77AD"/>
    <w:rsid w:val="002C7925"/>
    <w:rsid w:val="002C7DC9"/>
    <w:rsid w:val="002C7EA5"/>
    <w:rsid w:val="002D018F"/>
    <w:rsid w:val="002D029D"/>
    <w:rsid w:val="002D0321"/>
    <w:rsid w:val="002D0717"/>
    <w:rsid w:val="002D073D"/>
    <w:rsid w:val="002D08AC"/>
    <w:rsid w:val="002D0D16"/>
    <w:rsid w:val="002D1138"/>
    <w:rsid w:val="002D13DF"/>
    <w:rsid w:val="002D1580"/>
    <w:rsid w:val="002D2F27"/>
    <w:rsid w:val="002D32C7"/>
    <w:rsid w:val="002D3513"/>
    <w:rsid w:val="002D3A51"/>
    <w:rsid w:val="002D3DA8"/>
    <w:rsid w:val="002D3E5A"/>
    <w:rsid w:val="002D4100"/>
    <w:rsid w:val="002D426F"/>
    <w:rsid w:val="002D4A4C"/>
    <w:rsid w:val="002D51E4"/>
    <w:rsid w:val="002D57CB"/>
    <w:rsid w:val="002D69C9"/>
    <w:rsid w:val="002D69E4"/>
    <w:rsid w:val="002D6DA7"/>
    <w:rsid w:val="002D742B"/>
    <w:rsid w:val="002D7CA9"/>
    <w:rsid w:val="002D7F02"/>
    <w:rsid w:val="002D908D"/>
    <w:rsid w:val="002E0990"/>
    <w:rsid w:val="002E0C5E"/>
    <w:rsid w:val="002E0EC0"/>
    <w:rsid w:val="002E1161"/>
    <w:rsid w:val="002E194F"/>
    <w:rsid w:val="002E1A18"/>
    <w:rsid w:val="002E1CD3"/>
    <w:rsid w:val="002E1F30"/>
    <w:rsid w:val="002E2E2C"/>
    <w:rsid w:val="002E375D"/>
    <w:rsid w:val="002E37A7"/>
    <w:rsid w:val="002E395E"/>
    <w:rsid w:val="002E4426"/>
    <w:rsid w:val="002E4538"/>
    <w:rsid w:val="002E491D"/>
    <w:rsid w:val="002E4EF3"/>
    <w:rsid w:val="002E5A2A"/>
    <w:rsid w:val="002E6066"/>
    <w:rsid w:val="002E6332"/>
    <w:rsid w:val="002E6CB5"/>
    <w:rsid w:val="002E6D96"/>
    <w:rsid w:val="002E73B5"/>
    <w:rsid w:val="002E7956"/>
    <w:rsid w:val="002E7BF5"/>
    <w:rsid w:val="002F19CC"/>
    <w:rsid w:val="002F1D58"/>
    <w:rsid w:val="002F2182"/>
    <w:rsid w:val="002F21E3"/>
    <w:rsid w:val="002F2E69"/>
    <w:rsid w:val="002F3721"/>
    <w:rsid w:val="002F3C5B"/>
    <w:rsid w:val="002F5251"/>
    <w:rsid w:val="002F5535"/>
    <w:rsid w:val="002F5678"/>
    <w:rsid w:val="002F5A6E"/>
    <w:rsid w:val="002F5EBF"/>
    <w:rsid w:val="002F7109"/>
    <w:rsid w:val="002F724C"/>
    <w:rsid w:val="00300046"/>
    <w:rsid w:val="00300302"/>
    <w:rsid w:val="00300548"/>
    <w:rsid w:val="00300FBF"/>
    <w:rsid w:val="00301CE7"/>
    <w:rsid w:val="00302644"/>
    <w:rsid w:val="00302EB8"/>
    <w:rsid w:val="00303AA0"/>
    <w:rsid w:val="00303DAB"/>
    <w:rsid w:val="003043F5"/>
    <w:rsid w:val="00304491"/>
    <w:rsid w:val="00304A98"/>
    <w:rsid w:val="00305E1C"/>
    <w:rsid w:val="00306C8B"/>
    <w:rsid w:val="00306DAA"/>
    <w:rsid w:val="00307190"/>
    <w:rsid w:val="00310C1F"/>
    <w:rsid w:val="00310D3B"/>
    <w:rsid w:val="00310F2E"/>
    <w:rsid w:val="00311092"/>
    <w:rsid w:val="003115D2"/>
    <w:rsid w:val="0031174E"/>
    <w:rsid w:val="00311939"/>
    <w:rsid w:val="00311F35"/>
    <w:rsid w:val="00312599"/>
    <w:rsid w:val="00312653"/>
    <w:rsid w:val="00312710"/>
    <w:rsid w:val="00312BCB"/>
    <w:rsid w:val="00312CF0"/>
    <w:rsid w:val="00312CF1"/>
    <w:rsid w:val="00312E61"/>
    <w:rsid w:val="00313401"/>
    <w:rsid w:val="00313557"/>
    <w:rsid w:val="00314FD3"/>
    <w:rsid w:val="003154AF"/>
    <w:rsid w:val="00315F26"/>
    <w:rsid w:val="003163E1"/>
    <w:rsid w:val="003164DC"/>
    <w:rsid w:val="00320B2E"/>
    <w:rsid w:val="00321321"/>
    <w:rsid w:val="003214FA"/>
    <w:rsid w:val="0032156F"/>
    <w:rsid w:val="00321BC1"/>
    <w:rsid w:val="00322448"/>
    <w:rsid w:val="00322BB1"/>
    <w:rsid w:val="00323094"/>
    <w:rsid w:val="003231C6"/>
    <w:rsid w:val="00323513"/>
    <w:rsid w:val="0032360A"/>
    <w:rsid w:val="00323D54"/>
    <w:rsid w:val="00324EDF"/>
    <w:rsid w:val="00326300"/>
    <w:rsid w:val="00326A26"/>
    <w:rsid w:val="00326A69"/>
    <w:rsid w:val="00326EFE"/>
    <w:rsid w:val="00326FBF"/>
    <w:rsid w:val="003271AE"/>
    <w:rsid w:val="003277E3"/>
    <w:rsid w:val="00330870"/>
    <w:rsid w:val="00331662"/>
    <w:rsid w:val="00331C82"/>
    <w:rsid w:val="0033287D"/>
    <w:rsid w:val="00332CFF"/>
    <w:rsid w:val="00333318"/>
    <w:rsid w:val="00333475"/>
    <w:rsid w:val="003335AB"/>
    <w:rsid w:val="00333DE3"/>
    <w:rsid w:val="003341AA"/>
    <w:rsid w:val="003346BC"/>
    <w:rsid w:val="00334743"/>
    <w:rsid w:val="00334A70"/>
    <w:rsid w:val="00335336"/>
    <w:rsid w:val="0033593C"/>
    <w:rsid w:val="003359C0"/>
    <w:rsid w:val="00335C71"/>
    <w:rsid w:val="00336E2F"/>
    <w:rsid w:val="003373FE"/>
    <w:rsid w:val="00337556"/>
    <w:rsid w:val="003377A2"/>
    <w:rsid w:val="00337EE2"/>
    <w:rsid w:val="00340195"/>
    <w:rsid w:val="003407FB"/>
    <w:rsid w:val="00340C35"/>
    <w:rsid w:val="00340D4D"/>
    <w:rsid w:val="00341610"/>
    <w:rsid w:val="00341AEB"/>
    <w:rsid w:val="00341E15"/>
    <w:rsid w:val="00342BD4"/>
    <w:rsid w:val="00342C59"/>
    <w:rsid w:val="00342DCF"/>
    <w:rsid w:val="00343740"/>
    <w:rsid w:val="003446C1"/>
    <w:rsid w:val="0034492F"/>
    <w:rsid w:val="00345624"/>
    <w:rsid w:val="00346A76"/>
    <w:rsid w:val="00346B06"/>
    <w:rsid w:val="00346B9D"/>
    <w:rsid w:val="003471AD"/>
    <w:rsid w:val="00347711"/>
    <w:rsid w:val="003501DB"/>
    <w:rsid w:val="0035085F"/>
    <w:rsid w:val="00351ACD"/>
    <w:rsid w:val="00352295"/>
    <w:rsid w:val="00352B59"/>
    <w:rsid w:val="00352D70"/>
    <w:rsid w:val="0035381D"/>
    <w:rsid w:val="00354D7F"/>
    <w:rsid w:val="00354FEA"/>
    <w:rsid w:val="00355950"/>
    <w:rsid w:val="00355FBD"/>
    <w:rsid w:val="00356575"/>
    <w:rsid w:val="00356AE5"/>
    <w:rsid w:val="00356BE0"/>
    <w:rsid w:val="00360260"/>
    <w:rsid w:val="00360690"/>
    <w:rsid w:val="003606A6"/>
    <w:rsid w:val="003607E7"/>
    <w:rsid w:val="00360C83"/>
    <w:rsid w:val="0036240C"/>
    <w:rsid w:val="00362756"/>
    <w:rsid w:val="00362FB3"/>
    <w:rsid w:val="00363731"/>
    <w:rsid w:val="00363B5E"/>
    <w:rsid w:val="00363F2A"/>
    <w:rsid w:val="00363FF3"/>
    <w:rsid w:val="00364BED"/>
    <w:rsid w:val="00365421"/>
    <w:rsid w:val="00366BE1"/>
    <w:rsid w:val="00366D47"/>
    <w:rsid w:val="00367A66"/>
    <w:rsid w:val="00367A82"/>
    <w:rsid w:val="00367D15"/>
    <w:rsid w:val="00367D34"/>
    <w:rsid w:val="00367E53"/>
    <w:rsid w:val="00370CDC"/>
    <w:rsid w:val="0037124F"/>
    <w:rsid w:val="00371D4E"/>
    <w:rsid w:val="003727A6"/>
    <w:rsid w:val="003731A1"/>
    <w:rsid w:val="003736B3"/>
    <w:rsid w:val="00373755"/>
    <w:rsid w:val="003739DE"/>
    <w:rsid w:val="00373D02"/>
    <w:rsid w:val="00374716"/>
    <w:rsid w:val="00374E97"/>
    <w:rsid w:val="00374FFE"/>
    <w:rsid w:val="0037566C"/>
    <w:rsid w:val="00375A8D"/>
    <w:rsid w:val="00375F06"/>
    <w:rsid w:val="0037737A"/>
    <w:rsid w:val="00377475"/>
    <w:rsid w:val="00377FF5"/>
    <w:rsid w:val="003801F5"/>
    <w:rsid w:val="003806B9"/>
    <w:rsid w:val="0038087C"/>
    <w:rsid w:val="00380EEF"/>
    <w:rsid w:val="003813E8"/>
    <w:rsid w:val="0038234C"/>
    <w:rsid w:val="00382747"/>
    <w:rsid w:val="00382A0F"/>
    <w:rsid w:val="00382DB7"/>
    <w:rsid w:val="00382E81"/>
    <w:rsid w:val="003833E7"/>
    <w:rsid w:val="00383734"/>
    <w:rsid w:val="00383BDE"/>
    <w:rsid w:val="0038403D"/>
    <w:rsid w:val="003840DE"/>
    <w:rsid w:val="003841B3"/>
    <w:rsid w:val="00384AEA"/>
    <w:rsid w:val="00384B53"/>
    <w:rsid w:val="00384F40"/>
    <w:rsid w:val="00386B63"/>
    <w:rsid w:val="003878E3"/>
    <w:rsid w:val="00390211"/>
    <w:rsid w:val="00390A3F"/>
    <w:rsid w:val="00390BA9"/>
    <w:rsid w:val="00390D80"/>
    <w:rsid w:val="003913F2"/>
    <w:rsid w:val="00391571"/>
    <w:rsid w:val="00392066"/>
    <w:rsid w:val="00392300"/>
    <w:rsid w:val="00392714"/>
    <w:rsid w:val="00392845"/>
    <w:rsid w:val="0039353B"/>
    <w:rsid w:val="00393C34"/>
    <w:rsid w:val="00394A24"/>
    <w:rsid w:val="003950D0"/>
    <w:rsid w:val="003956F1"/>
    <w:rsid w:val="00396A9E"/>
    <w:rsid w:val="00396AD3"/>
    <w:rsid w:val="00396D51"/>
    <w:rsid w:val="00396FDF"/>
    <w:rsid w:val="003974FC"/>
    <w:rsid w:val="003978B5"/>
    <w:rsid w:val="003A0029"/>
    <w:rsid w:val="003A1000"/>
    <w:rsid w:val="003A1F7F"/>
    <w:rsid w:val="003A2044"/>
    <w:rsid w:val="003A2404"/>
    <w:rsid w:val="003A2636"/>
    <w:rsid w:val="003A2695"/>
    <w:rsid w:val="003A2B7D"/>
    <w:rsid w:val="003A419A"/>
    <w:rsid w:val="003A4202"/>
    <w:rsid w:val="003A4E8B"/>
    <w:rsid w:val="003A5672"/>
    <w:rsid w:val="003A5857"/>
    <w:rsid w:val="003A5974"/>
    <w:rsid w:val="003A5B41"/>
    <w:rsid w:val="003A5D1B"/>
    <w:rsid w:val="003A606D"/>
    <w:rsid w:val="003A6893"/>
    <w:rsid w:val="003A6A80"/>
    <w:rsid w:val="003A6BD4"/>
    <w:rsid w:val="003A7A2F"/>
    <w:rsid w:val="003A7DAB"/>
    <w:rsid w:val="003B0344"/>
    <w:rsid w:val="003B0668"/>
    <w:rsid w:val="003B0AAD"/>
    <w:rsid w:val="003B1AAA"/>
    <w:rsid w:val="003B1B58"/>
    <w:rsid w:val="003B1C79"/>
    <w:rsid w:val="003B28A3"/>
    <w:rsid w:val="003B2DEB"/>
    <w:rsid w:val="003B3548"/>
    <w:rsid w:val="003B3551"/>
    <w:rsid w:val="003B35FE"/>
    <w:rsid w:val="003B565F"/>
    <w:rsid w:val="003B566C"/>
    <w:rsid w:val="003B6896"/>
    <w:rsid w:val="003B68FB"/>
    <w:rsid w:val="003B6EBD"/>
    <w:rsid w:val="003B728F"/>
    <w:rsid w:val="003B7952"/>
    <w:rsid w:val="003B795B"/>
    <w:rsid w:val="003B7AB9"/>
    <w:rsid w:val="003B7DDF"/>
    <w:rsid w:val="003C0D8B"/>
    <w:rsid w:val="003C0DC8"/>
    <w:rsid w:val="003C0E97"/>
    <w:rsid w:val="003C1EB2"/>
    <w:rsid w:val="003C2330"/>
    <w:rsid w:val="003C2515"/>
    <w:rsid w:val="003C2900"/>
    <w:rsid w:val="003C33AF"/>
    <w:rsid w:val="003C3C7F"/>
    <w:rsid w:val="003C4C60"/>
    <w:rsid w:val="003C4DC0"/>
    <w:rsid w:val="003C55AA"/>
    <w:rsid w:val="003C62F8"/>
    <w:rsid w:val="003C684A"/>
    <w:rsid w:val="003C6A3B"/>
    <w:rsid w:val="003C6CD7"/>
    <w:rsid w:val="003C6FB3"/>
    <w:rsid w:val="003C7DAF"/>
    <w:rsid w:val="003D07F1"/>
    <w:rsid w:val="003D09ED"/>
    <w:rsid w:val="003D0C38"/>
    <w:rsid w:val="003D1137"/>
    <w:rsid w:val="003D117C"/>
    <w:rsid w:val="003D119E"/>
    <w:rsid w:val="003D1BEB"/>
    <w:rsid w:val="003D228F"/>
    <w:rsid w:val="003D3372"/>
    <w:rsid w:val="003D3D29"/>
    <w:rsid w:val="003D3FD5"/>
    <w:rsid w:val="003D6676"/>
    <w:rsid w:val="003D69EB"/>
    <w:rsid w:val="003D6F58"/>
    <w:rsid w:val="003D7C89"/>
    <w:rsid w:val="003E00B5"/>
    <w:rsid w:val="003E2416"/>
    <w:rsid w:val="003E27D3"/>
    <w:rsid w:val="003E2C9C"/>
    <w:rsid w:val="003E3349"/>
    <w:rsid w:val="003E4E13"/>
    <w:rsid w:val="003E506A"/>
    <w:rsid w:val="003E52D4"/>
    <w:rsid w:val="003E556E"/>
    <w:rsid w:val="003E5697"/>
    <w:rsid w:val="003E5744"/>
    <w:rsid w:val="003E5C22"/>
    <w:rsid w:val="003E6640"/>
    <w:rsid w:val="003E671A"/>
    <w:rsid w:val="003E69DA"/>
    <w:rsid w:val="003E7141"/>
    <w:rsid w:val="003E7797"/>
    <w:rsid w:val="003E779A"/>
    <w:rsid w:val="003E7DB6"/>
    <w:rsid w:val="003F12CA"/>
    <w:rsid w:val="003F1C2D"/>
    <w:rsid w:val="003F1C89"/>
    <w:rsid w:val="003F23B9"/>
    <w:rsid w:val="003F284D"/>
    <w:rsid w:val="003F2A0F"/>
    <w:rsid w:val="003F3145"/>
    <w:rsid w:val="003F3A8B"/>
    <w:rsid w:val="003F3D53"/>
    <w:rsid w:val="003F3D76"/>
    <w:rsid w:val="003F3F52"/>
    <w:rsid w:val="003F4375"/>
    <w:rsid w:val="003F4BF3"/>
    <w:rsid w:val="003F57A8"/>
    <w:rsid w:val="003F5FE6"/>
    <w:rsid w:val="003F6052"/>
    <w:rsid w:val="003F7969"/>
    <w:rsid w:val="004007E0"/>
    <w:rsid w:val="004009D5"/>
    <w:rsid w:val="00400B3E"/>
    <w:rsid w:val="00400EB3"/>
    <w:rsid w:val="004017A4"/>
    <w:rsid w:val="0040192A"/>
    <w:rsid w:val="00401C2A"/>
    <w:rsid w:val="0040206C"/>
    <w:rsid w:val="00402F5D"/>
    <w:rsid w:val="0040308D"/>
    <w:rsid w:val="00403492"/>
    <w:rsid w:val="004034F0"/>
    <w:rsid w:val="004041CD"/>
    <w:rsid w:val="00404839"/>
    <w:rsid w:val="0040493E"/>
    <w:rsid w:val="00405204"/>
    <w:rsid w:val="00405617"/>
    <w:rsid w:val="0040579E"/>
    <w:rsid w:val="00406166"/>
    <w:rsid w:val="00406A4C"/>
    <w:rsid w:val="004102FF"/>
    <w:rsid w:val="00410A30"/>
    <w:rsid w:val="00411454"/>
    <w:rsid w:val="0041166F"/>
    <w:rsid w:val="0041187D"/>
    <w:rsid w:val="00411EA0"/>
    <w:rsid w:val="004126E3"/>
    <w:rsid w:val="00412CA3"/>
    <w:rsid w:val="00412E66"/>
    <w:rsid w:val="00413877"/>
    <w:rsid w:val="00413E88"/>
    <w:rsid w:val="00414DF3"/>
    <w:rsid w:val="00414E06"/>
    <w:rsid w:val="004167F2"/>
    <w:rsid w:val="00416B7D"/>
    <w:rsid w:val="004170E8"/>
    <w:rsid w:val="00417118"/>
    <w:rsid w:val="00420494"/>
    <w:rsid w:val="00420E64"/>
    <w:rsid w:val="00421212"/>
    <w:rsid w:val="00421633"/>
    <w:rsid w:val="00421842"/>
    <w:rsid w:val="0042199F"/>
    <w:rsid w:val="004225CF"/>
    <w:rsid w:val="00422BCD"/>
    <w:rsid w:val="00423240"/>
    <w:rsid w:val="00423559"/>
    <w:rsid w:val="00423804"/>
    <w:rsid w:val="00423D18"/>
    <w:rsid w:val="00424048"/>
    <w:rsid w:val="0042439A"/>
    <w:rsid w:val="004244F0"/>
    <w:rsid w:val="004249B1"/>
    <w:rsid w:val="00425939"/>
    <w:rsid w:val="00426104"/>
    <w:rsid w:val="004265F4"/>
    <w:rsid w:val="00426ACB"/>
    <w:rsid w:val="00426F76"/>
    <w:rsid w:val="00427DAA"/>
    <w:rsid w:val="00430E8A"/>
    <w:rsid w:val="004316CE"/>
    <w:rsid w:val="00431F50"/>
    <w:rsid w:val="00432216"/>
    <w:rsid w:val="004322D9"/>
    <w:rsid w:val="00432767"/>
    <w:rsid w:val="00432ADF"/>
    <w:rsid w:val="0043368F"/>
    <w:rsid w:val="00433733"/>
    <w:rsid w:val="0043378B"/>
    <w:rsid w:val="004337E9"/>
    <w:rsid w:val="00433EEE"/>
    <w:rsid w:val="00433F29"/>
    <w:rsid w:val="004340C7"/>
    <w:rsid w:val="00434142"/>
    <w:rsid w:val="0043462F"/>
    <w:rsid w:val="004348CF"/>
    <w:rsid w:val="0043540A"/>
    <w:rsid w:val="00435915"/>
    <w:rsid w:val="004360FE"/>
    <w:rsid w:val="004369B8"/>
    <w:rsid w:val="004400D0"/>
    <w:rsid w:val="004405AF"/>
    <w:rsid w:val="00440D28"/>
    <w:rsid w:val="0044110C"/>
    <w:rsid w:val="00441139"/>
    <w:rsid w:val="004411B2"/>
    <w:rsid w:val="00442483"/>
    <w:rsid w:val="004429D6"/>
    <w:rsid w:val="00442DB1"/>
    <w:rsid w:val="00444414"/>
    <w:rsid w:val="004444B5"/>
    <w:rsid w:val="00444D1F"/>
    <w:rsid w:val="00445826"/>
    <w:rsid w:val="00445EA9"/>
    <w:rsid w:val="004461DF"/>
    <w:rsid w:val="00446779"/>
    <w:rsid w:val="00446C36"/>
    <w:rsid w:val="00446E81"/>
    <w:rsid w:val="00447469"/>
    <w:rsid w:val="00447966"/>
    <w:rsid w:val="0045072B"/>
    <w:rsid w:val="00451384"/>
    <w:rsid w:val="00451558"/>
    <w:rsid w:val="0045176A"/>
    <w:rsid w:val="00451F97"/>
    <w:rsid w:val="00451FA2"/>
    <w:rsid w:val="004525CD"/>
    <w:rsid w:val="0045272E"/>
    <w:rsid w:val="004534F5"/>
    <w:rsid w:val="004540B6"/>
    <w:rsid w:val="00454573"/>
    <w:rsid w:val="0045477C"/>
    <w:rsid w:val="00455BA0"/>
    <w:rsid w:val="0045618C"/>
    <w:rsid w:val="0045628E"/>
    <w:rsid w:val="004569AB"/>
    <w:rsid w:val="0045716C"/>
    <w:rsid w:val="00457255"/>
    <w:rsid w:val="00457335"/>
    <w:rsid w:val="00457FEC"/>
    <w:rsid w:val="004602C6"/>
    <w:rsid w:val="0046070B"/>
    <w:rsid w:val="00460978"/>
    <w:rsid w:val="00460CDD"/>
    <w:rsid w:val="0046145C"/>
    <w:rsid w:val="004617BF"/>
    <w:rsid w:val="0046225D"/>
    <w:rsid w:val="00462582"/>
    <w:rsid w:val="00462792"/>
    <w:rsid w:val="00462CD7"/>
    <w:rsid w:val="00462E33"/>
    <w:rsid w:val="00463141"/>
    <w:rsid w:val="00463CA6"/>
    <w:rsid w:val="00463D4C"/>
    <w:rsid w:val="004658E5"/>
    <w:rsid w:val="0046644C"/>
    <w:rsid w:val="00466A77"/>
    <w:rsid w:val="0046762E"/>
    <w:rsid w:val="0046837F"/>
    <w:rsid w:val="00470110"/>
    <w:rsid w:val="004709C6"/>
    <w:rsid w:val="00470BEB"/>
    <w:rsid w:val="00470E90"/>
    <w:rsid w:val="00471B77"/>
    <w:rsid w:val="00471C29"/>
    <w:rsid w:val="00472C19"/>
    <w:rsid w:val="004738E7"/>
    <w:rsid w:val="00473C05"/>
    <w:rsid w:val="00473FBE"/>
    <w:rsid w:val="00474BA9"/>
    <w:rsid w:val="00474E01"/>
    <w:rsid w:val="004753E2"/>
    <w:rsid w:val="00475A29"/>
    <w:rsid w:val="00475CC7"/>
    <w:rsid w:val="00476400"/>
    <w:rsid w:val="0047655F"/>
    <w:rsid w:val="004765D8"/>
    <w:rsid w:val="004769F9"/>
    <w:rsid w:val="0047754D"/>
    <w:rsid w:val="00477B28"/>
    <w:rsid w:val="00477B5E"/>
    <w:rsid w:val="00477EC1"/>
    <w:rsid w:val="004807CB"/>
    <w:rsid w:val="00480A98"/>
    <w:rsid w:val="00480E7E"/>
    <w:rsid w:val="00480EE8"/>
    <w:rsid w:val="00481A07"/>
    <w:rsid w:val="00481A16"/>
    <w:rsid w:val="00481A3E"/>
    <w:rsid w:val="004822FA"/>
    <w:rsid w:val="004823E9"/>
    <w:rsid w:val="0048252E"/>
    <w:rsid w:val="00482F33"/>
    <w:rsid w:val="004830EC"/>
    <w:rsid w:val="00483187"/>
    <w:rsid w:val="00483899"/>
    <w:rsid w:val="00483938"/>
    <w:rsid w:val="00483A7E"/>
    <w:rsid w:val="00483D91"/>
    <w:rsid w:val="00483ED7"/>
    <w:rsid w:val="00484189"/>
    <w:rsid w:val="00484303"/>
    <w:rsid w:val="0048446B"/>
    <w:rsid w:val="00484DC4"/>
    <w:rsid w:val="00484DE9"/>
    <w:rsid w:val="00485988"/>
    <w:rsid w:val="00485C3D"/>
    <w:rsid w:val="00486008"/>
    <w:rsid w:val="004864E9"/>
    <w:rsid w:val="00490C0D"/>
    <w:rsid w:val="0049114D"/>
    <w:rsid w:val="004912C0"/>
    <w:rsid w:val="00491AD6"/>
    <w:rsid w:val="00491BBD"/>
    <w:rsid w:val="00492096"/>
    <w:rsid w:val="00493962"/>
    <w:rsid w:val="00493BE7"/>
    <w:rsid w:val="00493FC8"/>
    <w:rsid w:val="00494067"/>
    <w:rsid w:val="0049490B"/>
    <w:rsid w:val="00494A86"/>
    <w:rsid w:val="00494F5F"/>
    <w:rsid w:val="004951C0"/>
    <w:rsid w:val="00495E94"/>
    <w:rsid w:val="00495F5D"/>
    <w:rsid w:val="004962F2"/>
    <w:rsid w:val="00496930"/>
    <w:rsid w:val="00497725"/>
    <w:rsid w:val="00497C8B"/>
    <w:rsid w:val="004A1026"/>
    <w:rsid w:val="004A1312"/>
    <w:rsid w:val="004A1912"/>
    <w:rsid w:val="004A1D5D"/>
    <w:rsid w:val="004A350C"/>
    <w:rsid w:val="004A3844"/>
    <w:rsid w:val="004A3AA3"/>
    <w:rsid w:val="004A4547"/>
    <w:rsid w:val="004A460C"/>
    <w:rsid w:val="004A599B"/>
    <w:rsid w:val="004A5BE8"/>
    <w:rsid w:val="004A71D8"/>
    <w:rsid w:val="004B1AF5"/>
    <w:rsid w:val="004B215F"/>
    <w:rsid w:val="004B27DE"/>
    <w:rsid w:val="004B2F4E"/>
    <w:rsid w:val="004B394F"/>
    <w:rsid w:val="004B4309"/>
    <w:rsid w:val="004B4397"/>
    <w:rsid w:val="004B43D2"/>
    <w:rsid w:val="004B469B"/>
    <w:rsid w:val="004B514E"/>
    <w:rsid w:val="004B5C10"/>
    <w:rsid w:val="004B63A7"/>
    <w:rsid w:val="004B64B3"/>
    <w:rsid w:val="004B7934"/>
    <w:rsid w:val="004BF17A"/>
    <w:rsid w:val="004C03E5"/>
    <w:rsid w:val="004C07B1"/>
    <w:rsid w:val="004C0B4D"/>
    <w:rsid w:val="004C1220"/>
    <w:rsid w:val="004C1471"/>
    <w:rsid w:val="004C18E6"/>
    <w:rsid w:val="004C1E2D"/>
    <w:rsid w:val="004C2585"/>
    <w:rsid w:val="004C2DE5"/>
    <w:rsid w:val="004C39C3"/>
    <w:rsid w:val="004C401E"/>
    <w:rsid w:val="004C435E"/>
    <w:rsid w:val="004C44A4"/>
    <w:rsid w:val="004C49C5"/>
    <w:rsid w:val="004C4B06"/>
    <w:rsid w:val="004C5D5B"/>
    <w:rsid w:val="004C5F13"/>
    <w:rsid w:val="004C6633"/>
    <w:rsid w:val="004C6F4B"/>
    <w:rsid w:val="004C7200"/>
    <w:rsid w:val="004D0A0B"/>
    <w:rsid w:val="004D139E"/>
    <w:rsid w:val="004D14A8"/>
    <w:rsid w:val="004D1EE0"/>
    <w:rsid w:val="004D259B"/>
    <w:rsid w:val="004D28BF"/>
    <w:rsid w:val="004D2FF3"/>
    <w:rsid w:val="004D3ECB"/>
    <w:rsid w:val="004D433E"/>
    <w:rsid w:val="004D455E"/>
    <w:rsid w:val="004D4FAC"/>
    <w:rsid w:val="004D5488"/>
    <w:rsid w:val="004D691B"/>
    <w:rsid w:val="004D71F0"/>
    <w:rsid w:val="004D7B4B"/>
    <w:rsid w:val="004E09C6"/>
    <w:rsid w:val="004E0CF7"/>
    <w:rsid w:val="004E0DA5"/>
    <w:rsid w:val="004E12A9"/>
    <w:rsid w:val="004E1571"/>
    <w:rsid w:val="004E2BE3"/>
    <w:rsid w:val="004E3D82"/>
    <w:rsid w:val="004E4CC9"/>
    <w:rsid w:val="004E5A46"/>
    <w:rsid w:val="004E633E"/>
    <w:rsid w:val="004E71C4"/>
    <w:rsid w:val="004E7DD9"/>
    <w:rsid w:val="004F0608"/>
    <w:rsid w:val="004F0789"/>
    <w:rsid w:val="004F0A4B"/>
    <w:rsid w:val="004F12B1"/>
    <w:rsid w:val="004F2B6E"/>
    <w:rsid w:val="004F350E"/>
    <w:rsid w:val="004F39E4"/>
    <w:rsid w:val="004F3E55"/>
    <w:rsid w:val="004F51E5"/>
    <w:rsid w:val="004F68EB"/>
    <w:rsid w:val="004F7122"/>
    <w:rsid w:val="004F71E8"/>
    <w:rsid w:val="004F7409"/>
    <w:rsid w:val="004F7464"/>
    <w:rsid w:val="004F7957"/>
    <w:rsid w:val="00500940"/>
    <w:rsid w:val="005009D9"/>
    <w:rsid w:val="0050107A"/>
    <w:rsid w:val="0050169F"/>
    <w:rsid w:val="00502062"/>
    <w:rsid w:val="005025F3"/>
    <w:rsid w:val="00502EDE"/>
    <w:rsid w:val="005034B2"/>
    <w:rsid w:val="00503753"/>
    <w:rsid w:val="005040DB"/>
    <w:rsid w:val="0050440C"/>
    <w:rsid w:val="005046BB"/>
    <w:rsid w:val="00504C93"/>
    <w:rsid w:val="00504F19"/>
    <w:rsid w:val="005051F8"/>
    <w:rsid w:val="005056A9"/>
    <w:rsid w:val="00506578"/>
    <w:rsid w:val="0050675D"/>
    <w:rsid w:val="00507106"/>
    <w:rsid w:val="005077FB"/>
    <w:rsid w:val="005079B0"/>
    <w:rsid w:val="005112F9"/>
    <w:rsid w:val="00511333"/>
    <w:rsid w:val="00511FD7"/>
    <w:rsid w:val="005120E7"/>
    <w:rsid w:val="00512488"/>
    <w:rsid w:val="0051308F"/>
    <w:rsid w:val="00513838"/>
    <w:rsid w:val="00513EAF"/>
    <w:rsid w:val="00513FDA"/>
    <w:rsid w:val="00514C31"/>
    <w:rsid w:val="00514F1A"/>
    <w:rsid w:val="005155AE"/>
    <w:rsid w:val="00515FDE"/>
    <w:rsid w:val="00516049"/>
    <w:rsid w:val="00516679"/>
    <w:rsid w:val="00516B31"/>
    <w:rsid w:val="00517D44"/>
    <w:rsid w:val="00518156"/>
    <w:rsid w:val="00520230"/>
    <w:rsid w:val="00522C56"/>
    <w:rsid w:val="00522F0D"/>
    <w:rsid w:val="00523170"/>
    <w:rsid w:val="005232EB"/>
    <w:rsid w:val="00523FA4"/>
    <w:rsid w:val="00524419"/>
    <w:rsid w:val="00524D06"/>
    <w:rsid w:val="00525595"/>
    <w:rsid w:val="00525979"/>
    <w:rsid w:val="0052636D"/>
    <w:rsid w:val="005277F1"/>
    <w:rsid w:val="00527FFB"/>
    <w:rsid w:val="00530577"/>
    <w:rsid w:val="00530AA9"/>
    <w:rsid w:val="00530EA9"/>
    <w:rsid w:val="00531845"/>
    <w:rsid w:val="00531F94"/>
    <w:rsid w:val="0053243F"/>
    <w:rsid w:val="00532B33"/>
    <w:rsid w:val="00533869"/>
    <w:rsid w:val="005341DD"/>
    <w:rsid w:val="00534292"/>
    <w:rsid w:val="005344A5"/>
    <w:rsid w:val="005347A3"/>
    <w:rsid w:val="00534C7D"/>
    <w:rsid w:val="00534DF6"/>
    <w:rsid w:val="00534F4F"/>
    <w:rsid w:val="0053573D"/>
    <w:rsid w:val="0053583A"/>
    <w:rsid w:val="00535870"/>
    <w:rsid w:val="005359C8"/>
    <w:rsid w:val="00535BB2"/>
    <w:rsid w:val="005362D9"/>
    <w:rsid w:val="0053666B"/>
    <w:rsid w:val="0053701A"/>
    <w:rsid w:val="00537B73"/>
    <w:rsid w:val="00540BCE"/>
    <w:rsid w:val="0054100E"/>
    <w:rsid w:val="00541AA2"/>
    <w:rsid w:val="005427C1"/>
    <w:rsid w:val="00543E5F"/>
    <w:rsid w:val="00544AF9"/>
    <w:rsid w:val="00544D0F"/>
    <w:rsid w:val="00546011"/>
    <w:rsid w:val="00546738"/>
    <w:rsid w:val="0054678F"/>
    <w:rsid w:val="00546BE4"/>
    <w:rsid w:val="00546DA6"/>
    <w:rsid w:val="00547632"/>
    <w:rsid w:val="00547A89"/>
    <w:rsid w:val="00547BFE"/>
    <w:rsid w:val="00547C17"/>
    <w:rsid w:val="005507D9"/>
    <w:rsid w:val="005508E0"/>
    <w:rsid w:val="00550DCB"/>
    <w:rsid w:val="005515D1"/>
    <w:rsid w:val="00552358"/>
    <w:rsid w:val="00552FBD"/>
    <w:rsid w:val="00553DF6"/>
    <w:rsid w:val="0055438E"/>
    <w:rsid w:val="00555150"/>
    <w:rsid w:val="00555322"/>
    <w:rsid w:val="00555F45"/>
    <w:rsid w:val="00556D4F"/>
    <w:rsid w:val="0055780D"/>
    <w:rsid w:val="00557904"/>
    <w:rsid w:val="00557976"/>
    <w:rsid w:val="00560051"/>
    <w:rsid w:val="00561088"/>
    <w:rsid w:val="005628BC"/>
    <w:rsid w:val="00562D71"/>
    <w:rsid w:val="00564334"/>
    <w:rsid w:val="00565855"/>
    <w:rsid w:val="00565E89"/>
    <w:rsid w:val="005663C4"/>
    <w:rsid w:val="0056640D"/>
    <w:rsid w:val="00566742"/>
    <w:rsid w:val="00566810"/>
    <w:rsid w:val="00567714"/>
    <w:rsid w:val="0056786B"/>
    <w:rsid w:val="00567C91"/>
    <w:rsid w:val="00570468"/>
    <w:rsid w:val="00570B77"/>
    <w:rsid w:val="00570D38"/>
    <w:rsid w:val="00571268"/>
    <w:rsid w:val="0057176D"/>
    <w:rsid w:val="00571F41"/>
    <w:rsid w:val="005725CD"/>
    <w:rsid w:val="00572C4B"/>
    <w:rsid w:val="0057332E"/>
    <w:rsid w:val="005733B5"/>
    <w:rsid w:val="0057398B"/>
    <w:rsid w:val="00573D57"/>
    <w:rsid w:val="0057450A"/>
    <w:rsid w:val="00574556"/>
    <w:rsid w:val="00574A66"/>
    <w:rsid w:val="00574E00"/>
    <w:rsid w:val="0057583E"/>
    <w:rsid w:val="00575DB0"/>
    <w:rsid w:val="005762F4"/>
    <w:rsid w:val="00576A39"/>
    <w:rsid w:val="005771B0"/>
    <w:rsid w:val="005772B0"/>
    <w:rsid w:val="0058075C"/>
    <w:rsid w:val="0058129E"/>
    <w:rsid w:val="00581B44"/>
    <w:rsid w:val="005823F1"/>
    <w:rsid w:val="0058247E"/>
    <w:rsid w:val="005824F2"/>
    <w:rsid w:val="00583A02"/>
    <w:rsid w:val="00583CA9"/>
    <w:rsid w:val="005843D8"/>
    <w:rsid w:val="005851AF"/>
    <w:rsid w:val="00585B9D"/>
    <w:rsid w:val="00585CFC"/>
    <w:rsid w:val="00585D78"/>
    <w:rsid w:val="00585F82"/>
    <w:rsid w:val="005863FD"/>
    <w:rsid w:val="005867E0"/>
    <w:rsid w:val="00587985"/>
    <w:rsid w:val="00587B32"/>
    <w:rsid w:val="00587EB8"/>
    <w:rsid w:val="00587F7A"/>
    <w:rsid w:val="005900F6"/>
    <w:rsid w:val="00590485"/>
    <w:rsid w:val="00590FDA"/>
    <w:rsid w:val="005911A0"/>
    <w:rsid w:val="00591570"/>
    <w:rsid w:val="00591647"/>
    <w:rsid w:val="005919DD"/>
    <w:rsid w:val="00592C62"/>
    <w:rsid w:val="005933A4"/>
    <w:rsid w:val="005941B3"/>
    <w:rsid w:val="00594275"/>
    <w:rsid w:val="00595265"/>
    <w:rsid w:val="005965CF"/>
    <w:rsid w:val="005967D3"/>
    <w:rsid w:val="00596C78"/>
    <w:rsid w:val="00597E5C"/>
    <w:rsid w:val="005A0296"/>
    <w:rsid w:val="005A043A"/>
    <w:rsid w:val="005A0B3D"/>
    <w:rsid w:val="005A173D"/>
    <w:rsid w:val="005A1971"/>
    <w:rsid w:val="005A397B"/>
    <w:rsid w:val="005A3B03"/>
    <w:rsid w:val="005A3B34"/>
    <w:rsid w:val="005A4139"/>
    <w:rsid w:val="005A4331"/>
    <w:rsid w:val="005A4668"/>
    <w:rsid w:val="005A4A72"/>
    <w:rsid w:val="005A545B"/>
    <w:rsid w:val="005A55AB"/>
    <w:rsid w:val="005A5A24"/>
    <w:rsid w:val="005A5C1E"/>
    <w:rsid w:val="005A5E26"/>
    <w:rsid w:val="005A5FF1"/>
    <w:rsid w:val="005A6041"/>
    <w:rsid w:val="005A6E23"/>
    <w:rsid w:val="005A70E3"/>
    <w:rsid w:val="005A72DA"/>
    <w:rsid w:val="005A7311"/>
    <w:rsid w:val="005B036B"/>
    <w:rsid w:val="005B075E"/>
    <w:rsid w:val="005B08E6"/>
    <w:rsid w:val="005B0A64"/>
    <w:rsid w:val="005B0A79"/>
    <w:rsid w:val="005B0CFC"/>
    <w:rsid w:val="005B0E1B"/>
    <w:rsid w:val="005B1284"/>
    <w:rsid w:val="005B184C"/>
    <w:rsid w:val="005B1A0C"/>
    <w:rsid w:val="005B2BFE"/>
    <w:rsid w:val="005B3282"/>
    <w:rsid w:val="005B3DBB"/>
    <w:rsid w:val="005B4FC7"/>
    <w:rsid w:val="005B53C8"/>
    <w:rsid w:val="005B5AFD"/>
    <w:rsid w:val="005B6B21"/>
    <w:rsid w:val="005C04C1"/>
    <w:rsid w:val="005C06AD"/>
    <w:rsid w:val="005C080B"/>
    <w:rsid w:val="005C088B"/>
    <w:rsid w:val="005C08C3"/>
    <w:rsid w:val="005C0AC8"/>
    <w:rsid w:val="005C2346"/>
    <w:rsid w:val="005C2AB8"/>
    <w:rsid w:val="005C3580"/>
    <w:rsid w:val="005C39CF"/>
    <w:rsid w:val="005C47A1"/>
    <w:rsid w:val="005C48EA"/>
    <w:rsid w:val="005C4ECC"/>
    <w:rsid w:val="005C5769"/>
    <w:rsid w:val="005C5E91"/>
    <w:rsid w:val="005C73B3"/>
    <w:rsid w:val="005D017C"/>
    <w:rsid w:val="005D054A"/>
    <w:rsid w:val="005D158B"/>
    <w:rsid w:val="005D3802"/>
    <w:rsid w:val="005D39D2"/>
    <w:rsid w:val="005D3BA7"/>
    <w:rsid w:val="005D4CE3"/>
    <w:rsid w:val="005D4F6F"/>
    <w:rsid w:val="005D5135"/>
    <w:rsid w:val="005D6728"/>
    <w:rsid w:val="005D67C9"/>
    <w:rsid w:val="005D7240"/>
    <w:rsid w:val="005D7691"/>
    <w:rsid w:val="005D7791"/>
    <w:rsid w:val="005E1016"/>
    <w:rsid w:val="005E12AF"/>
    <w:rsid w:val="005E1356"/>
    <w:rsid w:val="005E168E"/>
    <w:rsid w:val="005E1DD6"/>
    <w:rsid w:val="005E27B0"/>
    <w:rsid w:val="005E2ED5"/>
    <w:rsid w:val="005E2FD9"/>
    <w:rsid w:val="005E30B3"/>
    <w:rsid w:val="005E394C"/>
    <w:rsid w:val="005E3EEB"/>
    <w:rsid w:val="005E45D0"/>
    <w:rsid w:val="005E5039"/>
    <w:rsid w:val="005E587B"/>
    <w:rsid w:val="005E59D0"/>
    <w:rsid w:val="005E5E2F"/>
    <w:rsid w:val="005E5FE3"/>
    <w:rsid w:val="005E6DB6"/>
    <w:rsid w:val="005E7B1F"/>
    <w:rsid w:val="005F054B"/>
    <w:rsid w:val="005F121F"/>
    <w:rsid w:val="005F2396"/>
    <w:rsid w:val="005F2917"/>
    <w:rsid w:val="005F3449"/>
    <w:rsid w:val="005F3AB8"/>
    <w:rsid w:val="005F426D"/>
    <w:rsid w:val="005F4F2D"/>
    <w:rsid w:val="005F5793"/>
    <w:rsid w:val="005F600E"/>
    <w:rsid w:val="005F6D7D"/>
    <w:rsid w:val="005F7075"/>
    <w:rsid w:val="005F7D1B"/>
    <w:rsid w:val="0060031A"/>
    <w:rsid w:val="006003E2"/>
    <w:rsid w:val="00601405"/>
    <w:rsid w:val="00601AFF"/>
    <w:rsid w:val="00601C92"/>
    <w:rsid w:val="00601D8E"/>
    <w:rsid w:val="0060245D"/>
    <w:rsid w:val="0060317C"/>
    <w:rsid w:val="00603894"/>
    <w:rsid w:val="006054B6"/>
    <w:rsid w:val="006062AE"/>
    <w:rsid w:val="00606D99"/>
    <w:rsid w:val="00607232"/>
    <w:rsid w:val="00607642"/>
    <w:rsid w:val="00607B27"/>
    <w:rsid w:val="0061088F"/>
    <w:rsid w:val="00610B87"/>
    <w:rsid w:val="00612331"/>
    <w:rsid w:val="006129EA"/>
    <w:rsid w:val="00612E9A"/>
    <w:rsid w:val="006131E5"/>
    <w:rsid w:val="00613436"/>
    <w:rsid w:val="00613D1B"/>
    <w:rsid w:val="00614224"/>
    <w:rsid w:val="00614570"/>
    <w:rsid w:val="00614763"/>
    <w:rsid w:val="00615629"/>
    <w:rsid w:val="00615CA9"/>
    <w:rsid w:val="006169D7"/>
    <w:rsid w:val="00616BC7"/>
    <w:rsid w:val="00616CB6"/>
    <w:rsid w:val="00616E68"/>
    <w:rsid w:val="00617848"/>
    <w:rsid w:val="00617BE4"/>
    <w:rsid w:val="006203E1"/>
    <w:rsid w:val="00620FE0"/>
    <w:rsid w:val="0062186B"/>
    <w:rsid w:val="00621958"/>
    <w:rsid w:val="00621B5A"/>
    <w:rsid w:val="00623090"/>
    <w:rsid w:val="00623225"/>
    <w:rsid w:val="0062354B"/>
    <w:rsid w:val="00623A6C"/>
    <w:rsid w:val="00623FFF"/>
    <w:rsid w:val="00625220"/>
    <w:rsid w:val="006256E4"/>
    <w:rsid w:val="00626E4A"/>
    <w:rsid w:val="00626EC2"/>
    <w:rsid w:val="0062740F"/>
    <w:rsid w:val="0062768F"/>
    <w:rsid w:val="00627752"/>
    <w:rsid w:val="00627A26"/>
    <w:rsid w:val="00627DA7"/>
    <w:rsid w:val="0063000C"/>
    <w:rsid w:val="00631647"/>
    <w:rsid w:val="00631DFA"/>
    <w:rsid w:val="006339AE"/>
    <w:rsid w:val="00634ECB"/>
    <w:rsid w:val="00635023"/>
    <w:rsid w:val="00635080"/>
    <w:rsid w:val="00635241"/>
    <w:rsid w:val="0063583F"/>
    <w:rsid w:val="00637A68"/>
    <w:rsid w:val="00640E60"/>
    <w:rsid w:val="00642554"/>
    <w:rsid w:val="006429EB"/>
    <w:rsid w:val="00642C22"/>
    <w:rsid w:val="00643796"/>
    <w:rsid w:val="006439DC"/>
    <w:rsid w:val="00643E94"/>
    <w:rsid w:val="00644637"/>
    <w:rsid w:val="006446B8"/>
    <w:rsid w:val="00644FA3"/>
    <w:rsid w:val="00644FB6"/>
    <w:rsid w:val="006453D1"/>
    <w:rsid w:val="006456BC"/>
    <w:rsid w:val="00645C80"/>
    <w:rsid w:val="006472EC"/>
    <w:rsid w:val="00650898"/>
    <w:rsid w:val="006509CC"/>
    <w:rsid w:val="00651384"/>
    <w:rsid w:val="006515A2"/>
    <w:rsid w:val="00651895"/>
    <w:rsid w:val="00651F3E"/>
    <w:rsid w:val="00652567"/>
    <w:rsid w:val="00652ACA"/>
    <w:rsid w:val="00652B69"/>
    <w:rsid w:val="00652E8A"/>
    <w:rsid w:val="00653106"/>
    <w:rsid w:val="00653554"/>
    <w:rsid w:val="0065386A"/>
    <w:rsid w:val="0065403B"/>
    <w:rsid w:val="0065408C"/>
    <w:rsid w:val="00655119"/>
    <w:rsid w:val="0065580A"/>
    <w:rsid w:val="00655C48"/>
    <w:rsid w:val="00656735"/>
    <w:rsid w:val="00656A78"/>
    <w:rsid w:val="00656F84"/>
    <w:rsid w:val="00657343"/>
    <w:rsid w:val="0065741F"/>
    <w:rsid w:val="00657E9C"/>
    <w:rsid w:val="00657F22"/>
    <w:rsid w:val="006604C8"/>
    <w:rsid w:val="00660A45"/>
    <w:rsid w:val="00660F64"/>
    <w:rsid w:val="0066203A"/>
    <w:rsid w:val="006621CC"/>
    <w:rsid w:val="00662579"/>
    <w:rsid w:val="006628C8"/>
    <w:rsid w:val="006629B9"/>
    <w:rsid w:val="00662ACF"/>
    <w:rsid w:val="00663CC0"/>
    <w:rsid w:val="0066425B"/>
    <w:rsid w:val="00664577"/>
    <w:rsid w:val="0066509B"/>
    <w:rsid w:val="00665132"/>
    <w:rsid w:val="00665340"/>
    <w:rsid w:val="0066581F"/>
    <w:rsid w:val="00665A45"/>
    <w:rsid w:val="00665A94"/>
    <w:rsid w:val="006665A4"/>
    <w:rsid w:val="00666B9C"/>
    <w:rsid w:val="0066725D"/>
    <w:rsid w:val="006703EE"/>
    <w:rsid w:val="00670E3E"/>
    <w:rsid w:val="00671807"/>
    <w:rsid w:val="00672511"/>
    <w:rsid w:val="006735B6"/>
    <w:rsid w:val="0067415D"/>
    <w:rsid w:val="006743B7"/>
    <w:rsid w:val="00675182"/>
    <w:rsid w:val="00675E91"/>
    <w:rsid w:val="006761B0"/>
    <w:rsid w:val="00676551"/>
    <w:rsid w:val="00676A2F"/>
    <w:rsid w:val="00676DE2"/>
    <w:rsid w:val="00676FA9"/>
    <w:rsid w:val="00680525"/>
    <w:rsid w:val="006805D8"/>
    <w:rsid w:val="00681407"/>
    <w:rsid w:val="00681618"/>
    <w:rsid w:val="0068199D"/>
    <w:rsid w:val="006819F0"/>
    <w:rsid w:val="00682623"/>
    <w:rsid w:val="006833C9"/>
    <w:rsid w:val="006838C3"/>
    <w:rsid w:val="006840A5"/>
    <w:rsid w:val="006842B2"/>
    <w:rsid w:val="0068449A"/>
    <w:rsid w:val="006844EF"/>
    <w:rsid w:val="0068454E"/>
    <w:rsid w:val="006848B4"/>
    <w:rsid w:val="00684FE8"/>
    <w:rsid w:val="0068632E"/>
    <w:rsid w:val="0068644B"/>
    <w:rsid w:val="00686621"/>
    <w:rsid w:val="00687407"/>
    <w:rsid w:val="0068770B"/>
    <w:rsid w:val="006879A3"/>
    <w:rsid w:val="00690716"/>
    <w:rsid w:val="00691E3B"/>
    <w:rsid w:val="006924D5"/>
    <w:rsid w:val="00693F1B"/>
    <w:rsid w:val="00694D15"/>
    <w:rsid w:val="0069518E"/>
    <w:rsid w:val="00695C92"/>
    <w:rsid w:val="006960C5"/>
    <w:rsid w:val="0069787B"/>
    <w:rsid w:val="006979CA"/>
    <w:rsid w:val="006A0C60"/>
    <w:rsid w:val="006A10A2"/>
    <w:rsid w:val="006A132F"/>
    <w:rsid w:val="006A2236"/>
    <w:rsid w:val="006A27D8"/>
    <w:rsid w:val="006A2BE8"/>
    <w:rsid w:val="006A2E81"/>
    <w:rsid w:val="006A31F4"/>
    <w:rsid w:val="006A41BE"/>
    <w:rsid w:val="006A41CD"/>
    <w:rsid w:val="006A427E"/>
    <w:rsid w:val="006A4E11"/>
    <w:rsid w:val="006A50B3"/>
    <w:rsid w:val="006A51CD"/>
    <w:rsid w:val="006A54BF"/>
    <w:rsid w:val="006A5A5D"/>
    <w:rsid w:val="006A5A9F"/>
    <w:rsid w:val="006A5E49"/>
    <w:rsid w:val="006A64BC"/>
    <w:rsid w:val="006A6B99"/>
    <w:rsid w:val="006A6E12"/>
    <w:rsid w:val="006B0E98"/>
    <w:rsid w:val="006B1458"/>
    <w:rsid w:val="006B223F"/>
    <w:rsid w:val="006B2368"/>
    <w:rsid w:val="006B2774"/>
    <w:rsid w:val="006B2DDD"/>
    <w:rsid w:val="006B3309"/>
    <w:rsid w:val="006B401D"/>
    <w:rsid w:val="006B4E88"/>
    <w:rsid w:val="006B5BD1"/>
    <w:rsid w:val="006B5D5D"/>
    <w:rsid w:val="006B5DD8"/>
    <w:rsid w:val="006B5DFB"/>
    <w:rsid w:val="006B60BD"/>
    <w:rsid w:val="006B6E95"/>
    <w:rsid w:val="006B711D"/>
    <w:rsid w:val="006B768B"/>
    <w:rsid w:val="006B76AE"/>
    <w:rsid w:val="006B7E33"/>
    <w:rsid w:val="006C03FC"/>
    <w:rsid w:val="006C0549"/>
    <w:rsid w:val="006C13FE"/>
    <w:rsid w:val="006C194B"/>
    <w:rsid w:val="006C1DB3"/>
    <w:rsid w:val="006C2271"/>
    <w:rsid w:val="006C2DFF"/>
    <w:rsid w:val="006C3124"/>
    <w:rsid w:val="006C3389"/>
    <w:rsid w:val="006C3B4B"/>
    <w:rsid w:val="006C44A2"/>
    <w:rsid w:val="006C5075"/>
    <w:rsid w:val="006C524F"/>
    <w:rsid w:val="006C5792"/>
    <w:rsid w:val="006C612C"/>
    <w:rsid w:val="006C6843"/>
    <w:rsid w:val="006C701F"/>
    <w:rsid w:val="006C78EA"/>
    <w:rsid w:val="006C7DC8"/>
    <w:rsid w:val="006C7DDE"/>
    <w:rsid w:val="006D1364"/>
    <w:rsid w:val="006D15B0"/>
    <w:rsid w:val="006D175F"/>
    <w:rsid w:val="006D1AD3"/>
    <w:rsid w:val="006D1B62"/>
    <w:rsid w:val="006D1C26"/>
    <w:rsid w:val="006D29AA"/>
    <w:rsid w:val="006D2D57"/>
    <w:rsid w:val="006D34C9"/>
    <w:rsid w:val="006D46EC"/>
    <w:rsid w:val="006D573E"/>
    <w:rsid w:val="006D5FFF"/>
    <w:rsid w:val="006D6164"/>
    <w:rsid w:val="006D735B"/>
    <w:rsid w:val="006D74FB"/>
    <w:rsid w:val="006D77F3"/>
    <w:rsid w:val="006D7E56"/>
    <w:rsid w:val="006E0CC3"/>
    <w:rsid w:val="006E131C"/>
    <w:rsid w:val="006E1450"/>
    <w:rsid w:val="006E187F"/>
    <w:rsid w:val="006E2319"/>
    <w:rsid w:val="006E31A9"/>
    <w:rsid w:val="006E3648"/>
    <w:rsid w:val="006E3EFC"/>
    <w:rsid w:val="006E4F98"/>
    <w:rsid w:val="006E5B26"/>
    <w:rsid w:val="006E66FB"/>
    <w:rsid w:val="006E6B47"/>
    <w:rsid w:val="006E7146"/>
    <w:rsid w:val="006E7148"/>
    <w:rsid w:val="006E723C"/>
    <w:rsid w:val="006E743D"/>
    <w:rsid w:val="006E7878"/>
    <w:rsid w:val="006E793D"/>
    <w:rsid w:val="006E7DCD"/>
    <w:rsid w:val="006E7DDA"/>
    <w:rsid w:val="006F0384"/>
    <w:rsid w:val="006F050A"/>
    <w:rsid w:val="006F06BC"/>
    <w:rsid w:val="006F0A35"/>
    <w:rsid w:val="006F0F73"/>
    <w:rsid w:val="006F0FF1"/>
    <w:rsid w:val="006F1206"/>
    <w:rsid w:val="006F1448"/>
    <w:rsid w:val="006F1CE8"/>
    <w:rsid w:val="006F1F66"/>
    <w:rsid w:val="006F2527"/>
    <w:rsid w:val="006F29BC"/>
    <w:rsid w:val="006F2A7F"/>
    <w:rsid w:val="006F2DF7"/>
    <w:rsid w:val="006F344B"/>
    <w:rsid w:val="006F3588"/>
    <w:rsid w:val="006F420F"/>
    <w:rsid w:val="006F62E9"/>
    <w:rsid w:val="006F65FD"/>
    <w:rsid w:val="006F683A"/>
    <w:rsid w:val="006F6952"/>
    <w:rsid w:val="006F6B08"/>
    <w:rsid w:val="006F6FC8"/>
    <w:rsid w:val="006F771F"/>
    <w:rsid w:val="00700176"/>
    <w:rsid w:val="007001E9"/>
    <w:rsid w:val="007005F2"/>
    <w:rsid w:val="007008EA"/>
    <w:rsid w:val="00702851"/>
    <w:rsid w:val="00702959"/>
    <w:rsid w:val="00702FE5"/>
    <w:rsid w:val="007030D1"/>
    <w:rsid w:val="007033B1"/>
    <w:rsid w:val="00704358"/>
    <w:rsid w:val="00704539"/>
    <w:rsid w:val="00704D15"/>
    <w:rsid w:val="00705591"/>
    <w:rsid w:val="00706125"/>
    <w:rsid w:val="00706EA1"/>
    <w:rsid w:val="0070740D"/>
    <w:rsid w:val="00710487"/>
    <w:rsid w:val="0071066D"/>
    <w:rsid w:val="00710C44"/>
    <w:rsid w:val="00710FCD"/>
    <w:rsid w:val="007113B5"/>
    <w:rsid w:val="007119B3"/>
    <w:rsid w:val="00712201"/>
    <w:rsid w:val="00712E9F"/>
    <w:rsid w:val="00713B56"/>
    <w:rsid w:val="00714A88"/>
    <w:rsid w:val="00714D2C"/>
    <w:rsid w:val="007152D8"/>
    <w:rsid w:val="00715ECD"/>
    <w:rsid w:val="00715EE2"/>
    <w:rsid w:val="00716B8F"/>
    <w:rsid w:val="00717205"/>
    <w:rsid w:val="00717A3F"/>
    <w:rsid w:val="00717FB6"/>
    <w:rsid w:val="007200B7"/>
    <w:rsid w:val="00720BED"/>
    <w:rsid w:val="00721D12"/>
    <w:rsid w:val="00721F7A"/>
    <w:rsid w:val="00721FAD"/>
    <w:rsid w:val="00722696"/>
    <w:rsid w:val="007227A9"/>
    <w:rsid w:val="00722F22"/>
    <w:rsid w:val="0072307C"/>
    <w:rsid w:val="00723A8B"/>
    <w:rsid w:val="00724164"/>
    <w:rsid w:val="00724368"/>
    <w:rsid w:val="0072615B"/>
    <w:rsid w:val="00726403"/>
    <w:rsid w:val="00726CCF"/>
    <w:rsid w:val="00727993"/>
    <w:rsid w:val="0073054D"/>
    <w:rsid w:val="00730CB8"/>
    <w:rsid w:val="00732D75"/>
    <w:rsid w:val="00733454"/>
    <w:rsid w:val="00733625"/>
    <w:rsid w:val="00733655"/>
    <w:rsid w:val="0073365D"/>
    <w:rsid w:val="007336F7"/>
    <w:rsid w:val="00733D72"/>
    <w:rsid w:val="007348FF"/>
    <w:rsid w:val="00735388"/>
    <w:rsid w:val="00735563"/>
    <w:rsid w:val="00735984"/>
    <w:rsid w:val="0073630A"/>
    <w:rsid w:val="00736496"/>
    <w:rsid w:val="00736AA7"/>
    <w:rsid w:val="00736B61"/>
    <w:rsid w:val="00736BC0"/>
    <w:rsid w:val="007403C0"/>
    <w:rsid w:val="0074064A"/>
    <w:rsid w:val="00740A49"/>
    <w:rsid w:val="00740C03"/>
    <w:rsid w:val="00740EF4"/>
    <w:rsid w:val="0074123A"/>
    <w:rsid w:val="00742643"/>
    <w:rsid w:val="00743002"/>
    <w:rsid w:val="007434D5"/>
    <w:rsid w:val="00743A5F"/>
    <w:rsid w:val="007449EF"/>
    <w:rsid w:val="00745403"/>
    <w:rsid w:val="00745417"/>
    <w:rsid w:val="0074545B"/>
    <w:rsid w:val="007458C4"/>
    <w:rsid w:val="00745AE5"/>
    <w:rsid w:val="00745FAD"/>
    <w:rsid w:val="00746F4B"/>
    <w:rsid w:val="00747426"/>
    <w:rsid w:val="0074761C"/>
    <w:rsid w:val="00747698"/>
    <w:rsid w:val="00747856"/>
    <w:rsid w:val="00747CA2"/>
    <w:rsid w:val="00750318"/>
    <w:rsid w:val="0075052D"/>
    <w:rsid w:val="00751188"/>
    <w:rsid w:val="00751227"/>
    <w:rsid w:val="0075168C"/>
    <w:rsid w:val="00751846"/>
    <w:rsid w:val="00751AF8"/>
    <w:rsid w:val="00751DE2"/>
    <w:rsid w:val="007520E3"/>
    <w:rsid w:val="007522CF"/>
    <w:rsid w:val="00752BF7"/>
    <w:rsid w:val="00752FF3"/>
    <w:rsid w:val="007530CB"/>
    <w:rsid w:val="007541D0"/>
    <w:rsid w:val="00754274"/>
    <w:rsid w:val="0075455D"/>
    <w:rsid w:val="00754BEB"/>
    <w:rsid w:val="00755524"/>
    <w:rsid w:val="0075578B"/>
    <w:rsid w:val="007563AC"/>
    <w:rsid w:val="007569FE"/>
    <w:rsid w:val="007577DA"/>
    <w:rsid w:val="00757DDE"/>
    <w:rsid w:val="007600AC"/>
    <w:rsid w:val="00760447"/>
    <w:rsid w:val="00761008"/>
    <w:rsid w:val="0076117E"/>
    <w:rsid w:val="00761551"/>
    <w:rsid w:val="00762208"/>
    <w:rsid w:val="00762CF6"/>
    <w:rsid w:val="00762D91"/>
    <w:rsid w:val="00763799"/>
    <w:rsid w:val="0076419B"/>
    <w:rsid w:val="0076448E"/>
    <w:rsid w:val="00764EC4"/>
    <w:rsid w:val="00764F5A"/>
    <w:rsid w:val="00765862"/>
    <w:rsid w:val="00765BE3"/>
    <w:rsid w:val="0076610A"/>
    <w:rsid w:val="007662C9"/>
    <w:rsid w:val="0076652E"/>
    <w:rsid w:val="00766A73"/>
    <w:rsid w:val="00766B1D"/>
    <w:rsid w:val="00767CFE"/>
    <w:rsid w:val="00770013"/>
    <w:rsid w:val="007700AB"/>
    <w:rsid w:val="00770CC3"/>
    <w:rsid w:val="00770D36"/>
    <w:rsid w:val="00770EE2"/>
    <w:rsid w:val="007710C5"/>
    <w:rsid w:val="0077116E"/>
    <w:rsid w:val="00771B82"/>
    <w:rsid w:val="00772FC2"/>
    <w:rsid w:val="007739F7"/>
    <w:rsid w:val="00773BC8"/>
    <w:rsid w:val="007743D5"/>
    <w:rsid w:val="007745A7"/>
    <w:rsid w:val="00774E6E"/>
    <w:rsid w:val="0077510C"/>
    <w:rsid w:val="0077526D"/>
    <w:rsid w:val="007756ED"/>
    <w:rsid w:val="007759AF"/>
    <w:rsid w:val="007763FF"/>
    <w:rsid w:val="007767C5"/>
    <w:rsid w:val="007770E4"/>
    <w:rsid w:val="00777F81"/>
    <w:rsid w:val="007807EF"/>
    <w:rsid w:val="0078080B"/>
    <w:rsid w:val="00780C53"/>
    <w:rsid w:val="00780F5A"/>
    <w:rsid w:val="00780F78"/>
    <w:rsid w:val="00781349"/>
    <w:rsid w:val="0078162B"/>
    <w:rsid w:val="007816BE"/>
    <w:rsid w:val="00781C88"/>
    <w:rsid w:val="00782646"/>
    <w:rsid w:val="00782918"/>
    <w:rsid w:val="007831B3"/>
    <w:rsid w:val="00784A16"/>
    <w:rsid w:val="00784EF3"/>
    <w:rsid w:val="007851E5"/>
    <w:rsid w:val="007853B3"/>
    <w:rsid w:val="0078555C"/>
    <w:rsid w:val="00785587"/>
    <w:rsid w:val="00785996"/>
    <w:rsid w:val="00785B60"/>
    <w:rsid w:val="00785D78"/>
    <w:rsid w:val="00786C94"/>
    <w:rsid w:val="00790486"/>
    <w:rsid w:val="007907E0"/>
    <w:rsid w:val="00790B22"/>
    <w:rsid w:val="00790CA1"/>
    <w:rsid w:val="00791420"/>
    <w:rsid w:val="007915E2"/>
    <w:rsid w:val="0079240A"/>
    <w:rsid w:val="00792736"/>
    <w:rsid w:val="00792B7B"/>
    <w:rsid w:val="0079306A"/>
    <w:rsid w:val="00793080"/>
    <w:rsid w:val="0079342F"/>
    <w:rsid w:val="00793795"/>
    <w:rsid w:val="007937FF"/>
    <w:rsid w:val="00794189"/>
    <w:rsid w:val="00794716"/>
    <w:rsid w:val="00794780"/>
    <w:rsid w:val="00795802"/>
    <w:rsid w:val="00795A15"/>
    <w:rsid w:val="00795D80"/>
    <w:rsid w:val="00796081"/>
    <w:rsid w:val="00796369"/>
    <w:rsid w:val="007964DE"/>
    <w:rsid w:val="00796D68"/>
    <w:rsid w:val="00796F43"/>
    <w:rsid w:val="0079732C"/>
    <w:rsid w:val="00797365"/>
    <w:rsid w:val="0079776D"/>
    <w:rsid w:val="00797963"/>
    <w:rsid w:val="00797A33"/>
    <w:rsid w:val="00797A5C"/>
    <w:rsid w:val="00797EBF"/>
    <w:rsid w:val="007A0560"/>
    <w:rsid w:val="007A1F56"/>
    <w:rsid w:val="007A1F63"/>
    <w:rsid w:val="007A22D8"/>
    <w:rsid w:val="007A264A"/>
    <w:rsid w:val="007A3130"/>
    <w:rsid w:val="007A336B"/>
    <w:rsid w:val="007A4F96"/>
    <w:rsid w:val="007A5243"/>
    <w:rsid w:val="007A530E"/>
    <w:rsid w:val="007A55CE"/>
    <w:rsid w:val="007A66A3"/>
    <w:rsid w:val="007A6C7E"/>
    <w:rsid w:val="007A7353"/>
    <w:rsid w:val="007A7356"/>
    <w:rsid w:val="007A788D"/>
    <w:rsid w:val="007A7D91"/>
    <w:rsid w:val="007B01D9"/>
    <w:rsid w:val="007B046D"/>
    <w:rsid w:val="007B0A12"/>
    <w:rsid w:val="007B0AD4"/>
    <w:rsid w:val="007B0D9F"/>
    <w:rsid w:val="007B159C"/>
    <w:rsid w:val="007B199A"/>
    <w:rsid w:val="007B2287"/>
    <w:rsid w:val="007B2697"/>
    <w:rsid w:val="007B2DE2"/>
    <w:rsid w:val="007B2FCE"/>
    <w:rsid w:val="007B329B"/>
    <w:rsid w:val="007B3A0B"/>
    <w:rsid w:val="007B3C7B"/>
    <w:rsid w:val="007B3CE4"/>
    <w:rsid w:val="007B4CFE"/>
    <w:rsid w:val="007B4F69"/>
    <w:rsid w:val="007B563C"/>
    <w:rsid w:val="007B59A5"/>
    <w:rsid w:val="007B5E68"/>
    <w:rsid w:val="007B60E5"/>
    <w:rsid w:val="007B69DF"/>
    <w:rsid w:val="007B6CEB"/>
    <w:rsid w:val="007B6EAE"/>
    <w:rsid w:val="007B77B1"/>
    <w:rsid w:val="007BE3E1"/>
    <w:rsid w:val="007C0C03"/>
    <w:rsid w:val="007C10AB"/>
    <w:rsid w:val="007C11ED"/>
    <w:rsid w:val="007C12DE"/>
    <w:rsid w:val="007C1934"/>
    <w:rsid w:val="007C1CB8"/>
    <w:rsid w:val="007C2400"/>
    <w:rsid w:val="007C2949"/>
    <w:rsid w:val="007C4059"/>
    <w:rsid w:val="007C4705"/>
    <w:rsid w:val="007C4794"/>
    <w:rsid w:val="007C4980"/>
    <w:rsid w:val="007C509A"/>
    <w:rsid w:val="007C5E6D"/>
    <w:rsid w:val="007C5FA4"/>
    <w:rsid w:val="007C6054"/>
    <w:rsid w:val="007C63AE"/>
    <w:rsid w:val="007C7C59"/>
    <w:rsid w:val="007D0F60"/>
    <w:rsid w:val="007D1360"/>
    <w:rsid w:val="007D2001"/>
    <w:rsid w:val="007D21DC"/>
    <w:rsid w:val="007D33D9"/>
    <w:rsid w:val="007D358F"/>
    <w:rsid w:val="007D48F8"/>
    <w:rsid w:val="007D4D8C"/>
    <w:rsid w:val="007D526E"/>
    <w:rsid w:val="007D547A"/>
    <w:rsid w:val="007D624A"/>
    <w:rsid w:val="007D67BD"/>
    <w:rsid w:val="007D6F70"/>
    <w:rsid w:val="007D74F4"/>
    <w:rsid w:val="007D759E"/>
    <w:rsid w:val="007D7E7E"/>
    <w:rsid w:val="007E00BB"/>
    <w:rsid w:val="007E057A"/>
    <w:rsid w:val="007E0EE8"/>
    <w:rsid w:val="007E1ABB"/>
    <w:rsid w:val="007E210C"/>
    <w:rsid w:val="007E337A"/>
    <w:rsid w:val="007E3F60"/>
    <w:rsid w:val="007E4410"/>
    <w:rsid w:val="007E5C13"/>
    <w:rsid w:val="007E644E"/>
    <w:rsid w:val="007E6674"/>
    <w:rsid w:val="007E668D"/>
    <w:rsid w:val="007E674B"/>
    <w:rsid w:val="007E67BD"/>
    <w:rsid w:val="007E6D10"/>
    <w:rsid w:val="007E734C"/>
    <w:rsid w:val="007E737D"/>
    <w:rsid w:val="007E73EE"/>
    <w:rsid w:val="007E7676"/>
    <w:rsid w:val="007E7CE0"/>
    <w:rsid w:val="007F07BB"/>
    <w:rsid w:val="007F195E"/>
    <w:rsid w:val="007F1A46"/>
    <w:rsid w:val="007F1C3D"/>
    <w:rsid w:val="007F1C43"/>
    <w:rsid w:val="007F2606"/>
    <w:rsid w:val="007F2EA3"/>
    <w:rsid w:val="007F315C"/>
    <w:rsid w:val="007F3519"/>
    <w:rsid w:val="007F37FE"/>
    <w:rsid w:val="007F3980"/>
    <w:rsid w:val="007F4918"/>
    <w:rsid w:val="007F5587"/>
    <w:rsid w:val="007F58BE"/>
    <w:rsid w:val="007F5C22"/>
    <w:rsid w:val="007F60B4"/>
    <w:rsid w:val="007F6875"/>
    <w:rsid w:val="007F764A"/>
    <w:rsid w:val="007F7750"/>
    <w:rsid w:val="00800083"/>
    <w:rsid w:val="008010E3"/>
    <w:rsid w:val="00801185"/>
    <w:rsid w:val="008012CF"/>
    <w:rsid w:val="00801CCA"/>
    <w:rsid w:val="00801D9C"/>
    <w:rsid w:val="008024F5"/>
    <w:rsid w:val="00802656"/>
    <w:rsid w:val="00804159"/>
    <w:rsid w:val="00804206"/>
    <w:rsid w:val="008046FD"/>
    <w:rsid w:val="00804D30"/>
    <w:rsid w:val="00804D3F"/>
    <w:rsid w:val="00804F4A"/>
    <w:rsid w:val="008054C4"/>
    <w:rsid w:val="00805649"/>
    <w:rsid w:val="00805925"/>
    <w:rsid w:val="00805B91"/>
    <w:rsid w:val="00805EEA"/>
    <w:rsid w:val="00806064"/>
    <w:rsid w:val="00806B59"/>
    <w:rsid w:val="00806D7A"/>
    <w:rsid w:val="008076BD"/>
    <w:rsid w:val="00807A1F"/>
    <w:rsid w:val="00807A34"/>
    <w:rsid w:val="00810F7E"/>
    <w:rsid w:val="00811C0B"/>
    <w:rsid w:val="00812535"/>
    <w:rsid w:val="008127DD"/>
    <w:rsid w:val="00812B93"/>
    <w:rsid w:val="0081315D"/>
    <w:rsid w:val="008131DD"/>
    <w:rsid w:val="00813336"/>
    <w:rsid w:val="00813723"/>
    <w:rsid w:val="008138DA"/>
    <w:rsid w:val="00813FF7"/>
    <w:rsid w:val="0081445C"/>
    <w:rsid w:val="00814D60"/>
    <w:rsid w:val="00814EE9"/>
    <w:rsid w:val="00815587"/>
    <w:rsid w:val="00816191"/>
    <w:rsid w:val="00816230"/>
    <w:rsid w:val="00816510"/>
    <w:rsid w:val="008169DE"/>
    <w:rsid w:val="00816B6D"/>
    <w:rsid w:val="00816DD3"/>
    <w:rsid w:val="00817038"/>
    <w:rsid w:val="00820F1D"/>
    <w:rsid w:val="00820F39"/>
    <w:rsid w:val="008212F3"/>
    <w:rsid w:val="0082375E"/>
    <w:rsid w:val="00823AA2"/>
    <w:rsid w:val="008246DB"/>
    <w:rsid w:val="008250F3"/>
    <w:rsid w:val="0082527F"/>
    <w:rsid w:val="008252BA"/>
    <w:rsid w:val="0082544B"/>
    <w:rsid w:val="008255CF"/>
    <w:rsid w:val="00825A75"/>
    <w:rsid w:val="00825F7A"/>
    <w:rsid w:val="00826606"/>
    <w:rsid w:val="0082676B"/>
    <w:rsid w:val="00826D46"/>
    <w:rsid w:val="00826FD8"/>
    <w:rsid w:val="0082757B"/>
    <w:rsid w:val="00827807"/>
    <w:rsid w:val="00827A98"/>
    <w:rsid w:val="00827D1E"/>
    <w:rsid w:val="00827F73"/>
    <w:rsid w:val="0082A7C7"/>
    <w:rsid w:val="008300C9"/>
    <w:rsid w:val="008304C3"/>
    <w:rsid w:val="00831166"/>
    <w:rsid w:val="008316B0"/>
    <w:rsid w:val="00831C20"/>
    <w:rsid w:val="00831D5E"/>
    <w:rsid w:val="008332DB"/>
    <w:rsid w:val="0083387D"/>
    <w:rsid w:val="008340CE"/>
    <w:rsid w:val="00834A69"/>
    <w:rsid w:val="008351BB"/>
    <w:rsid w:val="0083616A"/>
    <w:rsid w:val="00836415"/>
    <w:rsid w:val="008368E6"/>
    <w:rsid w:val="00836989"/>
    <w:rsid w:val="008369C9"/>
    <w:rsid w:val="00837166"/>
    <w:rsid w:val="00837CFC"/>
    <w:rsid w:val="0084020B"/>
    <w:rsid w:val="00840693"/>
    <w:rsid w:val="0084123D"/>
    <w:rsid w:val="00841328"/>
    <w:rsid w:val="0084137C"/>
    <w:rsid w:val="00841AA8"/>
    <w:rsid w:val="00841AAD"/>
    <w:rsid w:val="008435F6"/>
    <w:rsid w:val="008446AF"/>
    <w:rsid w:val="00844A2C"/>
    <w:rsid w:val="00844F53"/>
    <w:rsid w:val="008450CC"/>
    <w:rsid w:val="008451D0"/>
    <w:rsid w:val="00845833"/>
    <w:rsid w:val="00845F1B"/>
    <w:rsid w:val="00846816"/>
    <w:rsid w:val="008476EC"/>
    <w:rsid w:val="00850977"/>
    <w:rsid w:val="00851011"/>
    <w:rsid w:val="00851073"/>
    <w:rsid w:val="0085140D"/>
    <w:rsid w:val="00852AE8"/>
    <w:rsid w:val="00852CE1"/>
    <w:rsid w:val="00852F0D"/>
    <w:rsid w:val="008535E5"/>
    <w:rsid w:val="0085387D"/>
    <w:rsid w:val="00853B02"/>
    <w:rsid w:val="00853B16"/>
    <w:rsid w:val="00854FD3"/>
    <w:rsid w:val="008552DE"/>
    <w:rsid w:val="008566A2"/>
    <w:rsid w:val="008566C5"/>
    <w:rsid w:val="0085793E"/>
    <w:rsid w:val="00857F64"/>
    <w:rsid w:val="00857F75"/>
    <w:rsid w:val="008607B4"/>
    <w:rsid w:val="00860AA8"/>
    <w:rsid w:val="00860C6C"/>
    <w:rsid w:val="00861D12"/>
    <w:rsid w:val="008620C4"/>
    <w:rsid w:val="00863D4C"/>
    <w:rsid w:val="0086526F"/>
    <w:rsid w:val="008653A7"/>
    <w:rsid w:val="008662DA"/>
    <w:rsid w:val="008665E8"/>
    <w:rsid w:val="00866879"/>
    <w:rsid w:val="008673A0"/>
    <w:rsid w:val="00867508"/>
    <w:rsid w:val="0087001C"/>
    <w:rsid w:val="00870987"/>
    <w:rsid w:val="00870CF1"/>
    <w:rsid w:val="00871033"/>
    <w:rsid w:val="00872A96"/>
    <w:rsid w:val="00872C0D"/>
    <w:rsid w:val="00873B55"/>
    <w:rsid w:val="00874979"/>
    <w:rsid w:val="00874C23"/>
    <w:rsid w:val="00874C53"/>
    <w:rsid w:val="00875A3A"/>
    <w:rsid w:val="008805A7"/>
    <w:rsid w:val="00880743"/>
    <w:rsid w:val="0088093E"/>
    <w:rsid w:val="008809BE"/>
    <w:rsid w:val="008811AB"/>
    <w:rsid w:val="008811EF"/>
    <w:rsid w:val="00881388"/>
    <w:rsid w:val="008817C4"/>
    <w:rsid w:val="00881C59"/>
    <w:rsid w:val="00881DF7"/>
    <w:rsid w:val="00882B2B"/>
    <w:rsid w:val="0088313A"/>
    <w:rsid w:val="008831B3"/>
    <w:rsid w:val="008833F0"/>
    <w:rsid w:val="00883831"/>
    <w:rsid w:val="00883D59"/>
    <w:rsid w:val="00883FE9"/>
    <w:rsid w:val="0088456A"/>
    <w:rsid w:val="00884BFF"/>
    <w:rsid w:val="0088542F"/>
    <w:rsid w:val="00885E2A"/>
    <w:rsid w:val="00886EE2"/>
    <w:rsid w:val="008876B4"/>
    <w:rsid w:val="008877EB"/>
    <w:rsid w:val="00887DCC"/>
    <w:rsid w:val="00887DEE"/>
    <w:rsid w:val="00887ED7"/>
    <w:rsid w:val="00890A59"/>
    <w:rsid w:val="00890D24"/>
    <w:rsid w:val="00891138"/>
    <w:rsid w:val="00891301"/>
    <w:rsid w:val="00891666"/>
    <w:rsid w:val="0089174B"/>
    <w:rsid w:val="0089228B"/>
    <w:rsid w:val="00892474"/>
    <w:rsid w:val="00892512"/>
    <w:rsid w:val="0089291A"/>
    <w:rsid w:val="00892979"/>
    <w:rsid w:val="00892A79"/>
    <w:rsid w:val="008951E3"/>
    <w:rsid w:val="008953D5"/>
    <w:rsid w:val="0089619B"/>
    <w:rsid w:val="008968D6"/>
    <w:rsid w:val="00897636"/>
    <w:rsid w:val="0089774B"/>
    <w:rsid w:val="00897D96"/>
    <w:rsid w:val="00897E5A"/>
    <w:rsid w:val="008A087F"/>
    <w:rsid w:val="008A20AE"/>
    <w:rsid w:val="008A20F8"/>
    <w:rsid w:val="008A25F6"/>
    <w:rsid w:val="008A2A95"/>
    <w:rsid w:val="008A3DE2"/>
    <w:rsid w:val="008A44D0"/>
    <w:rsid w:val="008A45A0"/>
    <w:rsid w:val="008A48ED"/>
    <w:rsid w:val="008A5E92"/>
    <w:rsid w:val="008A6449"/>
    <w:rsid w:val="008A69AA"/>
    <w:rsid w:val="008B02EE"/>
    <w:rsid w:val="008B2685"/>
    <w:rsid w:val="008B27A9"/>
    <w:rsid w:val="008B2A96"/>
    <w:rsid w:val="008B3BED"/>
    <w:rsid w:val="008B40EE"/>
    <w:rsid w:val="008B4545"/>
    <w:rsid w:val="008B4E28"/>
    <w:rsid w:val="008B6337"/>
    <w:rsid w:val="008B6756"/>
    <w:rsid w:val="008B6FEB"/>
    <w:rsid w:val="008C070C"/>
    <w:rsid w:val="008C12B4"/>
    <w:rsid w:val="008C1E64"/>
    <w:rsid w:val="008C2E5F"/>
    <w:rsid w:val="008C3409"/>
    <w:rsid w:val="008C38D9"/>
    <w:rsid w:val="008C39C1"/>
    <w:rsid w:val="008C3A2A"/>
    <w:rsid w:val="008C41CB"/>
    <w:rsid w:val="008C4321"/>
    <w:rsid w:val="008C4787"/>
    <w:rsid w:val="008C4ED6"/>
    <w:rsid w:val="008C5394"/>
    <w:rsid w:val="008C5BE7"/>
    <w:rsid w:val="008C5D1C"/>
    <w:rsid w:val="008C5DCB"/>
    <w:rsid w:val="008C627E"/>
    <w:rsid w:val="008C68DD"/>
    <w:rsid w:val="008C6B70"/>
    <w:rsid w:val="008C7C12"/>
    <w:rsid w:val="008C7E70"/>
    <w:rsid w:val="008D077A"/>
    <w:rsid w:val="008D0BD6"/>
    <w:rsid w:val="008D11E6"/>
    <w:rsid w:val="008D12A2"/>
    <w:rsid w:val="008D1901"/>
    <w:rsid w:val="008D2CE5"/>
    <w:rsid w:val="008D3043"/>
    <w:rsid w:val="008D338F"/>
    <w:rsid w:val="008D3AA8"/>
    <w:rsid w:val="008D3D94"/>
    <w:rsid w:val="008D3FE8"/>
    <w:rsid w:val="008D49E3"/>
    <w:rsid w:val="008D5862"/>
    <w:rsid w:val="008D590D"/>
    <w:rsid w:val="008D695E"/>
    <w:rsid w:val="008D6BC6"/>
    <w:rsid w:val="008E04FD"/>
    <w:rsid w:val="008E0630"/>
    <w:rsid w:val="008E0745"/>
    <w:rsid w:val="008E0A0C"/>
    <w:rsid w:val="008E1539"/>
    <w:rsid w:val="008E1B42"/>
    <w:rsid w:val="008E1F36"/>
    <w:rsid w:val="008E21EC"/>
    <w:rsid w:val="008E31D3"/>
    <w:rsid w:val="008E36B0"/>
    <w:rsid w:val="008E4334"/>
    <w:rsid w:val="008E4C8D"/>
    <w:rsid w:val="008E5506"/>
    <w:rsid w:val="008E67A4"/>
    <w:rsid w:val="008E6A55"/>
    <w:rsid w:val="008E6F12"/>
    <w:rsid w:val="008E7371"/>
    <w:rsid w:val="008E7638"/>
    <w:rsid w:val="008F0382"/>
    <w:rsid w:val="008F0690"/>
    <w:rsid w:val="008F0D91"/>
    <w:rsid w:val="008F125A"/>
    <w:rsid w:val="008F19FC"/>
    <w:rsid w:val="008F24BE"/>
    <w:rsid w:val="008F294F"/>
    <w:rsid w:val="008F3018"/>
    <w:rsid w:val="008F3151"/>
    <w:rsid w:val="008F3894"/>
    <w:rsid w:val="008F48A2"/>
    <w:rsid w:val="008F6A7B"/>
    <w:rsid w:val="008F6D73"/>
    <w:rsid w:val="008F765D"/>
    <w:rsid w:val="008F795D"/>
    <w:rsid w:val="008F7F3D"/>
    <w:rsid w:val="00900A26"/>
    <w:rsid w:val="00900D01"/>
    <w:rsid w:val="00900EF4"/>
    <w:rsid w:val="009012E2"/>
    <w:rsid w:val="00902A2A"/>
    <w:rsid w:val="00903B84"/>
    <w:rsid w:val="00904164"/>
    <w:rsid w:val="00904191"/>
    <w:rsid w:val="00904FAB"/>
    <w:rsid w:val="009056E0"/>
    <w:rsid w:val="00905A89"/>
    <w:rsid w:val="00905ECA"/>
    <w:rsid w:val="009060EF"/>
    <w:rsid w:val="00906341"/>
    <w:rsid w:val="00906DB7"/>
    <w:rsid w:val="00906E55"/>
    <w:rsid w:val="0090788F"/>
    <w:rsid w:val="00907D45"/>
    <w:rsid w:val="009106E4"/>
    <w:rsid w:val="009107C4"/>
    <w:rsid w:val="00911171"/>
    <w:rsid w:val="00911C5A"/>
    <w:rsid w:val="00911CF6"/>
    <w:rsid w:val="00911F63"/>
    <w:rsid w:val="009120F2"/>
    <w:rsid w:val="0091231B"/>
    <w:rsid w:val="009124A4"/>
    <w:rsid w:val="00912835"/>
    <w:rsid w:val="00912BFA"/>
    <w:rsid w:val="0091311F"/>
    <w:rsid w:val="009135DB"/>
    <w:rsid w:val="00913BF9"/>
    <w:rsid w:val="00914835"/>
    <w:rsid w:val="00914BE6"/>
    <w:rsid w:val="00914CD6"/>
    <w:rsid w:val="00914DBD"/>
    <w:rsid w:val="009159F6"/>
    <w:rsid w:val="00915E0B"/>
    <w:rsid w:val="00916096"/>
    <w:rsid w:val="00920650"/>
    <w:rsid w:val="00920B62"/>
    <w:rsid w:val="00920E10"/>
    <w:rsid w:val="00921934"/>
    <w:rsid w:val="0092193D"/>
    <w:rsid w:val="00921A44"/>
    <w:rsid w:val="00921FEA"/>
    <w:rsid w:val="00922A87"/>
    <w:rsid w:val="00922A8F"/>
    <w:rsid w:val="00922E03"/>
    <w:rsid w:val="00922EB7"/>
    <w:rsid w:val="0092305A"/>
    <w:rsid w:val="00923109"/>
    <w:rsid w:val="00923A7A"/>
    <w:rsid w:val="00923B53"/>
    <w:rsid w:val="0092418F"/>
    <w:rsid w:val="00924E72"/>
    <w:rsid w:val="00925C4F"/>
    <w:rsid w:val="00925C7E"/>
    <w:rsid w:val="00925C87"/>
    <w:rsid w:val="009266C2"/>
    <w:rsid w:val="00926FF7"/>
    <w:rsid w:val="00927720"/>
    <w:rsid w:val="00927A62"/>
    <w:rsid w:val="00927F65"/>
    <w:rsid w:val="00930243"/>
    <w:rsid w:val="009316DF"/>
    <w:rsid w:val="009317DF"/>
    <w:rsid w:val="00931C56"/>
    <w:rsid w:val="0093222F"/>
    <w:rsid w:val="009325C9"/>
    <w:rsid w:val="00934030"/>
    <w:rsid w:val="0093443C"/>
    <w:rsid w:val="00935128"/>
    <w:rsid w:val="00935373"/>
    <w:rsid w:val="009356BE"/>
    <w:rsid w:val="00936317"/>
    <w:rsid w:val="009363B9"/>
    <w:rsid w:val="00936451"/>
    <w:rsid w:val="00936E0C"/>
    <w:rsid w:val="00937047"/>
    <w:rsid w:val="009377F6"/>
    <w:rsid w:val="00937A57"/>
    <w:rsid w:val="00937CF5"/>
    <w:rsid w:val="009402BF"/>
    <w:rsid w:val="0094058E"/>
    <w:rsid w:val="0094065A"/>
    <w:rsid w:val="00940B1E"/>
    <w:rsid w:val="00940D0E"/>
    <w:rsid w:val="009416CD"/>
    <w:rsid w:val="009417AB"/>
    <w:rsid w:val="00942013"/>
    <w:rsid w:val="009421D2"/>
    <w:rsid w:val="00942F33"/>
    <w:rsid w:val="009430C6"/>
    <w:rsid w:val="009434CC"/>
    <w:rsid w:val="00943B4C"/>
    <w:rsid w:val="00943B9B"/>
    <w:rsid w:val="0094434B"/>
    <w:rsid w:val="00945B42"/>
    <w:rsid w:val="00945D40"/>
    <w:rsid w:val="009460C8"/>
    <w:rsid w:val="00947636"/>
    <w:rsid w:val="009476A5"/>
    <w:rsid w:val="0094784D"/>
    <w:rsid w:val="009479B9"/>
    <w:rsid w:val="00947AB0"/>
    <w:rsid w:val="009505CE"/>
    <w:rsid w:val="009508D3"/>
    <w:rsid w:val="00950FBC"/>
    <w:rsid w:val="009513E0"/>
    <w:rsid w:val="00951950"/>
    <w:rsid w:val="009519DA"/>
    <w:rsid w:val="009520E3"/>
    <w:rsid w:val="00952140"/>
    <w:rsid w:val="0095230A"/>
    <w:rsid w:val="00952316"/>
    <w:rsid w:val="009524DF"/>
    <w:rsid w:val="0095274B"/>
    <w:rsid w:val="009531DD"/>
    <w:rsid w:val="0095362B"/>
    <w:rsid w:val="0095375D"/>
    <w:rsid w:val="009538EF"/>
    <w:rsid w:val="00953AA8"/>
    <w:rsid w:val="00953EE9"/>
    <w:rsid w:val="009540CC"/>
    <w:rsid w:val="00954CCF"/>
    <w:rsid w:val="009552C8"/>
    <w:rsid w:val="00956408"/>
    <w:rsid w:val="009569BF"/>
    <w:rsid w:val="00956ECF"/>
    <w:rsid w:val="00957037"/>
    <w:rsid w:val="00957A0D"/>
    <w:rsid w:val="00957CCB"/>
    <w:rsid w:val="00957D6A"/>
    <w:rsid w:val="0096054E"/>
    <w:rsid w:val="00960BD8"/>
    <w:rsid w:val="009610A9"/>
    <w:rsid w:val="00961560"/>
    <w:rsid w:val="00961F5E"/>
    <w:rsid w:val="00962111"/>
    <w:rsid w:val="00962125"/>
    <w:rsid w:val="00962667"/>
    <w:rsid w:val="00962E07"/>
    <w:rsid w:val="00962F2E"/>
    <w:rsid w:val="009640EC"/>
    <w:rsid w:val="00964456"/>
    <w:rsid w:val="0096482E"/>
    <w:rsid w:val="009652C8"/>
    <w:rsid w:val="0096589A"/>
    <w:rsid w:val="00965B9E"/>
    <w:rsid w:val="00965EA7"/>
    <w:rsid w:val="00965FCB"/>
    <w:rsid w:val="00966A65"/>
    <w:rsid w:val="00966CE4"/>
    <w:rsid w:val="009671E3"/>
    <w:rsid w:val="00967EE1"/>
    <w:rsid w:val="0097071C"/>
    <w:rsid w:val="009719D3"/>
    <w:rsid w:val="00971E95"/>
    <w:rsid w:val="009721E4"/>
    <w:rsid w:val="00972BF7"/>
    <w:rsid w:val="00972E02"/>
    <w:rsid w:val="009732D2"/>
    <w:rsid w:val="0097364D"/>
    <w:rsid w:val="009739FE"/>
    <w:rsid w:val="00973B74"/>
    <w:rsid w:val="00975418"/>
    <w:rsid w:val="00975864"/>
    <w:rsid w:val="009760ED"/>
    <w:rsid w:val="009765D5"/>
    <w:rsid w:val="009769AE"/>
    <w:rsid w:val="009778AD"/>
    <w:rsid w:val="00977A2C"/>
    <w:rsid w:val="00977D9D"/>
    <w:rsid w:val="009805D4"/>
    <w:rsid w:val="00981277"/>
    <w:rsid w:val="0098187E"/>
    <w:rsid w:val="00981B4A"/>
    <w:rsid w:val="00981C47"/>
    <w:rsid w:val="00982A7F"/>
    <w:rsid w:val="00982C2B"/>
    <w:rsid w:val="00982C3D"/>
    <w:rsid w:val="00982CEF"/>
    <w:rsid w:val="0098315B"/>
    <w:rsid w:val="00983618"/>
    <w:rsid w:val="00983B17"/>
    <w:rsid w:val="00983E35"/>
    <w:rsid w:val="00984E5F"/>
    <w:rsid w:val="00985672"/>
    <w:rsid w:val="00985E41"/>
    <w:rsid w:val="00986738"/>
    <w:rsid w:val="009876DB"/>
    <w:rsid w:val="00987A31"/>
    <w:rsid w:val="00987E7A"/>
    <w:rsid w:val="0099039C"/>
    <w:rsid w:val="009914A6"/>
    <w:rsid w:val="00991BB6"/>
    <w:rsid w:val="009925E9"/>
    <w:rsid w:val="00992DCA"/>
    <w:rsid w:val="00992E95"/>
    <w:rsid w:val="00993474"/>
    <w:rsid w:val="00993B3E"/>
    <w:rsid w:val="00994A58"/>
    <w:rsid w:val="0099501D"/>
    <w:rsid w:val="0099522B"/>
    <w:rsid w:val="009954AF"/>
    <w:rsid w:val="00996742"/>
    <w:rsid w:val="009A001A"/>
    <w:rsid w:val="009A0805"/>
    <w:rsid w:val="009A179E"/>
    <w:rsid w:val="009A18A4"/>
    <w:rsid w:val="009A1B7A"/>
    <w:rsid w:val="009A241F"/>
    <w:rsid w:val="009A270B"/>
    <w:rsid w:val="009A2C29"/>
    <w:rsid w:val="009A2E92"/>
    <w:rsid w:val="009A3210"/>
    <w:rsid w:val="009A3BB4"/>
    <w:rsid w:val="009A3EED"/>
    <w:rsid w:val="009A4540"/>
    <w:rsid w:val="009A4DB3"/>
    <w:rsid w:val="009A51F9"/>
    <w:rsid w:val="009A63BA"/>
    <w:rsid w:val="009A7364"/>
    <w:rsid w:val="009A77C9"/>
    <w:rsid w:val="009A7DB0"/>
    <w:rsid w:val="009AF63C"/>
    <w:rsid w:val="009B02F9"/>
    <w:rsid w:val="009B1A9D"/>
    <w:rsid w:val="009B1C6D"/>
    <w:rsid w:val="009B31BB"/>
    <w:rsid w:val="009B3E27"/>
    <w:rsid w:val="009B4847"/>
    <w:rsid w:val="009B509D"/>
    <w:rsid w:val="009B51D4"/>
    <w:rsid w:val="009B5583"/>
    <w:rsid w:val="009B5D1C"/>
    <w:rsid w:val="009B5F26"/>
    <w:rsid w:val="009B6705"/>
    <w:rsid w:val="009B6F28"/>
    <w:rsid w:val="009B749C"/>
    <w:rsid w:val="009C02CC"/>
    <w:rsid w:val="009C0742"/>
    <w:rsid w:val="009C0D06"/>
    <w:rsid w:val="009C12A1"/>
    <w:rsid w:val="009C162C"/>
    <w:rsid w:val="009C3C7D"/>
    <w:rsid w:val="009C43E8"/>
    <w:rsid w:val="009C4793"/>
    <w:rsid w:val="009C5050"/>
    <w:rsid w:val="009C6217"/>
    <w:rsid w:val="009C628B"/>
    <w:rsid w:val="009C676F"/>
    <w:rsid w:val="009C74D4"/>
    <w:rsid w:val="009C753F"/>
    <w:rsid w:val="009D0906"/>
    <w:rsid w:val="009D0907"/>
    <w:rsid w:val="009D13B5"/>
    <w:rsid w:val="009D18D3"/>
    <w:rsid w:val="009D1F77"/>
    <w:rsid w:val="009D2A6F"/>
    <w:rsid w:val="009D3F27"/>
    <w:rsid w:val="009D4605"/>
    <w:rsid w:val="009D4D1E"/>
    <w:rsid w:val="009D50DB"/>
    <w:rsid w:val="009D55D4"/>
    <w:rsid w:val="009D586A"/>
    <w:rsid w:val="009D61EF"/>
    <w:rsid w:val="009D6474"/>
    <w:rsid w:val="009D64E0"/>
    <w:rsid w:val="009D750C"/>
    <w:rsid w:val="009E0D03"/>
    <w:rsid w:val="009E144C"/>
    <w:rsid w:val="009E240D"/>
    <w:rsid w:val="009E3235"/>
    <w:rsid w:val="009E417D"/>
    <w:rsid w:val="009E45ED"/>
    <w:rsid w:val="009E4976"/>
    <w:rsid w:val="009E4CFB"/>
    <w:rsid w:val="009E577F"/>
    <w:rsid w:val="009E5E26"/>
    <w:rsid w:val="009E64FB"/>
    <w:rsid w:val="009E6867"/>
    <w:rsid w:val="009E6879"/>
    <w:rsid w:val="009E6A46"/>
    <w:rsid w:val="009E7BE5"/>
    <w:rsid w:val="009E7E03"/>
    <w:rsid w:val="009F007F"/>
    <w:rsid w:val="009F0401"/>
    <w:rsid w:val="009F0647"/>
    <w:rsid w:val="009F0D5B"/>
    <w:rsid w:val="009F0F1C"/>
    <w:rsid w:val="009F1F0E"/>
    <w:rsid w:val="009F262A"/>
    <w:rsid w:val="009F27ED"/>
    <w:rsid w:val="009F2B6E"/>
    <w:rsid w:val="009F2D9F"/>
    <w:rsid w:val="009F31D8"/>
    <w:rsid w:val="009F3E82"/>
    <w:rsid w:val="009F4723"/>
    <w:rsid w:val="009F48BD"/>
    <w:rsid w:val="009F49B2"/>
    <w:rsid w:val="009F4AA3"/>
    <w:rsid w:val="009F4D86"/>
    <w:rsid w:val="009F55E9"/>
    <w:rsid w:val="009F582F"/>
    <w:rsid w:val="009F5B9A"/>
    <w:rsid w:val="009F5E3F"/>
    <w:rsid w:val="009F6113"/>
    <w:rsid w:val="009F628F"/>
    <w:rsid w:val="009F63D4"/>
    <w:rsid w:val="009F6FCF"/>
    <w:rsid w:val="009F7807"/>
    <w:rsid w:val="009F7DFB"/>
    <w:rsid w:val="00A01134"/>
    <w:rsid w:val="00A01E72"/>
    <w:rsid w:val="00A025D5"/>
    <w:rsid w:val="00A0301E"/>
    <w:rsid w:val="00A041C9"/>
    <w:rsid w:val="00A046BF"/>
    <w:rsid w:val="00A04886"/>
    <w:rsid w:val="00A051BE"/>
    <w:rsid w:val="00A070C5"/>
    <w:rsid w:val="00A1081D"/>
    <w:rsid w:val="00A10E54"/>
    <w:rsid w:val="00A123B5"/>
    <w:rsid w:val="00A1283D"/>
    <w:rsid w:val="00A12C5B"/>
    <w:rsid w:val="00A133FC"/>
    <w:rsid w:val="00A134B9"/>
    <w:rsid w:val="00A13DF5"/>
    <w:rsid w:val="00A13E8C"/>
    <w:rsid w:val="00A14883"/>
    <w:rsid w:val="00A15CF2"/>
    <w:rsid w:val="00A16138"/>
    <w:rsid w:val="00A16E10"/>
    <w:rsid w:val="00A177DC"/>
    <w:rsid w:val="00A17A79"/>
    <w:rsid w:val="00A17AC7"/>
    <w:rsid w:val="00A17CD1"/>
    <w:rsid w:val="00A20541"/>
    <w:rsid w:val="00A22AD6"/>
    <w:rsid w:val="00A22B1D"/>
    <w:rsid w:val="00A22C08"/>
    <w:rsid w:val="00A23844"/>
    <w:rsid w:val="00A23E04"/>
    <w:rsid w:val="00A242C9"/>
    <w:rsid w:val="00A243F5"/>
    <w:rsid w:val="00A2470F"/>
    <w:rsid w:val="00A24870"/>
    <w:rsid w:val="00A24CDC"/>
    <w:rsid w:val="00A251EE"/>
    <w:rsid w:val="00A25CA1"/>
    <w:rsid w:val="00A2661E"/>
    <w:rsid w:val="00A2686C"/>
    <w:rsid w:val="00A26A50"/>
    <w:rsid w:val="00A26C12"/>
    <w:rsid w:val="00A26F65"/>
    <w:rsid w:val="00A272D5"/>
    <w:rsid w:val="00A27613"/>
    <w:rsid w:val="00A27E9B"/>
    <w:rsid w:val="00A302F4"/>
    <w:rsid w:val="00A308FE"/>
    <w:rsid w:val="00A3102F"/>
    <w:rsid w:val="00A312AA"/>
    <w:rsid w:val="00A315A4"/>
    <w:rsid w:val="00A31BF0"/>
    <w:rsid w:val="00A32302"/>
    <w:rsid w:val="00A32904"/>
    <w:rsid w:val="00A33298"/>
    <w:rsid w:val="00A34012"/>
    <w:rsid w:val="00A346DB"/>
    <w:rsid w:val="00A346DE"/>
    <w:rsid w:val="00A355DF"/>
    <w:rsid w:val="00A35C61"/>
    <w:rsid w:val="00A35F90"/>
    <w:rsid w:val="00A36083"/>
    <w:rsid w:val="00A363AE"/>
    <w:rsid w:val="00A368C9"/>
    <w:rsid w:val="00A369E1"/>
    <w:rsid w:val="00A3702B"/>
    <w:rsid w:val="00A37828"/>
    <w:rsid w:val="00A378DF"/>
    <w:rsid w:val="00A37F4B"/>
    <w:rsid w:val="00A4036C"/>
    <w:rsid w:val="00A42185"/>
    <w:rsid w:val="00A424A8"/>
    <w:rsid w:val="00A426C5"/>
    <w:rsid w:val="00A427DB"/>
    <w:rsid w:val="00A434A3"/>
    <w:rsid w:val="00A43997"/>
    <w:rsid w:val="00A43E44"/>
    <w:rsid w:val="00A4474F"/>
    <w:rsid w:val="00A44E8C"/>
    <w:rsid w:val="00A450AC"/>
    <w:rsid w:val="00A452EA"/>
    <w:rsid w:val="00A460F4"/>
    <w:rsid w:val="00A46735"/>
    <w:rsid w:val="00A478BD"/>
    <w:rsid w:val="00A47A08"/>
    <w:rsid w:val="00A47AB1"/>
    <w:rsid w:val="00A501AF"/>
    <w:rsid w:val="00A5048B"/>
    <w:rsid w:val="00A51FC3"/>
    <w:rsid w:val="00A5215E"/>
    <w:rsid w:val="00A52434"/>
    <w:rsid w:val="00A52C46"/>
    <w:rsid w:val="00A52E09"/>
    <w:rsid w:val="00A53579"/>
    <w:rsid w:val="00A53602"/>
    <w:rsid w:val="00A539DD"/>
    <w:rsid w:val="00A54026"/>
    <w:rsid w:val="00A544F8"/>
    <w:rsid w:val="00A549D3"/>
    <w:rsid w:val="00A549EF"/>
    <w:rsid w:val="00A54F8E"/>
    <w:rsid w:val="00A5624B"/>
    <w:rsid w:val="00A56E7F"/>
    <w:rsid w:val="00A571ED"/>
    <w:rsid w:val="00A608F6"/>
    <w:rsid w:val="00A6092D"/>
    <w:rsid w:val="00A60DB4"/>
    <w:rsid w:val="00A621F4"/>
    <w:rsid w:val="00A622AF"/>
    <w:rsid w:val="00A63295"/>
    <w:rsid w:val="00A64857"/>
    <w:rsid w:val="00A66813"/>
    <w:rsid w:val="00A66C2E"/>
    <w:rsid w:val="00A66D0B"/>
    <w:rsid w:val="00A67016"/>
    <w:rsid w:val="00A7048E"/>
    <w:rsid w:val="00A70CF8"/>
    <w:rsid w:val="00A70D39"/>
    <w:rsid w:val="00A71966"/>
    <w:rsid w:val="00A71A83"/>
    <w:rsid w:val="00A71D87"/>
    <w:rsid w:val="00A724A7"/>
    <w:rsid w:val="00A72888"/>
    <w:rsid w:val="00A739B7"/>
    <w:rsid w:val="00A743EC"/>
    <w:rsid w:val="00A746F3"/>
    <w:rsid w:val="00A75673"/>
    <w:rsid w:val="00A757DA"/>
    <w:rsid w:val="00A758A7"/>
    <w:rsid w:val="00A76119"/>
    <w:rsid w:val="00A76A1D"/>
    <w:rsid w:val="00A76AB0"/>
    <w:rsid w:val="00A76DAE"/>
    <w:rsid w:val="00A773D1"/>
    <w:rsid w:val="00A77464"/>
    <w:rsid w:val="00A779EA"/>
    <w:rsid w:val="00A8027E"/>
    <w:rsid w:val="00A806DC"/>
    <w:rsid w:val="00A819F7"/>
    <w:rsid w:val="00A81DAB"/>
    <w:rsid w:val="00A821BB"/>
    <w:rsid w:val="00A823C7"/>
    <w:rsid w:val="00A82B24"/>
    <w:rsid w:val="00A82C06"/>
    <w:rsid w:val="00A82C15"/>
    <w:rsid w:val="00A83666"/>
    <w:rsid w:val="00A84438"/>
    <w:rsid w:val="00A8478C"/>
    <w:rsid w:val="00A84A23"/>
    <w:rsid w:val="00A851B2"/>
    <w:rsid w:val="00A85B4C"/>
    <w:rsid w:val="00A861FC"/>
    <w:rsid w:val="00A8697C"/>
    <w:rsid w:val="00A86FF8"/>
    <w:rsid w:val="00A9001B"/>
    <w:rsid w:val="00A910DA"/>
    <w:rsid w:val="00A911CC"/>
    <w:rsid w:val="00A91F5F"/>
    <w:rsid w:val="00A92260"/>
    <w:rsid w:val="00A92A85"/>
    <w:rsid w:val="00A92D60"/>
    <w:rsid w:val="00A942EB"/>
    <w:rsid w:val="00A9440D"/>
    <w:rsid w:val="00A9449B"/>
    <w:rsid w:val="00A9467E"/>
    <w:rsid w:val="00A94957"/>
    <w:rsid w:val="00A94B7D"/>
    <w:rsid w:val="00A94BCA"/>
    <w:rsid w:val="00A954B0"/>
    <w:rsid w:val="00A95519"/>
    <w:rsid w:val="00A95811"/>
    <w:rsid w:val="00A9661C"/>
    <w:rsid w:val="00A96FD6"/>
    <w:rsid w:val="00A97B37"/>
    <w:rsid w:val="00A97F53"/>
    <w:rsid w:val="00AA0400"/>
    <w:rsid w:val="00AA0FCC"/>
    <w:rsid w:val="00AA13AA"/>
    <w:rsid w:val="00AA13F8"/>
    <w:rsid w:val="00AA1C9F"/>
    <w:rsid w:val="00AA2110"/>
    <w:rsid w:val="00AA24DC"/>
    <w:rsid w:val="00AA26FB"/>
    <w:rsid w:val="00AA2941"/>
    <w:rsid w:val="00AA299E"/>
    <w:rsid w:val="00AA2D26"/>
    <w:rsid w:val="00AA4B36"/>
    <w:rsid w:val="00AA54F3"/>
    <w:rsid w:val="00AA5523"/>
    <w:rsid w:val="00AA5744"/>
    <w:rsid w:val="00AA585C"/>
    <w:rsid w:val="00AA5DA7"/>
    <w:rsid w:val="00AA62D7"/>
    <w:rsid w:val="00AA6B1E"/>
    <w:rsid w:val="00AA6C14"/>
    <w:rsid w:val="00AA6D90"/>
    <w:rsid w:val="00AA7100"/>
    <w:rsid w:val="00AA755C"/>
    <w:rsid w:val="00AA7842"/>
    <w:rsid w:val="00AA7FB9"/>
    <w:rsid w:val="00AA7FC2"/>
    <w:rsid w:val="00AB0504"/>
    <w:rsid w:val="00AB0BE9"/>
    <w:rsid w:val="00AB1381"/>
    <w:rsid w:val="00AB20C3"/>
    <w:rsid w:val="00AB2941"/>
    <w:rsid w:val="00AB2F33"/>
    <w:rsid w:val="00AB342E"/>
    <w:rsid w:val="00AB34F0"/>
    <w:rsid w:val="00AB3A52"/>
    <w:rsid w:val="00AB3E3D"/>
    <w:rsid w:val="00AB4BE0"/>
    <w:rsid w:val="00AB4C39"/>
    <w:rsid w:val="00AB506E"/>
    <w:rsid w:val="00AB51A2"/>
    <w:rsid w:val="00AB5F66"/>
    <w:rsid w:val="00AB69F9"/>
    <w:rsid w:val="00AB73DA"/>
    <w:rsid w:val="00AB7501"/>
    <w:rsid w:val="00AB7ACB"/>
    <w:rsid w:val="00AC00AF"/>
    <w:rsid w:val="00AC0944"/>
    <w:rsid w:val="00AC09E2"/>
    <w:rsid w:val="00AC0BF4"/>
    <w:rsid w:val="00AC0FB6"/>
    <w:rsid w:val="00AC1169"/>
    <w:rsid w:val="00AC13B9"/>
    <w:rsid w:val="00AC140D"/>
    <w:rsid w:val="00AC192F"/>
    <w:rsid w:val="00AC1D8A"/>
    <w:rsid w:val="00AC219C"/>
    <w:rsid w:val="00AC29F4"/>
    <w:rsid w:val="00AC36DB"/>
    <w:rsid w:val="00AC3772"/>
    <w:rsid w:val="00AC3AD2"/>
    <w:rsid w:val="00AC490E"/>
    <w:rsid w:val="00AC5773"/>
    <w:rsid w:val="00AC5EF4"/>
    <w:rsid w:val="00AC6233"/>
    <w:rsid w:val="00AC6276"/>
    <w:rsid w:val="00AC77ED"/>
    <w:rsid w:val="00AC78D9"/>
    <w:rsid w:val="00AD0A87"/>
    <w:rsid w:val="00AD1455"/>
    <w:rsid w:val="00AD1B2C"/>
    <w:rsid w:val="00AD1B87"/>
    <w:rsid w:val="00AD225C"/>
    <w:rsid w:val="00AD2B3B"/>
    <w:rsid w:val="00AD2F53"/>
    <w:rsid w:val="00AD2F97"/>
    <w:rsid w:val="00AD3406"/>
    <w:rsid w:val="00AD434B"/>
    <w:rsid w:val="00AD4470"/>
    <w:rsid w:val="00AD4A92"/>
    <w:rsid w:val="00AD5372"/>
    <w:rsid w:val="00AD649C"/>
    <w:rsid w:val="00AD6602"/>
    <w:rsid w:val="00AD70DE"/>
    <w:rsid w:val="00AD752D"/>
    <w:rsid w:val="00AE072E"/>
    <w:rsid w:val="00AE1A8B"/>
    <w:rsid w:val="00AE1EDA"/>
    <w:rsid w:val="00AE213D"/>
    <w:rsid w:val="00AE28AB"/>
    <w:rsid w:val="00AE3C93"/>
    <w:rsid w:val="00AE43A3"/>
    <w:rsid w:val="00AE5A6D"/>
    <w:rsid w:val="00AE5B4E"/>
    <w:rsid w:val="00AE5B8C"/>
    <w:rsid w:val="00AE5EA4"/>
    <w:rsid w:val="00AE5F15"/>
    <w:rsid w:val="00AE6391"/>
    <w:rsid w:val="00AE6C02"/>
    <w:rsid w:val="00AE7137"/>
    <w:rsid w:val="00AE7324"/>
    <w:rsid w:val="00AF037A"/>
    <w:rsid w:val="00AF07B5"/>
    <w:rsid w:val="00AF0B7A"/>
    <w:rsid w:val="00AF135A"/>
    <w:rsid w:val="00AF142C"/>
    <w:rsid w:val="00AF1F62"/>
    <w:rsid w:val="00AF3074"/>
    <w:rsid w:val="00AF3741"/>
    <w:rsid w:val="00AF3759"/>
    <w:rsid w:val="00AF383B"/>
    <w:rsid w:val="00AF624D"/>
    <w:rsid w:val="00AF62D4"/>
    <w:rsid w:val="00AF666D"/>
    <w:rsid w:val="00AF6A2B"/>
    <w:rsid w:val="00AF6E65"/>
    <w:rsid w:val="00AF6F3A"/>
    <w:rsid w:val="00AF7227"/>
    <w:rsid w:val="00AF7241"/>
    <w:rsid w:val="00AF7333"/>
    <w:rsid w:val="00B00F46"/>
    <w:rsid w:val="00B01047"/>
    <w:rsid w:val="00B0145D"/>
    <w:rsid w:val="00B01FEE"/>
    <w:rsid w:val="00B020B4"/>
    <w:rsid w:val="00B022CC"/>
    <w:rsid w:val="00B0291E"/>
    <w:rsid w:val="00B02BBE"/>
    <w:rsid w:val="00B034D6"/>
    <w:rsid w:val="00B0354B"/>
    <w:rsid w:val="00B03579"/>
    <w:rsid w:val="00B03747"/>
    <w:rsid w:val="00B038BE"/>
    <w:rsid w:val="00B03B62"/>
    <w:rsid w:val="00B049E6"/>
    <w:rsid w:val="00B04F7A"/>
    <w:rsid w:val="00B054D9"/>
    <w:rsid w:val="00B0589C"/>
    <w:rsid w:val="00B066AB"/>
    <w:rsid w:val="00B0679E"/>
    <w:rsid w:val="00B068B5"/>
    <w:rsid w:val="00B07147"/>
    <w:rsid w:val="00B07E4F"/>
    <w:rsid w:val="00B07EC5"/>
    <w:rsid w:val="00B10381"/>
    <w:rsid w:val="00B103F8"/>
    <w:rsid w:val="00B10753"/>
    <w:rsid w:val="00B10B64"/>
    <w:rsid w:val="00B1315C"/>
    <w:rsid w:val="00B13557"/>
    <w:rsid w:val="00B146B1"/>
    <w:rsid w:val="00B14EA9"/>
    <w:rsid w:val="00B15DB8"/>
    <w:rsid w:val="00B16BB5"/>
    <w:rsid w:val="00B17061"/>
    <w:rsid w:val="00B17123"/>
    <w:rsid w:val="00B1717F"/>
    <w:rsid w:val="00B17291"/>
    <w:rsid w:val="00B17305"/>
    <w:rsid w:val="00B17672"/>
    <w:rsid w:val="00B17CCD"/>
    <w:rsid w:val="00B202C8"/>
    <w:rsid w:val="00B20BC8"/>
    <w:rsid w:val="00B20C59"/>
    <w:rsid w:val="00B20CA2"/>
    <w:rsid w:val="00B21FBE"/>
    <w:rsid w:val="00B21FD6"/>
    <w:rsid w:val="00B229B7"/>
    <w:rsid w:val="00B22D2F"/>
    <w:rsid w:val="00B23197"/>
    <w:rsid w:val="00B23D25"/>
    <w:rsid w:val="00B250AF"/>
    <w:rsid w:val="00B25595"/>
    <w:rsid w:val="00B25C1F"/>
    <w:rsid w:val="00B264BC"/>
    <w:rsid w:val="00B27427"/>
    <w:rsid w:val="00B2755C"/>
    <w:rsid w:val="00B27816"/>
    <w:rsid w:val="00B30A8D"/>
    <w:rsid w:val="00B30CFE"/>
    <w:rsid w:val="00B30E36"/>
    <w:rsid w:val="00B31094"/>
    <w:rsid w:val="00B31173"/>
    <w:rsid w:val="00B31206"/>
    <w:rsid w:val="00B3148D"/>
    <w:rsid w:val="00B3152A"/>
    <w:rsid w:val="00B32001"/>
    <w:rsid w:val="00B32170"/>
    <w:rsid w:val="00B32500"/>
    <w:rsid w:val="00B325FA"/>
    <w:rsid w:val="00B33E69"/>
    <w:rsid w:val="00B33E76"/>
    <w:rsid w:val="00B3408E"/>
    <w:rsid w:val="00B34661"/>
    <w:rsid w:val="00B34690"/>
    <w:rsid w:val="00B346BF"/>
    <w:rsid w:val="00B3508B"/>
    <w:rsid w:val="00B35245"/>
    <w:rsid w:val="00B35650"/>
    <w:rsid w:val="00B359EE"/>
    <w:rsid w:val="00B35A5D"/>
    <w:rsid w:val="00B36067"/>
    <w:rsid w:val="00B36417"/>
    <w:rsid w:val="00B365B4"/>
    <w:rsid w:val="00B3660D"/>
    <w:rsid w:val="00B36D84"/>
    <w:rsid w:val="00B40439"/>
    <w:rsid w:val="00B41644"/>
    <w:rsid w:val="00B41D96"/>
    <w:rsid w:val="00B42593"/>
    <w:rsid w:val="00B4309F"/>
    <w:rsid w:val="00B43229"/>
    <w:rsid w:val="00B43D86"/>
    <w:rsid w:val="00B45AAE"/>
    <w:rsid w:val="00B45B2D"/>
    <w:rsid w:val="00B45F73"/>
    <w:rsid w:val="00B46118"/>
    <w:rsid w:val="00B465B3"/>
    <w:rsid w:val="00B46814"/>
    <w:rsid w:val="00B47AAD"/>
    <w:rsid w:val="00B47ED5"/>
    <w:rsid w:val="00B50264"/>
    <w:rsid w:val="00B5074F"/>
    <w:rsid w:val="00B5102D"/>
    <w:rsid w:val="00B5198D"/>
    <w:rsid w:val="00B51CF6"/>
    <w:rsid w:val="00B51D39"/>
    <w:rsid w:val="00B52F48"/>
    <w:rsid w:val="00B52F4E"/>
    <w:rsid w:val="00B53261"/>
    <w:rsid w:val="00B536A7"/>
    <w:rsid w:val="00B53845"/>
    <w:rsid w:val="00B53BB5"/>
    <w:rsid w:val="00B53D34"/>
    <w:rsid w:val="00B53D55"/>
    <w:rsid w:val="00B542DF"/>
    <w:rsid w:val="00B54F78"/>
    <w:rsid w:val="00B55861"/>
    <w:rsid w:val="00B5661F"/>
    <w:rsid w:val="00B56799"/>
    <w:rsid w:val="00B569C6"/>
    <w:rsid w:val="00B569D6"/>
    <w:rsid w:val="00B56A23"/>
    <w:rsid w:val="00B57357"/>
    <w:rsid w:val="00B573CB"/>
    <w:rsid w:val="00B57486"/>
    <w:rsid w:val="00B603BC"/>
    <w:rsid w:val="00B60715"/>
    <w:rsid w:val="00B60B00"/>
    <w:rsid w:val="00B60C62"/>
    <w:rsid w:val="00B61E30"/>
    <w:rsid w:val="00B62018"/>
    <w:rsid w:val="00B62728"/>
    <w:rsid w:val="00B6347E"/>
    <w:rsid w:val="00B63BA2"/>
    <w:rsid w:val="00B63D26"/>
    <w:rsid w:val="00B64BDB"/>
    <w:rsid w:val="00B64D43"/>
    <w:rsid w:val="00B65570"/>
    <w:rsid w:val="00B65A74"/>
    <w:rsid w:val="00B65A78"/>
    <w:rsid w:val="00B65E3F"/>
    <w:rsid w:val="00B661E6"/>
    <w:rsid w:val="00B6630D"/>
    <w:rsid w:val="00B663F3"/>
    <w:rsid w:val="00B70666"/>
    <w:rsid w:val="00B71374"/>
    <w:rsid w:val="00B71BD5"/>
    <w:rsid w:val="00B71C6B"/>
    <w:rsid w:val="00B71D51"/>
    <w:rsid w:val="00B722E9"/>
    <w:rsid w:val="00B729E0"/>
    <w:rsid w:val="00B72AC7"/>
    <w:rsid w:val="00B73F55"/>
    <w:rsid w:val="00B744AB"/>
    <w:rsid w:val="00B74876"/>
    <w:rsid w:val="00B74ACE"/>
    <w:rsid w:val="00B752FF"/>
    <w:rsid w:val="00B75BD6"/>
    <w:rsid w:val="00B75C8B"/>
    <w:rsid w:val="00B75D97"/>
    <w:rsid w:val="00B76388"/>
    <w:rsid w:val="00B779FF"/>
    <w:rsid w:val="00B77B42"/>
    <w:rsid w:val="00B77C42"/>
    <w:rsid w:val="00B802CB"/>
    <w:rsid w:val="00B80926"/>
    <w:rsid w:val="00B80C5A"/>
    <w:rsid w:val="00B819BB"/>
    <w:rsid w:val="00B81AC3"/>
    <w:rsid w:val="00B824B2"/>
    <w:rsid w:val="00B82851"/>
    <w:rsid w:val="00B833EA"/>
    <w:rsid w:val="00B836AC"/>
    <w:rsid w:val="00B83DEB"/>
    <w:rsid w:val="00B84406"/>
    <w:rsid w:val="00B84A5D"/>
    <w:rsid w:val="00B8520D"/>
    <w:rsid w:val="00B854DA"/>
    <w:rsid w:val="00B85909"/>
    <w:rsid w:val="00B85A84"/>
    <w:rsid w:val="00B861A6"/>
    <w:rsid w:val="00B86307"/>
    <w:rsid w:val="00B86522"/>
    <w:rsid w:val="00B869BD"/>
    <w:rsid w:val="00B86A8E"/>
    <w:rsid w:val="00B86D89"/>
    <w:rsid w:val="00B86F37"/>
    <w:rsid w:val="00B870B7"/>
    <w:rsid w:val="00B873B1"/>
    <w:rsid w:val="00B875A5"/>
    <w:rsid w:val="00B9120B"/>
    <w:rsid w:val="00B912FA"/>
    <w:rsid w:val="00B916A1"/>
    <w:rsid w:val="00B91849"/>
    <w:rsid w:val="00B9259D"/>
    <w:rsid w:val="00B9291A"/>
    <w:rsid w:val="00B92AEA"/>
    <w:rsid w:val="00B92BB9"/>
    <w:rsid w:val="00B92DA6"/>
    <w:rsid w:val="00B932FB"/>
    <w:rsid w:val="00B937B9"/>
    <w:rsid w:val="00B9387F"/>
    <w:rsid w:val="00B93EF1"/>
    <w:rsid w:val="00B94343"/>
    <w:rsid w:val="00B9437C"/>
    <w:rsid w:val="00B9491A"/>
    <w:rsid w:val="00B94B3F"/>
    <w:rsid w:val="00B94B76"/>
    <w:rsid w:val="00B94CE3"/>
    <w:rsid w:val="00B95218"/>
    <w:rsid w:val="00B95560"/>
    <w:rsid w:val="00B95DB3"/>
    <w:rsid w:val="00B96185"/>
    <w:rsid w:val="00B96A1A"/>
    <w:rsid w:val="00B96B59"/>
    <w:rsid w:val="00B972A6"/>
    <w:rsid w:val="00B97AA5"/>
    <w:rsid w:val="00BA04E5"/>
    <w:rsid w:val="00BA07F8"/>
    <w:rsid w:val="00BA0A3C"/>
    <w:rsid w:val="00BA12BF"/>
    <w:rsid w:val="00BA16F8"/>
    <w:rsid w:val="00BA2B63"/>
    <w:rsid w:val="00BA2F77"/>
    <w:rsid w:val="00BA3010"/>
    <w:rsid w:val="00BA3057"/>
    <w:rsid w:val="00BA3DA6"/>
    <w:rsid w:val="00BA3F94"/>
    <w:rsid w:val="00BA40F2"/>
    <w:rsid w:val="00BA50F3"/>
    <w:rsid w:val="00BA527F"/>
    <w:rsid w:val="00BA5C1A"/>
    <w:rsid w:val="00BA5D45"/>
    <w:rsid w:val="00BA5D61"/>
    <w:rsid w:val="00BA63BC"/>
    <w:rsid w:val="00BA6B4E"/>
    <w:rsid w:val="00BA6E2B"/>
    <w:rsid w:val="00BA6E6E"/>
    <w:rsid w:val="00BA6ED5"/>
    <w:rsid w:val="00BA6F93"/>
    <w:rsid w:val="00BA712C"/>
    <w:rsid w:val="00BA7CC0"/>
    <w:rsid w:val="00BB0893"/>
    <w:rsid w:val="00BB1096"/>
    <w:rsid w:val="00BB11B1"/>
    <w:rsid w:val="00BB1A1E"/>
    <w:rsid w:val="00BB1BF8"/>
    <w:rsid w:val="00BB1DB6"/>
    <w:rsid w:val="00BB23FA"/>
    <w:rsid w:val="00BB2416"/>
    <w:rsid w:val="00BB2727"/>
    <w:rsid w:val="00BB2D96"/>
    <w:rsid w:val="00BB314F"/>
    <w:rsid w:val="00BB34D0"/>
    <w:rsid w:val="00BB4315"/>
    <w:rsid w:val="00BB4C6D"/>
    <w:rsid w:val="00BB5094"/>
    <w:rsid w:val="00BB5143"/>
    <w:rsid w:val="00BB54E9"/>
    <w:rsid w:val="00BB5F82"/>
    <w:rsid w:val="00BB6847"/>
    <w:rsid w:val="00BB6AEB"/>
    <w:rsid w:val="00BB6B1F"/>
    <w:rsid w:val="00BB72B1"/>
    <w:rsid w:val="00BB7DC3"/>
    <w:rsid w:val="00BC00B1"/>
    <w:rsid w:val="00BC15F5"/>
    <w:rsid w:val="00BC27CA"/>
    <w:rsid w:val="00BC3919"/>
    <w:rsid w:val="00BC40ED"/>
    <w:rsid w:val="00BC4447"/>
    <w:rsid w:val="00BC5072"/>
    <w:rsid w:val="00BC51B5"/>
    <w:rsid w:val="00BC54E4"/>
    <w:rsid w:val="00BC5A53"/>
    <w:rsid w:val="00BC6A0E"/>
    <w:rsid w:val="00BC6BBA"/>
    <w:rsid w:val="00BC7072"/>
    <w:rsid w:val="00BD155E"/>
    <w:rsid w:val="00BD17FF"/>
    <w:rsid w:val="00BD285A"/>
    <w:rsid w:val="00BD2BB2"/>
    <w:rsid w:val="00BD3F41"/>
    <w:rsid w:val="00BD40E2"/>
    <w:rsid w:val="00BD4190"/>
    <w:rsid w:val="00BD4294"/>
    <w:rsid w:val="00BD45C6"/>
    <w:rsid w:val="00BD60E2"/>
    <w:rsid w:val="00BD6855"/>
    <w:rsid w:val="00BD6AAF"/>
    <w:rsid w:val="00BD6FEA"/>
    <w:rsid w:val="00BD776B"/>
    <w:rsid w:val="00BD7C82"/>
    <w:rsid w:val="00BD7E61"/>
    <w:rsid w:val="00BE07E2"/>
    <w:rsid w:val="00BE1614"/>
    <w:rsid w:val="00BE1CA2"/>
    <w:rsid w:val="00BE2DE0"/>
    <w:rsid w:val="00BE324A"/>
    <w:rsid w:val="00BE40DE"/>
    <w:rsid w:val="00BE4166"/>
    <w:rsid w:val="00BE434D"/>
    <w:rsid w:val="00BE4913"/>
    <w:rsid w:val="00BE4FB5"/>
    <w:rsid w:val="00BE5F04"/>
    <w:rsid w:val="00BE5F90"/>
    <w:rsid w:val="00BE66A6"/>
    <w:rsid w:val="00BE7146"/>
    <w:rsid w:val="00BE7A39"/>
    <w:rsid w:val="00BE7BBE"/>
    <w:rsid w:val="00BF016D"/>
    <w:rsid w:val="00BF062C"/>
    <w:rsid w:val="00BF0A85"/>
    <w:rsid w:val="00BF0DC7"/>
    <w:rsid w:val="00BF12E9"/>
    <w:rsid w:val="00BF1F40"/>
    <w:rsid w:val="00BF2288"/>
    <w:rsid w:val="00BF23CF"/>
    <w:rsid w:val="00BF26C9"/>
    <w:rsid w:val="00BF2B10"/>
    <w:rsid w:val="00BF2E82"/>
    <w:rsid w:val="00BF3834"/>
    <w:rsid w:val="00BF3A72"/>
    <w:rsid w:val="00BF52B6"/>
    <w:rsid w:val="00BF61C3"/>
    <w:rsid w:val="00BF64C3"/>
    <w:rsid w:val="00BF6762"/>
    <w:rsid w:val="00BF6CA9"/>
    <w:rsid w:val="00BF7D79"/>
    <w:rsid w:val="00C00432"/>
    <w:rsid w:val="00C0051E"/>
    <w:rsid w:val="00C00E23"/>
    <w:rsid w:val="00C0136F"/>
    <w:rsid w:val="00C01530"/>
    <w:rsid w:val="00C01756"/>
    <w:rsid w:val="00C019F8"/>
    <w:rsid w:val="00C02757"/>
    <w:rsid w:val="00C046BE"/>
    <w:rsid w:val="00C056A9"/>
    <w:rsid w:val="00C05EE6"/>
    <w:rsid w:val="00C0604C"/>
    <w:rsid w:val="00C064D8"/>
    <w:rsid w:val="00C06686"/>
    <w:rsid w:val="00C069BE"/>
    <w:rsid w:val="00C070F8"/>
    <w:rsid w:val="00C075DE"/>
    <w:rsid w:val="00C07606"/>
    <w:rsid w:val="00C078CD"/>
    <w:rsid w:val="00C07BDE"/>
    <w:rsid w:val="00C0D1F1"/>
    <w:rsid w:val="00C0E02A"/>
    <w:rsid w:val="00C10D72"/>
    <w:rsid w:val="00C124B2"/>
    <w:rsid w:val="00C13A8C"/>
    <w:rsid w:val="00C13D55"/>
    <w:rsid w:val="00C13E3C"/>
    <w:rsid w:val="00C13EBC"/>
    <w:rsid w:val="00C14D1D"/>
    <w:rsid w:val="00C157F8"/>
    <w:rsid w:val="00C15B9E"/>
    <w:rsid w:val="00C17523"/>
    <w:rsid w:val="00C2083A"/>
    <w:rsid w:val="00C20CBF"/>
    <w:rsid w:val="00C211D6"/>
    <w:rsid w:val="00C2172A"/>
    <w:rsid w:val="00C2233D"/>
    <w:rsid w:val="00C22471"/>
    <w:rsid w:val="00C22560"/>
    <w:rsid w:val="00C23100"/>
    <w:rsid w:val="00C23816"/>
    <w:rsid w:val="00C23AE3"/>
    <w:rsid w:val="00C248CA"/>
    <w:rsid w:val="00C248FB"/>
    <w:rsid w:val="00C24D1B"/>
    <w:rsid w:val="00C253F8"/>
    <w:rsid w:val="00C25461"/>
    <w:rsid w:val="00C25AE4"/>
    <w:rsid w:val="00C26118"/>
    <w:rsid w:val="00C266FD"/>
    <w:rsid w:val="00C2716C"/>
    <w:rsid w:val="00C27C2B"/>
    <w:rsid w:val="00C30541"/>
    <w:rsid w:val="00C30C40"/>
    <w:rsid w:val="00C30DC4"/>
    <w:rsid w:val="00C30E0A"/>
    <w:rsid w:val="00C31A40"/>
    <w:rsid w:val="00C31B17"/>
    <w:rsid w:val="00C32FCF"/>
    <w:rsid w:val="00C33686"/>
    <w:rsid w:val="00C3397E"/>
    <w:rsid w:val="00C3450D"/>
    <w:rsid w:val="00C35773"/>
    <w:rsid w:val="00C35CD8"/>
    <w:rsid w:val="00C36584"/>
    <w:rsid w:val="00C36EEB"/>
    <w:rsid w:val="00C3740E"/>
    <w:rsid w:val="00C37943"/>
    <w:rsid w:val="00C37E7C"/>
    <w:rsid w:val="00C4030D"/>
    <w:rsid w:val="00C40CA3"/>
    <w:rsid w:val="00C40D1D"/>
    <w:rsid w:val="00C42E47"/>
    <w:rsid w:val="00C43642"/>
    <w:rsid w:val="00C43CD8"/>
    <w:rsid w:val="00C44702"/>
    <w:rsid w:val="00C44872"/>
    <w:rsid w:val="00C44ABD"/>
    <w:rsid w:val="00C45759"/>
    <w:rsid w:val="00C459D3"/>
    <w:rsid w:val="00C463C0"/>
    <w:rsid w:val="00C463DE"/>
    <w:rsid w:val="00C46BFC"/>
    <w:rsid w:val="00C46CEC"/>
    <w:rsid w:val="00C46F11"/>
    <w:rsid w:val="00C46F64"/>
    <w:rsid w:val="00C4710C"/>
    <w:rsid w:val="00C47F1F"/>
    <w:rsid w:val="00C47FE8"/>
    <w:rsid w:val="00C5088D"/>
    <w:rsid w:val="00C5092E"/>
    <w:rsid w:val="00C50BD3"/>
    <w:rsid w:val="00C50D0B"/>
    <w:rsid w:val="00C5192D"/>
    <w:rsid w:val="00C51A88"/>
    <w:rsid w:val="00C52554"/>
    <w:rsid w:val="00C527C1"/>
    <w:rsid w:val="00C52C43"/>
    <w:rsid w:val="00C52C8D"/>
    <w:rsid w:val="00C52D95"/>
    <w:rsid w:val="00C52FFD"/>
    <w:rsid w:val="00C532A6"/>
    <w:rsid w:val="00C53FC5"/>
    <w:rsid w:val="00C54306"/>
    <w:rsid w:val="00C55631"/>
    <w:rsid w:val="00C55CF4"/>
    <w:rsid w:val="00C56620"/>
    <w:rsid w:val="00C56F1E"/>
    <w:rsid w:val="00C57308"/>
    <w:rsid w:val="00C57ED9"/>
    <w:rsid w:val="00C601F9"/>
    <w:rsid w:val="00C60F63"/>
    <w:rsid w:val="00C6156F"/>
    <w:rsid w:val="00C61700"/>
    <w:rsid w:val="00C61D39"/>
    <w:rsid w:val="00C62E75"/>
    <w:rsid w:val="00C62E77"/>
    <w:rsid w:val="00C63001"/>
    <w:rsid w:val="00C636D3"/>
    <w:rsid w:val="00C639A9"/>
    <w:rsid w:val="00C64E1A"/>
    <w:rsid w:val="00C64F8D"/>
    <w:rsid w:val="00C6583C"/>
    <w:rsid w:val="00C65907"/>
    <w:rsid w:val="00C67023"/>
    <w:rsid w:val="00C6787A"/>
    <w:rsid w:val="00C70270"/>
    <w:rsid w:val="00C71AC7"/>
    <w:rsid w:val="00C72BA4"/>
    <w:rsid w:val="00C72F50"/>
    <w:rsid w:val="00C7325A"/>
    <w:rsid w:val="00C7412D"/>
    <w:rsid w:val="00C747E3"/>
    <w:rsid w:val="00C749D7"/>
    <w:rsid w:val="00C74C56"/>
    <w:rsid w:val="00C75B74"/>
    <w:rsid w:val="00C75E25"/>
    <w:rsid w:val="00C76469"/>
    <w:rsid w:val="00C764B6"/>
    <w:rsid w:val="00C765D6"/>
    <w:rsid w:val="00C76870"/>
    <w:rsid w:val="00C77496"/>
    <w:rsid w:val="00C80887"/>
    <w:rsid w:val="00C80D37"/>
    <w:rsid w:val="00C80DDB"/>
    <w:rsid w:val="00C8107D"/>
    <w:rsid w:val="00C810D0"/>
    <w:rsid w:val="00C811C7"/>
    <w:rsid w:val="00C81504"/>
    <w:rsid w:val="00C81CA1"/>
    <w:rsid w:val="00C82030"/>
    <w:rsid w:val="00C827F0"/>
    <w:rsid w:val="00C828BA"/>
    <w:rsid w:val="00C82EBC"/>
    <w:rsid w:val="00C83240"/>
    <w:rsid w:val="00C8372D"/>
    <w:rsid w:val="00C846D5"/>
    <w:rsid w:val="00C84D03"/>
    <w:rsid w:val="00C85357"/>
    <w:rsid w:val="00C8576C"/>
    <w:rsid w:val="00C859DA"/>
    <w:rsid w:val="00C85DA4"/>
    <w:rsid w:val="00C8656D"/>
    <w:rsid w:val="00C86C43"/>
    <w:rsid w:val="00C879BC"/>
    <w:rsid w:val="00C87EC1"/>
    <w:rsid w:val="00C902D5"/>
    <w:rsid w:val="00C9050A"/>
    <w:rsid w:val="00C90757"/>
    <w:rsid w:val="00C907C9"/>
    <w:rsid w:val="00C90EB6"/>
    <w:rsid w:val="00C91610"/>
    <w:rsid w:val="00C91B4F"/>
    <w:rsid w:val="00C924B6"/>
    <w:rsid w:val="00C93237"/>
    <w:rsid w:val="00C932D7"/>
    <w:rsid w:val="00C934C0"/>
    <w:rsid w:val="00C938F1"/>
    <w:rsid w:val="00C952AE"/>
    <w:rsid w:val="00C953FF"/>
    <w:rsid w:val="00C95446"/>
    <w:rsid w:val="00C95D15"/>
    <w:rsid w:val="00C9685D"/>
    <w:rsid w:val="00C96B39"/>
    <w:rsid w:val="00C96E3E"/>
    <w:rsid w:val="00C9770A"/>
    <w:rsid w:val="00C97A65"/>
    <w:rsid w:val="00C97E3B"/>
    <w:rsid w:val="00CA0518"/>
    <w:rsid w:val="00CA07B6"/>
    <w:rsid w:val="00CA08B9"/>
    <w:rsid w:val="00CA0B29"/>
    <w:rsid w:val="00CA0E7F"/>
    <w:rsid w:val="00CA13E0"/>
    <w:rsid w:val="00CA1A18"/>
    <w:rsid w:val="00CA2CDB"/>
    <w:rsid w:val="00CA33FD"/>
    <w:rsid w:val="00CA3AE4"/>
    <w:rsid w:val="00CA411F"/>
    <w:rsid w:val="00CA4790"/>
    <w:rsid w:val="00CA503C"/>
    <w:rsid w:val="00CA5147"/>
    <w:rsid w:val="00CA5521"/>
    <w:rsid w:val="00CA66E4"/>
    <w:rsid w:val="00CA7B35"/>
    <w:rsid w:val="00CB0438"/>
    <w:rsid w:val="00CB0A10"/>
    <w:rsid w:val="00CB0E6B"/>
    <w:rsid w:val="00CB1352"/>
    <w:rsid w:val="00CB20AC"/>
    <w:rsid w:val="00CB2797"/>
    <w:rsid w:val="00CB2AE2"/>
    <w:rsid w:val="00CB2B75"/>
    <w:rsid w:val="00CB2FB4"/>
    <w:rsid w:val="00CB323D"/>
    <w:rsid w:val="00CB373D"/>
    <w:rsid w:val="00CB435D"/>
    <w:rsid w:val="00CB5216"/>
    <w:rsid w:val="00CB5B22"/>
    <w:rsid w:val="00CB5BC2"/>
    <w:rsid w:val="00CB6A1C"/>
    <w:rsid w:val="00CB709E"/>
    <w:rsid w:val="00CB79C2"/>
    <w:rsid w:val="00CB7B70"/>
    <w:rsid w:val="00CC02F4"/>
    <w:rsid w:val="00CC1CD0"/>
    <w:rsid w:val="00CC27BE"/>
    <w:rsid w:val="00CC306D"/>
    <w:rsid w:val="00CC3223"/>
    <w:rsid w:val="00CC3273"/>
    <w:rsid w:val="00CC3A7B"/>
    <w:rsid w:val="00CC3E24"/>
    <w:rsid w:val="00CC50A1"/>
    <w:rsid w:val="00CC51AB"/>
    <w:rsid w:val="00CC5467"/>
    <w:rsid w:val="00CC550C"/>
    <w:rsid w:val="00CC6092"/>
    <w:rsid w:val="00CC61D9"/>
    <w:rsid w:val="00CC6210"/>
    <w:rsid w:val="00CC6B16"/>
    <w:rsid w:val="00CC6C65"/>
    <w:rsid w:val="00CC6F0A"/>
    <w:rsid w:val="00CC736D"/>
    <w:rsid w:val="00CC7717"/>
    <w:rsid w:val="00CC7BC5"/>
    <w:rsid w:val="00CD093C"/>
    <w:rsid w:val="00CD18CD"/>
    <w:rsid w:val="00CD25F1"/>
    <w:rsid w:val="00CD2CAC"/>
    <w:rsid w:val="00CD2E04"/>
    <w:rsid w:val="00CD321A"/>
    <w:rsid w:val="00CD389B"/>
    <w:rsid w:val="00CD3A71"/>
    <w:rsid w:val="00CD44D3"/>
    <w:rsid w:val="00CD554A"/>
    <w:rsid w:val="00CD5C61"/>
    <w:rsid w:val="00CD5FE0"/>
    <w:rsid w:val="00CD72B4"/>
    <w:rsid w:val="00CD7347"/>
    <w:rsid w:val="00CD74D6"/>
    <w:rsid w:val="00CD7913"/>
    <w:rsid w:val="00CE0219"/>
    <w:rsid w:val="00CE0430"/>
    <w:rsid w:val="00CE07DF"/>
    <w:rsid w:val="00CE102A"/>
    <w:rsid w:val="00CE1276"/>
    <w:rsid w:val="00CE1805"/>
    <w:rsid w:val="00CE1EDA"/>
    <w:rsid w:val="00CE1FAD"/>
    <w:rsid w:val="00CE214A"/>
    <w:rsid w:val="00CE2AF5"/>
    <w:rsid w:val="00CE2D05"/>
    <w:rsid w:val="00CE335E"/>
    <w:rsid w:val="00CE3381"/>
    <w:rsid w:val="00CE36D5"/>
    <w:rsid w:val="00CE3841"/>
    <w:rsid w:val="00CE3AB5"/>
    <w:rsid w:val="00CE4728"/>
    <w:rsid w:val="00CE61AB"/>
    <w:rsid w:val="00CE6CB7"/>
    <w:rsid w:val="00CE70EC"/>
    <w:rsid w:val="00CE755E"/>
    <w:rsid w:val="00CE7D5A"/>
    <w:rsid w:val="00CF05EF"/>
    <w:rsid w:val="00CF0E85"/>
    <w:rsid w:val="00CF13D9"/>
    <w:rsid w:val="00CF15B9"/>
    <w:rsid w:val="00CF1A22"/>
    <w:rsid w:val="00CF2712"/>
    <w:rsid w:val="00CF2E55"/>
    <w:rsid w:val="00CF31F3"/>
    <w:rsid w:val="00CF3A35"/>
    <w:rsid w:val="00CF3C53"/>
    <w:rsid w:val="00CF3DCE"/>
    <w:rsid w:val="00CF42C8"/>
    <w:rsid w:val="00CF4DF1"/>
    <w:rsid w:val="00CF5A22"/>
    <w:rsid w:val="00CF5F7B"/>
    <w:rsid w:val="00CF6EC5"/>
    <w:rsid w:val="00CF744B"/>
    <w:rsid w:val="00CF764F"/>
    <w:rsid w:val="00CF7C92"/>
    <w:rsid w:val="00D008AF"/>
    <w:rsid w:val="00D00C46"/>
    <w:rsid w:val="00D00C83"/>
    <w:rsid w:val="00D014CA"/>
    <w:rsid w:val="00D01625"/>
    <w:rsid w:val="00D0175A"/>
    <w:rsid w:val="00D019F5"/>
    <w:rsid w:val="00D01BC7"/>
    <w:rsid w:val="00D025FA"/>
    <w:rsid w:val="00D02A1C"/>
    <w:rsid w:val="00D0369C"/>
    <w:rsid w:val="00D036A5"/>
    <w:rsid w:val="00D037E9"/>
    <w:rsid w:val="00D03B75"/>
    <w:rsid w:val="00D05222"/>
    <w:rsid w:val="00D05648"/>
    <w:rsid w:val="00D05DA4"/>
    <w:rsid w:val="00D06368"/>
    <w:rsid w:val="00D069B4"/>
    <w:rsid w:val="00D06C9B"/>
    <w:rsid w:val="00D06DAF"/>
    <w:rsid w:val="00D105BA"/>
    <w:rsid w:val="00D10707"/>
    <w:rsid w:val="00D10795"/>
    <w:rsid w:val="00D10E4D"/>
    <w:rsid w:val="00D10E8E"/>
    <w:rsid w:val="00D11523"/>
    <w:rsid w:val="00D122EE"/>
    <w:rsid w:val="00D125BE"/>
    <w:rsid w:val="00D12B02"/>
    <w:rsid w:val="00D131BB"/>
    <w:rsid w:val="00D13237"/>
    <w:rsid w:val="00D13F12"/>
    <w:rsid w:val="00D147CE"/>
    <w:rsid w:val="00D14A68"/>
    <w:rsid w:val="00D14F5B"/>
    <w:rsid w:val="00D1509E"/>
    <w:rsid w:val="00D15495"/>
    <w:rsid w:val="00D1574E"/>
    <w:rsid w:val="00D16AA6"/>
    <w:rsid w:val="00D16D51"/>
    <w:rsid w:val="00D176D9"/>
    <w:rsid w:val="00D17BE0"/>
    <w:rsid w:val="00D2035D"/>
    <w:rsid w:val="00D2042C"/>
    <w:rsid w:val="00D20948"/>
    <w:rsid w:val="00D20A48"/>
    <w:rsid w:val="00D20CE9"/>
    <w:rsid w:val="00D20D1A"/>
    <w:rsid w:val="00D21C48"/>
    <w:rsid w:val="00D2200C"/>
    <w:rsid w:val="00D224BD"/>
    <w:rsid w:val="00D22AE8"/>
    <w:rsid w:val="00D23A59"/>
    <w:rsid w:val="00D23C87"/>
    <w:rsid w:val="00D2406E"/>
    <w:rsid w:val="00D2415A"/>
    <w:rsid w:val="00D2433A"/>
    <w:rsid w:val="00D24F7D"/>
    <w:rsid w:val="00D2585C"/>
    <w:rsid w:val="00D25E98"/>
    <w:rsid w:val="00D26B36"/>
    <w:rsid w:val="00D26C0B"/>
    <w:rsid w:val="00D272E8"/>
    <w:rsid w:val="00D27A0B"/>
    <w:rsid w:val="00D30247"/>
    <w:rsid w:val="00D303D9"/>
    <w:rsid w:val="00D3053F"/>
    <w:rsid w:val="00D305D6"/>
    <w:rsid w:val="00D308C6"/>
    <w:rsid w:val="00D30A76"/>
    <w:rsid w:val="00D30B6C"/>
    <w:rsid w:val="00D31257"/>
    <w:rsid w:val="00D31E3C"/>
    <w:rsid w:val="00D32597"/>
    <w:rsid w:val="00D3444A"/>
    <w:rsid w:val="00D34492"/>
    <w:rsid w:val="00D3497A"/>
    <w:rsid w:val="00D34E14"/>
    <w:rsid w:val="00D35064"/>
    <w:rsid w:val="00D35FC9"/>
    <w:rsid w:val="00D36821"/>
    <w:rsid w:val="00D36B10"/>
    <w:rsid w:val="00D37223"/>
    <w:rsid w:val="00D37418"/>
    <w:rsid w:val="00D3761B"/>
    <w:rsid w:val="00D40311"/>
    <w:rsid w:val="00D4068F"/>
    <w:rsid w:val="00D407DA"/>
    <w:rsid w:val="00D4123B"/>
    <w:rsid w:val="00D41A44"/>
    <w:rsid w:val="00D41A95"/>
    <w:rsid w:val="00D41FFF"/>
    <w:rsid w:val="00D42084"/>
    <w:rsid w:val="00D4324D"/>
    <w:rsid w:val="00D4368D"/>
    <w:rsid w:val="00D43707"/>
    <w:rsid w:val="00D43CFB"/>
    <w:rsid w:val="00D44348"/>
    <w:rsid w:val="00D447E3"/>
    <w:rsid w:val="00D44A91"/>
    <w:rsid w:val="00D45967"/>
    <w:rsid w:val="00D45AAE"/>
    <w:rsid w:val="00D462BC"/>
    <w:rsid w:val="00D46545"/>
    <w:rsid w:val="00D46B6C"/>
    <w:rsid w:val="00D46CD5"/>
    <w:rsid w:val="00D47071"/>
    <w:rsid w:val="00D47147"/>
    <w:rsid w:val="00D47291"/>
    <w:rsid w:val="00D47904"/>
    <w:rsid w:val="00D47BF3"/>
    <w:rsid w:val="00D47F17"/>
    <w:rsid w:val="00D5017D"/>
    <w:rsid w:val="00D501C2"/>
    <w:rsid w:val="00D50224"/>
    <w:rsid w:val="00D517DB"/>
    <w:rsid w:val="00D51E8A"/>
    <w:rsid w:val="00D51EA2"/>
    <w:rsid w:val="00D5227F"/>
    <w:rsid w:val="00D53963"/>
    <w:rsid w:val="00D53A02"/>
    <w:rsid w:val="00D5425B"/>
    <w:rsid w:val="00D548FA"/>
    <w:rsid w:val="00D54A7D"/>
    <w:rsid w:val="00D54CA6"/>
    <w:rsid w:val="00D56046"/>
    <w:rsid w:val="00D5652C"/>
    <w:rsid w:val="00D56815"/>
    <w:rsid w:val="00D569D0"/>
    <w:rsid w:val="00D571B5"/>
    <w:rsid w:val="00D57542"/>
    <w:rsid w:val="00D57761"/>
    <w:rsid w:val="00D57B42"/>
    <w:rsid w:val="00D60704"/>
    <w:rsid w:val="00D61512"/>
    <w:rsid w:val="00D62106"/>
    <w:rsid w:val="00D6375B"/>
    <w:rsid w:val="00D63A19"/>
    <w:rsid w:val="00D63AFF"/>
    <w:rsid w:val="00D63CC2"/>
    <w:rsid w:val="00D63D70"/>
    <w:rsid w:val="00D648F5"/>
    <w:rsid w:val="00D653E7"/>
    <w:rsid w:val="00D65A4D"/>
    <w:rsid w:val="00D66791"/>
    <w:rsid w:val="00D66D09"/>
    <w:rsid w:val="00D67095"/>
    <w:rsid w:val="00D70463"/>
    <w:rsid w:val="00D70A05"/>
    <w:rsid w:val="00D7121A"/>
    <w:rsid w:val="00D7151B"/>
    <w:rsid w:val="00D717EA"/>
    <w:rsid w:val="00D71C5C"/>
    <w:rsid w:val="00D72062"/>
    <w:rsid w:val="00D724FC"/>
    <w:rsid w:val="00D72DAC"/>
    <w:rsid w:val="00D730BC"/>
    <w:rsid w:val="00D73817"/>
    <w:rsid w:val="00D73AE5"/>
    <w:rsid w:val="00D7439F"/>
    <w:rsid w:val="00D754C7"/>
    <w:rsid w:val="00D75AB3"/>
    <w:rsid w:val="00D75BF8"/>
    <w:rsid w:val="00D75D4A"/>
    <w:rsid w:val="00D76417"/>
    <w:rsid w:val="00D76518"/>
    <w:rsid w:val="00D76532"/>
    <w:rsid w:val="00D7688E"/>
    <w:rsid w:val="00D77C29"/>
    <w:rsid w:val="00D77C51"/>
    <w:rsid w:val="00D80012"/>
    <w:rsid w:val="00D807E3"/>
    <w:rsid w:val="00D80E66"/>
    <w:rsid w:val="00D80EBF"/>
    <w:rsid w:val="00D81A4A"/>
    <w:rsid w:val="00D81A62"/>
    <w:rsid w:val="00D822CF"/>
    <w:rsid w:val="00D822F3"/>
    <w:rsid w:val="00D82BB6"/>
    <w:rsid w:val="00D82E4E"/>
    <w:rsid w:val="00D82F88"/>
    <w:rsid w:val="00D8355F"/>
    <w:rsid w:val="00D8453C"/>
    <w:rsid w:val="00D84EED"/>
    <w:rsid w:val="00D85414"/>
    <w:rsid w:val="00D854DB"/>
    <w:rsid w:val="00D857B8"/>
    <w:rsid w:val="00D85AD1"/>
    <w:rsid w:val="00D8668A"/>
    <w:rsid w:val="00D8694B"/>
    <w:rsid w:val="00D87BB2"/>
    <w:rsid w:val="00D9011B"/>
    <w:rsid w:val="00D908E9"/>
    <w:rsid w:val="00D90BB0"/>
    <w:rsid w:val="00D911B5"/>
    <w:rsid w:val="00D91600"/>
    <w:rsid w:val="00D919D2"/>
    <w:rsid w:val="00D929D7"/>
    <w:rsid w:val="00D939AC"/>
    <w:rsid w:val="00D93C98"/>
    <w:rsid w:val="00D93D9D"/>
    <w:rsid w:val="00D93EAA"/>
    <w:rsid w:val="00D93F30"/>
    <w:rsid w:val="00D949DE"/>
    <w:rsid w:val="00D95413"/>
    <w:rsid w:val="00D95427"/>
    <w:rsid w:val="00D9605E"/>
    <w:rsid w:val="00D9754D"/>
    <w:rsid w:val="00D97C84"/>
    <w:rsid w:val="00DA00F1"/>
    <w:rsid w:val="00DA0139"/>
    <w:rsid w:val="00DA136E"/>
    <w:rsid w:val="00DA1693"/>
    <w:rsid w:val="00DA1889"/>
    <w:rsid w:val="00DA1FA6"/>
    <w:rsid w:val="00DA26EE"/>
    <w:rsid w:val="00DA3577"/>
    <w:rsid w:val="00DA37C8"/>
    <w:rsid w:val="00DA3872"/>
    <w:rsid w:val="00DA38F4"/>
    <w:rsid w:val="00DA3CD8"/>
    <w:rsid w:val="00DA406D"/>
    <w:rsid w:val="00DA4114"/>
    <w:rsid w:val="00DA43E6"/>
    <w:rsid w:val="00DA50CE"/>
    <w:rsid w:val="00DA5345"/>
    <w:rsid w:val="00DA5904"/>
    <w:rsid w:val="00DA5BAD"/>
    <w:rsid w:val="00DA5E0F"/>
    <w:rsid w:val="00DA65D8"/>
    <w:rsid w:val="00DA6B56"/>
    <w:rsid w:val="00DA6C8F"/>
    <w:rsid w:val="00DA7534"/>
    <w:rsid w:val="00DA7797"/>
    <w:rsid w:val="00DA7E04"/>
    <w:rsid w:val="00DB02E2"/>
    <w:rsid w:val="00DB0972"/>
    <w:rsid w:val="00DB10C6"/>
    <w:rsid w:val="00DB2481"/>
    <w:rsid w:val="00DB2B94"/>
    <w:rsid w:val="00DB2CBE"/>
    <w:rsid w:val="00DB32C8"/>
    <w:rsid w:val="00DB3340"/>
    <w:rsid w:val="00DB3C93"/>
    <w:rsid w:val="00DB3E00"/>
    <w:rsid w:val="00DB3FBC"/>
    <w:rsid w:val="00DB41FB"/>
    <w:rsid w:val="00DB461E"/>
    <w:rsid w:val="00DB4B59"/>
    <w:rsid w:val="00DB4E63"/>
    <w:rsid w:val="00DB52FD"/>
    <w:rsid w:val="00DB5754"/>
    <w:rsid w:val="00DB589C"/>
    <w:rsid w:val="00DB6AF4"/>
    <w:rsid w:val="00DB6DC8"/>
    <w:rsid w:val="00DB756F"/>
    <w:rsid w:val="00DB78FE"/>
    <w:rsid w:val="00DB7958"/>
    <w:rsid w:val="00DB7CDF"/>
    <w:rsid w:val="00DB7D08"/>
    <w:rsid w:val="00DB7D5E"/>
    <w:rsid w:val="00DC039C"/>
    <w:rsid w:val="00DC0992"/>
    <w:rsid w:val="00DC13AC"/>
    <w:rsid w:val="00DC14F0"/>
    <w:rsid w:val="00DC1E5D"/>
    <w:rsid w:val="00DC2ADB"/>
    <w:rsid w:val="00DC2D1F"/>
    <w:rsid w:val="00DC3051"/>
    <w:rsid w:val="00DC3541"/>
    <w:rsid w:val="00DC4036"/>
    <w:rsid w:val="00DC487C"/>
    <w:rsid w:val="00DC4DA3"/>
    <w:rsid w:val="00DC52E3"/>
    <w:rsid w:val="00DC5527"/>
    <w:rsid w:val="00DC554C"/>
    <w:rsid w:val="00DC5766"/>
    <w:rsid w:val="00DC5E50"/>
    <w:rsid w:val="00DC630A"/>
    <w:rsid w:val="00DC6666"/>
    <w:rsid w:val="00DC711B"/>
    <w:rsid w:val="00DD074D"/>
    <w:rsid w:val="00DD07F3"/>
    <w:rsid w:val="00DD08D1"/>
    <w:rsid w:val="00DD103D"/>
    <w:rsid w:val="00DD14AC"/>
    <w:rsid w:val="00DD150B"/>
    <w:rsid w:val="00DD32DF"/>
    <w:rsid w:val="00DD36A6"/>
    <w:rsid w:val="00DD3731"/>
    <w:rsid w:val="00DD38E6"/>
    <w:rsid w:val="00DD4967"/>
    <w:rsid w:val="00DD49A3"/>
    <w:rsid w:val="00DD593B"/>
    <w:rsid w:val="00DD5A33"/>
    <w:rsid w:val="00DD66DC"/>
    <w:rsid w:val="00DD6BBD"/>
    <w:rsid w:val="00DD70E6"/>
    <w:rsid w:val="00DD7907"/>
    <w:rsid w:val="00DD7B1E"/>
    <w:rsid w:val="00DE0138"/>
    <w:rsid w:val="00DE04D9"/>
    <w:rsid w:val="00DE07D7"/>
    <w:rsid w:val="00DE08F5"/>
    <w:rsid w:val="00DE125E"/>
    <w:rsid w:val="00DE2983"/>
    <w:rsid w:val="00DE29A9"/>
    <w:rsid w:val="00DE2F97"/>
    <w:rsid w:val="00DE3FAE"/>
    <w:rsid w:val="00DE4047"/>
    <w:rsid w:val="00DE4395"/>
    <w:rsid w:val="00DE43EE"/>
    <w:rsid w:val="00DE4A65"/>
    <w:rsid w:val="00DE55FA"/>
    <w:rsid w:val="00DE57EF"/>
    <w:rsid w:val="00DE5D95"/>
    <w:rsid w:val="00DE6037"/>
    <w:rsid w:val="00DE70FE"/>
    <w:rsid w:val="00DE7337"/>
    <w:rsid w:val="00DE786C"/>
    <w:rsid w:val="00DF0647"/>
    <w:rsid w:val="00DF0CEA"/>
    <w:rsid w:val="00DF1B6E"/>
    <w:rsid w:val="00DF26AA"/>
    <w:rsid w:val="00DF2986"/>
    <w:rsid w:val="00DF3766"/>
    <w:rsid w:val="00DF3B7B"/>
    <w:rsid w:val="00DF3DC4"/>
    <w:rsid w:val="00DF4098"/>
    <w:rsid w:val="00DF4832"/>
    <w:rsid w:val="00DF4C13"/>
    <w:rsid w:val="00DF4D6A"/>
    <w:rsid w:val="00DF517C"/>
    <w:rsid w:val="00DF53C8"/>
    <w:rsid w:val="00DF560A"/>
    <w:rsid w:val="00DF5EA7"/>
    <w:rsid w:val="00DF63E1"/>
    <w:rsid w:val="00DF6443"/>
    <w:rsid w:val="00DF68AC"/>
    <w:rsid w:val="00DF758D"/>
    <w:rsid w:val="00DF7793"/>
    <w:rsid w:val="00DF77E5"/>
    <w:rsid w:val="00DF799D"/>
    <w:rsid w:val="00DF7FA9"/>
    <w:rsid w:val="00E003CE"/>
    <w:rsid w:val="00E009A4"/>
    <w:rsid w:val="00E02237"/>
    <w:rsid w:val="00E025F4"/>
    <w:rsid w:val="00E03572"/>
    <w:rsid w:val="00E036CB"/>
    <w:rsid w:val="00E04563"/>
    <w:rsid w:val="00E04C2C"/>
    <w:rsid w:val="00E04CDB"/>
    <w:rsid w:val="00E05AD9"/>
    <w:rsid w:val="00E05B37"/>
    <w:rsid w:val="00E05EF1"/>
    <w:rsid w:val="00E061EE"/>
    <w:rsid w:val="00E062F4"/>
    <w:rsid w:val="00E06762"/>
    <w:rsid w:val="00E068E1"/>
    <w:rsid w:val="00E070F9"/>
    <w:rsid w:val="00E102EC"/>
    <w:rsid w:val="00E11809"/>
    <w:rsid w:val="00E11B4B"/>
    <w:rsid w:val="00E11DC4"/>
    <w:rsid w:val="00E11FB5"/>
    <w:rsid w:val="00E1250B"/>
    <w:rsid w:val="00E13490"/>
    <w:rsid w:val="00E14384"/>
    <w:rsid w:val="00E1516B"/>
    <w:rsid w:val="00E1593A"/>
    <w:rsid w:val="00E17717"/>
    <w:rsid w:val="00E17875"/>
    <w:rsid w:val="00E208AE"/>
    <w:rsid w:val="00E2124E"/>
    <w:rsid w:val="00E217A6"/>
    <w:rsid w:val="00E21B83"/>
    <w:rsid w:val="00E21E08"/>
    <w:rsid w:val="00E21EE9"/>
    <w:rsid w:val="00E22030"/>
    <w:rsid w:val="00E221E0"/>
    <w:rsid w:val="00E230D6"/>
    <w:rsid w:val="00E234F7"/>
    <w:rsid w:val="00E24196"/>
    <w:rsid w:val="00E244F6"/>
    <w:rsid w:val="00E249F1"/>
    <w:rsid w:val="00E2508A"/>
    <w:rsid w:val="00E25755"/>
    <w:rsid w:val="00E25B2A"/>
    <w:rsid w:val="00E268A5"/>
    <w:rsid w:val="00E26DEE"/>
    <w:rsid w:val="00E26F25"/>
    <w:rsid w:val="00E275F4"/>
    <w:rsid w:val="00E27F53"/>
    <w:rsid w:val="00E300AF"/>
    <w:rsid w:val="00E31967"/>
    <w:rsid w:val="00E32481"/>
    <w:rsid w:val="00E32583"/>
    <w:rsid w:val="00E32F09"/>
    <w:rsid w:val="00E3307C"/>
    <w:rsid w:val="00E331EF"/>
    <w:rsid w:val="00E33973"/>
    <w:rsid w:val="00E33F44"/>
    <w:rsid w:val="00E33F9A"/>
    <w:rsid w:val="00E348B9"/>
    <w:rsid w:val="00E349FA"/>
    <w:rsid w:val="00E34A43"/>
    <w:rsid w:val="00E34DB8"/>
    <w:rsid w:val="00E351F4"/>
    <w:rsid w:val="00E352B2"/>
    <w:rsid w:val="00E3531F"/>
    <w:rsid w:val="00E353F7"/>
    <w:rsid w:val="00E35925"/>
    <w:rsid w:val="00E36401"/>
    <w:rsid w:val="00E368F0"/>
    <w:rsid w:val="00E41907"/>
    <w:rsid w:val="00E429A1"/>
    <w:rsid w:val="00E4322D"/>
    <w:rsid w:val="00E43417"/>
    <w:rsid w:val="00E43DCB"/>
    <w:rsid w:val="00E441DC"/>
    <w:rsid w:val="00E444A1"/>
    <w:rsid w:val="00E44B41"/>
    <w:rsid w:val="00E451CD"/>
    <w:rsid w:val="00E45CAA"/>
    <w:rsid w:val="00E46EA9"/>
    <w:rsid w:val="00E46F4C"/>
    <w:rsid w:val="00E472BD"/>
    <w:rsid w:val="00E5012A"/>
    <w:rsid w:val="00E508AA"/>
    <w:rsid w:val="00E519E1"/>
    <w:rsid w:val="00E51AC0"/>
    <w:rsid w:val="00E51C97"/>
    <w:rsid w:val="00E52030"/>
    <w:rsid w:val="00E52427"/>
    <w:rsid w:val="00E52499"/>
    <w:rsid w:val="00E535E0"/>
    <w:rsid w:val="00E5378D"/>
    <w:rsid w:val="00E542FC"/>
    <w:rsid w:val="00E547D1"/>
    <w:rsid w:val="00E54C26"/>
    <w:rsid w:val="00E54E6B"/>
    <w:rsid w:val="00E54EAD"/>
    <w:rsid w:val="00E55003"/>
    <w:rsid w:val="00E5610B"/>
    <w:rsid w:val="00E5613B"/>
    <w:rsid w:val="00E57CCB"/>
    <w:rsid w:val="00E60030"/>
    <w:rsid w:val="00E60801"/>
    <w:rsid w:val="00E61044"/>
    <w:rsid w:val="00E613A5"/>
    <w:rsid w:val="00E6143D"/>
    <w:rsid w:val="00E61643"/>
    <w:rsid w:val="00E61A92"/>
    <w:rsid w:val="00E61C6A"/>
    <w:rsid w:val="00E62769"/>
    <w:rsid w:val="00E62C6C"/>
    <w:rsid w:val="00E62E18"/>
    <w:rsid w:val="00E63425"/>
    <w:rsid w:val="00E64766"/>
    <w:rsid w:val="00E648E3"/>
    <w:rsid w:val="00E659D1"/>
    <w:rsid w:val="00E66A38"/>
    <w:rsid w:val="00E66F67"/>
    <w:rsid w:val="00E676EE"/>
    <w:rsid w:val="00E67895"/>
    <w:rsid w:val="00E679B1"/>
    <w:rsid w:val="00E70188"/>
    <w:rsid w:val="00E706F4"/>
    <w:rsid w:val="00E708A7"/>
    <w:rsid w:val="00E70A87"/>
    <w:rsid w:val="00E70AFE"/>
    <w:rsid w:val="00E71D42"/>
    <w:rsid w:val="00E726D1"/>
    <w:rsid w:val="00E728ED"/>
    <w:rsid w:val="00E72BA0"/>
    <w:rsid w:val="00E72BF9"/>
    <w:rsid w:val="00E72D7B"/>
    <w:rsid w:val="00E734FE"/>
    <w:rsid w:val="00E73593"/>
    <w:rsid w:val="00E73846"/>
    <w:rsid w:val="00E73963"/>
    <w:rsid w:val="00E73C0A"/>
    <w:rsid w:val="00E73E8C"/>
    <w:rsid w:val="00E74650"/>
    <w:rsid w:val="00E7485D"/>
    <w:rsid w:val="00E7486C"/>
    <w:rsid w:val="00E763F3"/>
    <w:rsid w:val="00E7646D"/>
    <w:rsid w:val="00E76B9D"/>
    <w:rsid w:val="00E76B9F"/>
    <w:rsid w:val="00E76D5B"/>
    <w:rsid w:val="00E77BDD"/>
    <w:rsid w:val="00E77C0C"/>
    <w:rsid w:val="00E77CA2"/>
    <w:rsid w:val="00E804A2"/>
    <w:rsid w:val="00E8079C"/>
    <w:rsid w:val="00E80AF8"/>
    <w:rsid w:val="00E813F0"/>
    <w:rsid w:val="00E81AFA"/>
    <w:rsid w:val="00E81EA8"/>
    <w:rsid w:val="00E8201C"/>
    <w:rsid w:val="00E82123"/>
    <w:rsid w:val="00E82A3D"/>
    <w:rsid w:val="00E82AD3"/>
    <w:rsid w:val="00E82D45"/>
    <w:rsid w:val="00E834F3"/>
    <w:rsid w:val="00E83A3D"/>
    <w:rsid w:val="00E83B08"/>
    <w:rsid w:val="00E83D57"/>
    <w:rsid w:val="00E83DDD"/>
    <w:rsid w:val="00E8404C"/>
    <w:rsid w:val="00E840CD"/>
    <w:rsid w:val="00E842DA"/>
    <w:rsid w:val="00E84DC9"/>
    <w:rsid w:val="00E84FA4"/>
    <w:rsid w:val="00E850D1"/>
    <w:rsid w:val="00E85840"/>
    <w:rsid w:val="00E85CE4"/>
    <w:rsid w:val="00E85FBE"/>
    <w:rsid w:val="00E861A5"/>
    <w:rsid w:val="00E862C4"/>
    <w:rsid w:val="00E86705"/>
    <w:rsid w:val="00E8699A"/>
    <w:rsid w:val="00E872F0"/>
    <w:rsid w:val="00E873B9"/>
    <w:rsid w:val="00E87B0E"/>
    <w:rsid w:val="00E902FE"/>
    <w:rsid w:val="00E903CD"/>
    <w:rsid w:val="00E90A62"/>
    <w:rsid w:val="00E90D8A"/>
    <w:rsid w:val="00E90F19"/>
    <w:rsid w:val="00E92095"/>
    <w:rsid w:val="00E929A6"/>
    <w:rsid w:val="00E93255"/>
    <w:rsid w:val="00E93D1F"/>
    <w:rsid w:val="00E93FDE"/>
    <w:rsid w:val="00E945BC"/>
    <w:rsid w:val="00E946BD"/>
    <w:rsid w:val="00E94BBB"/>
    <w:rsid w:val="00E955D6"/>
    <w:rsid w:val="00E9571F"/>
    <w:rsid w:val="00E95CE1"/>
    <w:rsid w:val="00E95F56"/>
    <w:rsid w:val="00E962D2"/>
    <w:rsid w:val="00E96503"/>
    <w:rsid w:val="00E96D9C"/>
    <w:rsid w:val="00E96F5E"/>
    <w:rsid w:val="00E979B0"/>
    <w:rsid w:val="00E97E4F"/>
    <w:rsid w:val="00E97F2F"/>
    <w:rsid w:val="00EA061C"/>
    <w:rsid w:val="00EA0779"/>
    <w:rsid w:val="00EA1A9C"/>
    <w:rsid w:val="00EA2032"/>
    <w:rsid w:val="00EA28F3"/>
    <w:rsid w:val="00EA2E6B"/>
    <w:rsid w:val="00EA3242"/>
    <w:rsid w:val="00EA411F"/>
    <w:rsid w:val="00EA4504"/>
    <w:rsid w:val="00EA45B5"/>
    <w:rsid w:val="00EA4B54"/>
    <w:rsid w:val="00EA5F74"/>
    <w:rsid w:val="00EA64FC"/>
    <w:rsid w:val="00EA67C2"/>
    <w:rsid w:val="00EA6E8A"/>
    <w:rsid w:val="00EA7589"/>
    <w:rsid w:val="00EA7A4C"/>
    <w:rsid w:val="00EB088D"/>
    <w:rsid w:val="00EB12CD"/>
    <w:rsid w:val="00EB3DAB"/>
    <w:rsid w:val="00EB47F6"/>
    <w:rsid w:val="00EB4827"/>
    <w:rsid w:val="00EB5299"/>
    <w:rsid w:val="00EB529A"/>
    <w:rsid w:val="00EB52A0"/>
    <w:rsid w:val="00EB560A"/>
    <w:rsid w:val="00EB5A5A"/>
    <w:rsid w:val="00EB646F"/>
    <w:rsid w:val="00EB774B"/>
    <w:rsid w:val="00EC05A9"/>
    <w:rsid w:val="00EC11BB"/>
    <w:rsid w:val="00EC125E"/>
    <w:rsid w:val="00EC1547"/>
    <w:rsid w:val="00EC1783"/>
    <w:rsid w:val="00EC1784"/>
    <w:rsid w:val="00EC1EF0"/>
    <w:rsid w:val="00EC1F20"/>
    <w:rsid w:val="00EC26EF"/>
    <w:rsid w:val="00EC29B5"/>
    <w:rsid w:val="00EC2A94"/>
    <w:rsid w:val="00EC3704"/>
    <w:rsid w:val="00EC4689"/>
    <w:rsid w:val="00EC483B"/>
    <w:rsid w:val="00EC4E3C"/>
    <w:rsid w:val="00EC59EC"/>
    <w:rsid w:val="00EC6C02"/>
    <w:rsid w:val="00EC6C7F"/>
    <w:rsid w:val="00EC6F4D"/>
    <w:rsid w:val="00EC78BD"/>
    <w:rsid w:val="00EC7CDA"/>
    <w:rsid w:val="00ED0562"/>
    <w:rsid w:val="00ED06F5"/>
    <w:rsid w:val="00ED1009"/>
    <w:rsid w:val="00ED1543"/>
    <w:rsid w:val="00ED156E"/>
    <w:rsid w:val="00ED2298"/>
    <w:rsid w:val="00ED27CE"/>
    <w:rsid w:val="00ED3200"/>
    <w:rsid w:val="00ED34F9"/>
    <w:rsid w:val="00ED3960"/>
    <w:rsid w:val="00ED3D65"/>
    <w:rsid w:val="00ED40DD"/>
    <w:rsid w:val="00ED4FA8"/>
    <w:rsid w:val="00ED505A"/>
    <w:rsid w:val="00ED53B1"/>
    <w:rsid w:val="00ED574E"/>
    <w:rsid w:val="00ED5E7F"/>
    <w:rsid w:val="00ED60CC"/>
    <w:rsid w:val="00ED76AC"/>
    <w:rsid w:val="00ED77F6"/>
    <w:rsid w:val="00ED7ECA"/>
    <w:rsid w:val="00EE0080"/>
    <w:rsid w:val="00EE0C35"/>
    <w:rsid w:val="00EE0D29"/>
    <w:rsid w:val="00EE1161"/>
    <w:rsid w:val="00EE16D1"/>
    <w:rsid w:val="00EE2B99"/>
    <w:rsid w:val="00EE2C8F"/>
    <w:rsid w:val="00EE2DDE"/>
    <w:rsid w:val="00EE3132"/>
    <w:rsid w:val="00EE34C5"/>
    <w:rsid w:val="00EE35BB"/>
    <w:rsid w:val="00EE4183"/>
    <w:rsid w:val="00EE47B4"/>
    <w:rsid w:val="00EE4E21"/>
    <w:rsid w:val="00EE6245"/>
    <w:rsid w:val="00EE6577"/>
    <w:rsid w:val="00EE67E3"/>
    <w:rsid w:val="00EE7AD0"/>
    <w:rsid w:val="00EE7C66"/>
    <w:rsid w:val="00EF05A2"/>
    <w:rsid w:val="00EF0C21"/>
    <w:rsid w:val="00EF12BB"/>
    <w:rsid w:val="00EF1A93"/>
    <w:rsid w:val="00EF1B38"/>
    <w:rsid w:val="00EF20CD"/>
    <w:rsid w:val="00EF24C1"/>
    <w:rsid w:val="00EF3540"/>
    <w:rsid w:val="00EF35A4"/>
    <w:rsid w:val="00EF383F"/>
    <w:rsid w:val="00EF3F05"/>
    <w:rsid w:val="00EF41C9"/>
    <w:rsid w:val="00EF4E51"/>
    <w:rsid w:val="00EF6717"/>
    <w:rsid w:val="00EF69A0"/>
    <w:rsid w:val="00EF6D4E"/>
    <w:rsid w:val="00EF73E4"/>
    <w:rsid w:val="00EF7713"/>
    <w:rsid w:val="00F0056C"/>
    <w:rsid w:val="00F007F8"/>
    <w:rsid w:val="00F00896"/>
    <w:rsid w:val="00F012BA"/>
    <w:rsid w:val="00F01CA5"/>
    <w:rsid w:val="00F01F00"/>
    <w:rsid w:val="00F01F20"/>
    <w:rsid w:val="00F02449"/>
    <w:rsid w:val="00F02A98"/>
    <w:rsid w:val="00F02ABE"/>
    <w:rsid w:val="00F03630"/>
    <w:rsid w:val="00F03632"/>
    <w:rsid w:val="00F0412D"/>
    <w:rsid w:val="00F04576"/>
    <w:rsid w:val="00F04DE7"/>
    <w:rsid w:val="00F0573C"/>
    <w:rsid w:val="00F058EA"/>
    <w:rsid w:val="00F06C27"/>
    <w:rsid w:val="00F076FA"/>
    <w:rsid w:val="00F07A33"/>
    <w:rsid w:val="00F10B30"/>
    <w:rsid w:val="00F119D7"/>
    <w:rsid w:val="00F11A06"/>
    <w:rsid w:val="00F11A22"/>
    <w:rsid w:val="00F11E7D"/>
    <w:rsid w:val="00F1283F"/>
    <w:rsid w:val="00F12CEC"/>
    <w:rsid w:val="00F12E19"/>
    <w:rsid w:val="00F131BC"/>
    <w:rsid w:val="00F13779"/>
    <w:rsid w:val="00F13915"/>
    <w:rsid w:val="00F13AA5"/>
    <w:rsid w:val="00F13B7D"/>
    <w:rsid w:val="00F14542"/>
    <w:rsid w:val="00F14850"/>
    <w:rsid w:val="00F14886"/>
    <w:rsid w:val="00F14E5F"/>
    <w:rsid w:val="00F15726"/>
    <w:rsid w:val="00F158D2"/>
    <w:rsid w:val="00F15B15"/>
    <w:rsid w:val="00F15F60"/>
    <w:rsid w:val="00F1631E"/>
    <w:rsid w:val="00F168D6"/>
    <w:rsid w:val="00F17635"/>
    <w:rsid w:val="00F1799A"/>
    <w:rsid w:val="00F17FDD"/>
    <w:rsid w:val="00F20464"/>
    <w:rsid w:val="00F21A35"/>
    <w:rsid w:val="00F224A1"/>
    <w:rsid w:val="00F22616"/>
    <w:rsid w:val="00F22EA7"/>
    <w:rsid w:val="00F22FC7"/>
    <w:rsid w:val="00F233D0"/>
    <w:rsid w:val="00F2408C"/>
    <w:rsid w:val="00F24189"/>
    <w:rsid w:val="00F24609"/>
    <w:rsid w:val="00F2534E"/>
    <w:rsid w:val="00F253E7"/>
    <w:rsid w:val="00F25409"/>
    <w:rsid w:val="00F2546E"/>
    <w:rsid w:val="00F25922"/>
    <w:rsid w:val="00F25E09"/>
    <w:rsid w:val="00F25E27"/>
    <w:rsid w:val="00F26063"/>
    <w:rsid w:val="00F26595"/>
    <w:rsid w:val="00F27229"/>
    <w:rsid w:val="00F2738B"/>
    <w:rsid w:val="00F27419"/>
    <w:rsid w:val="00F27549"/>
    <w:rsid w:val="00F30642"/>
    <w:rsid w:val="00F30D38"/>
    <w:rsid w:val="00F3107A"/>
    <w:rsid w:val="00F31851"/>
    <w:rsid w:val="00F329CD"/>
    <w:rsid w:val="00F32B7E"/>
    <w:rsid w:val="00F32D79"/>
    <w:rsid w:val="00F341A2"/>
    <w:rsid w:val="00F34742"/>
    <w:rsid w:val="00F34919"/>
    <w:rsid w:val="00F34A11"/>
    <w:rsid w:val="00F34F49"/>
    <w:rsid w:val="00F356A4"/>
    <w:rsid w:val="00F358E5"/>
    <w:rsid w:val="00F362C9"/>
    <w:rsid w:val="00F36457"/>
    <w:rsid w:val="00F36FD3"/>
    <w:rsid w:val="00F370C5"/>
    <w:rsid w:val="00F37DBF"/>
    <w:rsid w:val="00F4014D"/>
    <w:rsid w:val="00F40271"/>
    <w:rsid w:val="00F406E5"/>
    <w:rsid w:val="00F40A25"/>
    <w:rsid w:val="00F4112A"/>
    <w:rsid w:val="00F417A6"/>
    <w:rsid w:val="00F417CE"/>
    <w:rsid w:val="00F42339"/>
    <w:rsid w:val="00F42628"/>
    <w:rsid w:val="00F426AD"/>
    <w:rsid w:val="00F4336F"/>
    <w:rsid w:val="00F4351A"/>
    <w:rsid w:val="00F443C1"/>
    <w:rsid w:val="00F44505"/>
    <w:rsid w:val="00F44779"/>
    <w:rsid w:val="00F449A1"/>
    <w:rsid w:val="00F449FE"/>
    <w:rsid w:val="00F44BFA"/>
    <w:rsid w:val="00F44D5F"/>
    <w:rsid w:val="00F4579C"/>
    <w:rsid w:val="00F46111"/>
    <w:rsid w:val="00F46A62"/>
    <w:rsid w:val="00F46F74"/>
    <w:rsid w:val="00F47AFE"/>
    <w:rsid w:val="00F503E6"/>
    <w:rsid w:val="00F50C48"/>
    <w:rsid w:val="00F512F2"/>
    <w:rsid w:val="00F5148E"/>
    <w:rsid w:val="00F51E52"/>
    <w:rsid w:val="00F5265C"/>
    <w:rsid w:val="00F5298B"/>
    <w:rsid w:val="00F52D72"/>
    <w:rsid w:val="00F53359"/>
    <w:rsid w:val="00F54D45"/>
    <w:rsid w:val="00F54D7C"/>
    <w:rsid w:val="00F54DCB"/>
    <w:rsid w:val="00F5518E"/>
    <w:rsid w:val="00F556B8"/>
    <w:rsid w:val="00F56617"/>
    <w:rsid w:val="00F5699E"/>
    <w:rsid w:val="00F56FBD"/>
    <w:rsid w:val="00F57B66"/>
    <w:rsid w:val="00F607FD"/>
    <w:rsid w:val="00F60F43"/>
    <w:rsid w:val="00F63155"/>
    <w:rsid w:val="00F64FD9"/>
    <w:rsid w:val="00F6562E"/>
    <w:rsid w:val="00F65975"/>
    <w:rsid w:val="00F65A70"/>
    <w:rsid w:val="00F65E3D"/>
    <w:rsid w:val="00F6689E"/>
    <w:rsid w:val="00F668A3"/>
    <w:rsid w:val="00F67BF7"/>
    <w:rsid w:val="00F6D99B"/>
    <w:rsid w:val="00F7023C"/>
    <w:rsid w:val="00F706C4"/>
    <w:rsid w:val="00F717B5"/>
    <w:rsid w:val="00F71BE3"/>
    <w:rsid w:val="00F7273E"/>
    <w:rsid w:val="00F729F5"/>
    <w:rsid w:val="00F72FBB"/>
    <w:rsid w:val="00F73188"/>
    <w:rsid w:val="00F739BB"/>
    <w:rsid w:val="00F73A36"/>
    <w:rsid w:val="00F73E1C"/>
    <w:rsid w:val="00F75589"/>
    <w:rsid w:val="00F758F5"/>
    <w:rsid w:val="00F7598C"/>
    <w:rsid w:val="00F759F9"/>
    <w:rsid w:val="00F768AF"/>
    <w:rsid w:val="00F77DA1"/>
    <w:rsid w:val="00F80AB2"/>
    <w:rsid w:val="00F80F94"/>
    <w:rsid w:val="00F81046"/>
    <w:rsid w:val="00F81E56"/>
    <w:rsid w:val="00F81E67"/>
    <w:rsid w:val="00F81E95"/>
    <w:rsid w:val="00F81EB7"/>
    <w:rsid w:val="00F82152"/>
    <w:rsid w:val="00F8236E"/>
    <w:rsid w:val="00F82A3C"/>
    <w:rsid w:val="00F82C3B"/>
    <w:rsid w:val="00F8392D"/>
    <w:rsid w:val="00F83BB6"/>
    <w:rsid w:val="00F83BBA"/>
    <w:rsid w:val="00F8456A"/>
    <w:rsid w:val="00F85568"/>
    <w:rsid w:val="00F86455"/>
    <w:rsid w:val="00F87522"/>
    <w:rsid w:val="00F87B05"/>
    <w:rsid w:val="00F90074"/>
    <w:rsid w:val="00F90A6F"/>
    <w:rsid w:val="00F9115F"/>
    <w:rsid w:val="00F917FC"/>
    <w:rsid w:val="00F9180F"/>
    <w:rsid w:val="00F921A8"/>
    <w:rsid w:val="00F924C2"/>
    <w:rsid w:val="00F9316C"/>
    <w:rsid w:val="00F93312"/>
    <w:rsid w:val="00F94006"/>
    <w:rsid w:val="00F9414F"/>
    <w:rsid w:val="00F95DE6"/>
    <w:rsid w:val="00F96761"/>
    <w:rsid w:val="00F96C71"/>
    <w:rsid w:val="00F97331"/>
    <w:rsid w:val="00F97352"/>
    <w:rsid w:val="00F973AC"/>
    <w:rsid w:val="00F97471"/>
    <w:rsid w:val="00F97BC6"/>
    <w:rsid w:val="00FA030E"/>
    <w:rsid w:val="00FA1D94"/>
    <w:rsid w:val="00FA1F6B"/>
    <w:rsid w:val="00FA3B3C"/>
    <w:rsid w:val="00FA45EA"/>
    <w:rsid w:val="00FA5607"/>
    <w:rsid w:val="00FA6556"/>
    <w:rsid w:val="00FA6856"/>
    <w:rsid w:val="00FA7771"/>
    <w:rsid w:val="00FB01D1"/>
    <w:rsid w:val="00FB0517"/>
    <w:rsid w:val="00FB0CEF"/>
    <w:rsid w:val="00FB0EFA"/>
    <w:rsid w:val="00FB0FAD"/>
    <w:rsid w:val="00FB1458"/>
    <w:rsid w:val="00FB1504"/>
    <w:rsid w:val="00FB1739"/>
    <w:rsid w:val="00FB18E5"/>
    <w:rsid w:val="00FB1D5A"/>
    <w:rsid w:val="00FB2377"/>
    <w:rsid w:val="00FB256B"/>
    <w:rsid w:val="00FB2953"/>
    <w:rsid w:val="00FB29A3"/>
    <w:rsid w:val="00FB2CFE"/>
    <w:rsid w:val="00FB2DDF"/>
    <w:rsid w:val="00FB36AE"/>
    <w:rsid w:val="00FB388C"/>
    <w:rsid w:val="00FB3DD4"/>
    <w:rsid w:val="00FB4B18"/>
    <w:rsid w:val="00FB4F92"/>
    <w:rsid w:val="00FB58E2"/>
    <w:rsid w:val="00FB5933"/>
    <w:rsid w:val="00FB5DF7"/>
    <w:rsid w:val="00FB6B0B"/>
    <w:rsid w:val="00FB7141"/>
    <w:rsid w:val="00FB76DE"/>
    <w:rsid w:val="00FB7BDA"/>
    <w:rsid w:val="00FB7E8B"/>
    <w:rsid w:val="00FB7F6E"/>
    <w:rsid w:val="00FC030A"/>
    <w:rsid w:val="00FC0520"/>
    <w:rsid w:val="00FC0BB3"/>
    <w:rsid w:val="00FC154D"/>
    <w:rsid w:val="00FC1C93"/>
    <w:rsid w:val="00FC1CF9"/>
    <w:rsid w:val="00FC1F1A"/>
    <w:rsid w:val="00FC2F6A"/>
    <w:rsid w:val="00FC3923"/>
    <w:rsid w:val="00FC3DE4"/>
    <w:rsid w:val="00FC420F"/>
    <w:rsid w:val="00FC5936"/>
    <w:rsid w:val="00FC5C81"/>
    <w:rsid w:val="00FC5EEC"/>
    <w:rsid w:val="00FC6A06"/>
    <w:rsid w:val="00FC6CF4"/>
    <w:rsid w:val="00FC6F97"/>
    <w:rsid w:val="00FC77E8"/>
    <w:rsid w:val="00FD019E"/>
    <w:rsid w:val="00FD03E4"/>
    <w:rsid w:val="00FD156B"/>
    <w:rsid w:val="00FD198C"/>
    <w:rsid w:val="00FD1B60"/>
    <w:rsid w:val="00FD36FD"/>
    <w:rsid w:val="00FD5420"/>
    <w:rsid w:val="00FD542D"/>
    <w:rsid w:val="00FD63D3"/>
    <w:rsid w:val="00FD6615"/>
    <w:rsid w:val="00FD67B5"/>
    <w:rsid w:val="00FD6A92"/>
    <w:rsid w:val="00FD6EEC"/>
    <w:rsid w:val="00FD7199"/>
    <w:rsid w:val="00FD729C"/>
    <w:rsid w:val="00FD736C"/>
    <w:rsid w:val="00FD7676"/>
    <w:rsid w:val="00FD7954"/>
    <w:rsid w:val="00FD7D74"/>
    <w:rsid w:val="00FD7DF0"/>
    <w:rsid w:val="00FD7F62"/>
    <w:rsid w:val="00FE1E52"/>
    <w:rsid w:val="00FE1F01"/>
    <w:rsid w:val="00FE27A9"/>
    <w:rsid w:val="00FE3A1E"/>
    <w:rsid w:val="00FE4038"/>
    <w:rsid w:val="00FE4A32"/>
    <w:rsid w:val="00FE4F49"/>
    <w:rsid w:val="00FE5482"/>
    <w:rsid w:val="00FE54E5"/>
    <w:rsid w:val="00FE560D"/>
    <w:rsid w:val="00FE57FF"/>
    <w:rsid w:val="00FE5800"/>
    <w:rsid w:val="00FE63B5"/>
    <w:rsid w:val="00FE64BF"/>
    <w:rsid w:val="00FE6C1C"/>
    <w:rsid w:val="00FE701B"/>
    <w:rsid w:val="00FE7781"/>
    <w:rsid w:val="00FF07CD"/>
    <w:rsid w:val="00FF0949"/>
    <w:rsid w:val="00FF0AE1"/>
    <w:rsid w:val="00FF0FE3"/>
    <w:rsid w:val="00FF1302"/>
    <w:rsid w:val="00FF19FD"/>
    <w:rsid w:val="00FF1D1D"/>
    <w:rsid w:val="00FF22B4"/>
    <w:rsid w:val="00FF2356"/>
    <w:rsid w:val="00FF2589"/>
    <w:rsid w:val="00FF2F6B"/>
    <w:rsid w:val="00FF3513"/>
    <w:rsid w:val="00FF3A62"/>
    <w:rsid w:val="00FF4211"/>
    <w:rsid w:val="00FF4524"/>
    <w:rsid w:val="00FF6091"/>
    <w:rsid w:val="00FF65B1"/>
    <w:rsid w:val="00FF67A0"/>
    <w:rsid w:val="00FF6E88"/>
    <w:rsid w:val="00FF6EF0"/>
    <w:rsid w:val="00FF6F3F"/>
    <w:rsid w:val="00FF7025"/>
    <w:rsid w:val="00FF752E"/>
    <w:rsid w:val="00FF7D19"/>
    <w:rsid w:val="010D7F1A"/>
    <w:rsid w:val="010DDD3F"/>
    <w:rsid w:val="0125D229"/>
    <w:rsid w:val="017CB45D"/>
    <w:rsid w:val="01801EE8"/>
    <w:rsid w:val="018F0920"/>
    <w:rsid w:val="018F7F6C"/>
    <w:rsid w:val="019613ED"/>
    <w:rsid w:val="01D80B91"/>
    <w:rsid w:val="01E26C45"/>
    <w:rsid w:val="01F17F3C"/>
    <w:rsid w:val="01F9F4F3"/>
    <w:rsid w:val="020EDA21"/>
    <w:rsid w:val="02225F4D"/>
    <w:rsid w:val="02376409"/>
    <w:rsid w:val="0244E62B"/>
    <w:rsid w:val="024AE0D0"/>
    <w:rsid w:val="02505DD0"/>
    <w:rsid w:val="025137AC"/>
    <w:rsid w:val="0256BD79"/>
    <w:rsid w:val="0263AA47"/>
    <w:rsid w:val="02682222"/>
    <w:rsid w:val="02775E2D"/>
    <w:rsid w:val="0281B0CE"/>
    <w:rsid w:val="028EDACB"/>
    <w:rsid w:val="02A07EB6"/>
    <w:rsid w:val="02B51DFA"/>
    <w:rsid w:val="02B8636E"/>
    <w:rsid w:val="02FD112D"/>
    <w:rsid w:val="02FE66E8"/>
    <w:rsid w:val="0351BFDF"/>
    <w:rsid w:val="0352687F"/>
    <w:rsid w:val="03573379"/>
    <w:rsid w:val="0357C221"/>
    <w:rsid w:val="035825B8"/>
    <w:rsid w:val="035AB1F7"/>
    <w:rsid w:val="036019FF"/>
    <w:rsid w:val="036BD4CA"/>
    <w:rsid w:val="038386C0"/>
    <w:rsid w:val="03C2DDE8"/>
    <w:rsid w:val="03CCEC46"/>
    <w:rsid w:val="03CE2217"/>
    <w:rsid w:val="04029B59"/>
    <w:rsid w:val="0414631D"/>
    <w:rsid w:val="0414B11F"/>
    <w:rsid w:val="041507C9"/>
    <w:rsid w:val="041D6432"/>
    <w:rsid w:val="043930B2"/>
    <w:rsid w:val="0440F5C4"/>
    <w:rsid w:val="044AC7D4"/>
    <w:rsid w:val="04828E17"/>
    <w:rsid w:val="0485CB5B"/>
    <w:rsid w:val="04894CC7"/>
    <w:rsid w:val="0489F555"/>
    <w:rsid w:val="048C4036"/>
    <w:rsid w:val="04E447ED"/>
    <w:rsid w:val="04F3AAA9"/>
    <w:rsid w:val="053F838D"/>
    <w:rsid w:val="05416171"/>
    <w:rsid w:val="055825F2"/>
    <w:rsid w:val="055B7DD4"/>
    <w:rsid w:val="0571FF3C"/>
    <w:rsid w:val="057B788F"/>
    <w:rsid w:val="05948813"/>
    <w:rsid w:val="05A1AAC8"/>
    <w:rsid w:val="05A26FFE"/>
    <w:rsid w:val="05A8ADD3"/>
    <w:rsid w:val="05AF6491"/>
    <w:rsid w:val="05B1EA53"/>
    <w:rsid w:val="05B2B724"/>
    <w:rsid w:val="06104A56"/>
    <w:rsid w:val="0615D7BE"/>
    <w:rsid w:val="06242E53"/>
    <w:rsid w:val="0646031D"/>
    <w:rsid w:val="0646AB93"/>
    <w:rsid w:val="0699EED1"/>
    <w:rsid w:val="06BB82E6"/>
    <w:rsid w:val="06C3270F"/>
    <w:rsid w:val="06C3726C"/>
    <w:rsid w:val="06DE5371"/>
    <w:rsid w:val="06E4CCBB"/>
    <w:rsid w:val="06E5B430"/>
    <w:rsid w:val="0719658F"/>
    <w:rsid w:val="072863B0"/>
    <w:rsid w:val="0729F077"/>
    <w:rsid w:val="0731D3C0"/>
    <w:rsid w:val="07364A0E"/>
    <w:rsid w:val="0761E136"/>
    <w:rsid w:val="077FD51C"/>
    <w:rsid w:val="079F0FAF"/>
    <w:rsid w:val="079F2245"/>
    <w:rsid w:val="07A5597B"/>
    <w:rsid w:val="07B89BAA"/>
    <w:rsid w:val="07D2011D"/>
    <w:rsid w:val="0803C657"/>
    <w:rsid w:val="08046740"/>
    <w:rsid w:val="080C365E"/>
    <w:rsid w:val="08310657"/>
    <w:rsid w:val="08340D52"/>
    <w:rsid w:val="0838E177"/>
    <w:rsid w:val="083C77BF"/>
    <w:rsid w:val="083EB89F"/>
    <w:rsid w:val="086C5A61"/>
    <w:rsid w:val="087BAE44"/>
    <w:rsid w:val="0884C794"/>
    <w:rsid w:val="08A75C03"/>
    <w:rsid w:val="08B2F2E0"/>
    <w:rsid w:val="08C1F45E"/>
    <w:rsid w:val="08CB0858"/>
    <w:rsid w:val="090C0948"/>
    <w:rsid w:val="090D762B"/>
    <w:rsid w:val="090DFDED"/>
    <w:rsid w:val="090FCFD4"/>
    <w:rsid w:val="09186A07"/>
    <w:rsid w:val="09356CDD"/>
    <w:rsid w:val="093B21AD"/>
    <w:rsid w:val="0942F71F"/>
    <w:rsid w:val="0950714B"/>
    <w:rsid w:val="0961F656"/>
    <w:rsid w:val="0972814C"/>
    <w:rsid w:val="098737F1"/>
    <w:rsid w:val="0994340E"/>
    <w:rsid w:val="099F3946"/>
    <w:rsid w:val="09D96EB9"/>
    <w:rsid w:val="09DF628C"/>
    <w:rsid w:val="09DFBDC0"/>
    <w:rsid w:val="09F93764"/>
    <w:rsid w:val="0A135E5A"/>
    <w:rsid w:val="0A2222E9"/>
    <w:rsid w:val="0A3F4A7D"/>
    <w:rsid w:val="0A41FCA7"/>
    <w:rsid w:val="0A52EF22"/>
    <w:rsid w:val="0A5556C1"/>
    <w:rsid w:val="0A61E457"/>
    <w:rsid w:val="0A6262E8"/>
    <w:rsid w:val="0A93E764"/>
    <w:rsid w:val="0A99D5B0"/>
    <w:rsid w:val="0AA6A826"/>
    <w:rsid w:val="0B09418A"/>
    <w:rsid w:val="0B47D188"/>
    <w:rsid w:val="0B53C776"/>
    <w:rsid w:val="0B57F6C3"/>
    <w:rsid w:val="0B81AC74"/>
    <w:rsid w:val="0B9AAF44"/>
    <w:rsid w:val="0BA00CDC"/>
    <w:rsid w:val="0BC7BF10"/>
    <w:rsid w:val="0BE75AEE"/>
    <w:rsid w:val="0BF3AC53"/>
    <w:rsid w:val="0C081656"/>
    <w:rsid w:val="0C0E2941"/>
    <w:rsid w:val="0C3DD429"/>
    <w:rsid w:val="0C63A3ED"/>
    <w:rsid w:val="0C769898"/>
    <w:rsid w:val="0C859853"/>
    <w:rsid w:val="0C972E61"/>
    <w:rsid w:val="0CBC32B7"/>
    <w:rsid w:val="0CC3203F"/>
    <w:rsid w:val="0CD0E9BE"/>
    <w:rsid w:val="0CD20E61"/>
    <w:rsid w:val="0CD8CE36"/>
    <w:rsid w:val="0CDFCFE2"/>
    <w:rsid w:val="0CE27A15"/>
    <w:rsid w:val="0CE2BE1D"/>
    <w:rsid w:val="0D1F61EB"/>
    <w:rsid w:val="0D3C1FBB"/>
    <w:rsid w:val="0D4B8144"/>
    <w:rsid w:val="0D531FBD"/>
    <w:rsid w:val="0D796A6E"/>
    <w:rsid w:val="0D7DA92F"/>
    <w:rsid w:val="0D87371E"/>
    <w:rsid w:val="0D8D3BC8"/>
    <w:rsid w:val="0D9CEE97"/>
    <w:rsid w:val="0DA532ED"/>
    <w:rsid w:val="0DC1DC48"/>
    <w:rsid w:val="0DC2F56A"/>
    <w:rsid w:val="0DC388DA"/>
    <w:rsid w:val="0DF5E137"/>
    <w:rsid w:val="0E05ADCC"/>
    <w:rsid w:val="0E12A508"/>
    <w:rsid w:val="0E1987B0"/>
    <w:rsid w:val="0E29D5DE"/>
    <w:rsid w:val="0E2F62F9"/>
    <w:rsid w:val="0E3C5993"/>
    <w:rsid w:val="0E3E0E14"/>
    <w:rsid w:val="0E420275"/>
    <w:rsid w:val="0E458FD2"/>
    <w:rsid w:val="0E726F52"/>
    <w:rsid w:val="0E729DC6"/>
    <w:rsid w:val="0EAE41D1"/>
    <w:rsid w:val="0EBC6CD2"/>
    <w:rsid w:val="0EBFE7E2"/>
    <w:rsid w:val="0ED09014"/>
    <w:rsid w:val="0F0D88D0"/>
    <w:rsid w:val="0F141297"/>
    <w:rsid w:val="0F2312CA"/>
    <w:rsid w:val="0F29B4C3"/>
    <w:rsid w:val="0F2C5FB3"/>
    <w:rsid w:val="0F2DD4C0"/>
    <w:rsid w:val="0F338EFD"/>
    <w:rsid w:val="0F6DBF60"/>
    <w:rsid w:val="0F8597E2"/>
    <w:rsid w:val="0FA7E7C1"/>
    <w:rsid w:val="0FC1A727"/>
    <w:rsid w:val="100BE188"/>
    <w:rsid w:val="100D1C98"/>
    <w:rsid w:val="100D2D38"/>
    <w:rsid w:val="101469E7"/>
    <w:rsid w:val="101A5893"/>
    <w:rsid w:val="1028C78D"/>
    <w:rsid w:val="102F9531"/>
    <w:rsid w:val="1031C128"/>
    <w:rsid w:val="104504AF"/>
    <w:rsid w:val="10455671"/>
    <w:rsid w:val="104BD8CD"/>
    <w:rsid w:val="105A6140"/>
    <w:rsid w:val="10600354"/>
    <w:rsid w:val="106B31B7"/>
    <w:rsid w:val="107398F5"/>
    <w:rsid w:val="107C0F65"/>
    <w:rsid w:val="1089380D"/>
    <w:rsid w:val="10A599A5"/>
    <w:rsid w:val="10B70FF8"/>
    <w:rsid w:val="10C29C72"/>
    <w:rsid w:val="10CC6E69"/>
    <w:rsid w:val="10D93FF4"/>
    <w:rsid w:val="110F02D1"/>
    <w:rsid w:val="111EBE79"/>
    <w:rsid w:val="1147CDEA"/>
    <w:rsid w:val="114DF6DE"/>
    <w:rsid w:val="116676A4"/>
    <w:rsid w:val="116F99A0"/>
    <w:rsid w:val="117C82FC"/>
    <w:rsid w:val="118CEC8B"/>
    <w:rsid w:val="11B78B4D"/>
    <w:rsid w:val="11D54F0E"/>
    <w:rsid w:val="11DAACD4"/>
    <w:rsid w:val="11F6CF99"/>
    <w:rsid w:val="121E3091"/>
    <w:rsid w:val="1229996B"/>
    <w:rsid w:val="124C2322"/>
    <w:rsid w:val="1250B1EA"/>
    <w:rsid w:val="1258321B"/>
    <w:rsid w:val="12688F5D"/>
    <w:rsid w:val="126C02B5"/>
    <w:rsid w:val="126FFA79"/>
    <w:rsid w:val="12711E17"/>
    <w:rsid w:val="127E6A8B"/>
    <w:rsid w:val="1291BEC3"/>
    <w:rsid w:val="12A91910"/>
    <w:rsid w:val="12B021D8"/>
    <w:rsid w:val="12B0DA51"/>
    <w:rsid w:val="12B45FA3"/>
    <w:rsid w:val="12B90EE7"/>
    <w:rsid w:val="12D676F8"/>
    <w:rsid w:val="12DAEFC6"/>
    <w:rsid w:val="12F5B18A"/>
    <w:rsid w:val="12FF3D98"/>
    <w:rsid w:val="13303445"/>
    <w:rsid w:val="1348A25D"/>
    <w:rsid w:val="135856B4"/>
    <w:rsid w:val="1382074C"/>
    <w:rsid w:val="138470B2"/>
    <w:rsid w:val="13919514"/>
    <w:rsid w:val="13A2EDA0"/>
    <w:rsid w:val="13CA7805"/>
    <w:rsid w:val="141DF432"/>
    <w:rsid w:val="1444E28D"/>
    <w:rsid w:val="14523393"/>
    <w:rsid w:val="1454FE8F"/>
    <w:rsid w:val="145BB1A1"/>
    <w:rsid w:val="145EDA06"/>
    <w:rsid w:val="146A8893"/>
    <w:rsid w:val="148A908F"/>
    <w:rsid w:val="149169D7"/>
    <w:rsid w:val="14934D25"/>
    <w:rsid w:val="14A8F3D2"/>
    <w:rsid w:val="14AC4BEF"/>
    <w:rsid w:val="14AFEC8D"/>
    <w:rsid w:val="14B522A8"/>
    <w:rsid w:val="14C78E94"/>
    <w:rsid w:val="14D82541"/>
    <w:rsid w:val="15019348"/>
    <w:rsid w:val="1501F543"/>
    <w:rsid w:val="15372C0D"/>
    <w:rsid w:val="1539F816"/>
    <w:rsid w:val="15429A35"/>
    <w:rsid w:val="1549BE36"/>
    <w:rsid w:val="1550B50A"/>
    <w:rsid w:val="155AFE5C"/>
    <w:rsid w:val="1574D2A6"/>
    <w:rsid w:val="15D23C6F"/>
    <w:rsid w:val="15F3B85A"/>
    <w:rsid w:val="1630B533"/>
    <w:rsid w:val="1631DB8A"/>
    <w:rsid w:val="1635BAF8"/>
    <w:rsid w:val="163BA6ED"/>
    <w:rsid w:val="165BDAC7"/>
    <w:rsid w:val="16738D77"/>
    <w:rsid w:val="168460A7"/>
    <w:rsid w:val="168997E2"/>
    <w:rsid w:val="169CAD35"/>
    <w:rsid w:val="169DD2F9"/>
    <w:rsid w:val="16A1CCA4"/>
    <w:rsid w:val="16ADE141"/>
    <w:rsid w:val="16B98639"/>
    <w:rsid w:val="16D808C4"/>
    <w:rsid w:val="16EADBB5"/>
    <w:rsid w:val="16F3CA39"/>
    <w:rsid w:val="17001824"/>
    <w:rsid w:val="170D185D"/>
    <w:rsid w:val="172629FA"/>
    <w:rsid w:val="1730C722"/>
    <w:rsid w:val="1737A6E1"/>
    <w:rsid w:val="173E531A"/>
    <w:rsid w:val="17462479"/>
    <w:rsid w:val="17522D09"/>
    <w:rsid w:val="17533646"/>
    <w:rsid w:val="17621022"/>
    <w:rsid w:val="176B8D10"/>
    <w:rsid w:val="178FE61B"/>
    <w:rsid w:val="17908FA3"/>
    <w:rsid w:val="179DC34D"/>
    <w:rsid w:val="17AC855D"/>
    <w:rsid w:val="17C1E1DF"/>
    <w:rsid w:val="17DB025C"/>
    <w:rsid w:val="17E6C5E3"/>
    <w:rsid w:val="180C5C67"/>
    <w:rsid w:val="1811AE5C"/>
    <w:rsid w:val="18210AB9"/>
    <w:rsid w:val="182D1C08"/>
    <w:rsid w:val="183A64F9"/>
    <w:rsid w:val="18423C1F"/>
    <w:rsid w:val="184C1028"/>
    <w:rsid w:val="185985CA"/>
    <w:rsid w:val="188DFCC6"/>
    <w:rsid w:val="18927E1B"/>
    <w:rsid w:val="18937971"/>
    <w:rsid w:val="189B62A5"/>
    <w:rsid w:val="18AB1545"/>
    <w:rsid w:val="18AC5A93"/>
    <w:rsid w:val="18B66B9D"/>
    <w:rsid w:val="18DBF111"/>
    <w:rsid w:val="18DEBDC8"/>
    <w:rsid w:val="18F7CBDD"/>
    <w:rsid w:val="190F6C20"/>
    <w:rsid w:val="19124EF0"/>
    <w:rsid w:val="191BA868"/>
    <w:rsid w:val="192B1401"/>
    <w:rsid w:val="19377F06"/>
    <w:rsid w:val="193F5443"/>
    <w:rsid w:val="1952920E"/>
    <w:rsid w:val="1956B110"/>
    <w:rsid w:val="195DE0BC"/>
    <w:rsid w:val="196E03C7"/>
    <w:rsid w:val="1971F564"/>
    <w:rsid w:val="197D61B1"/>
    <w:rsid w:val="1986D92F"/>
    <w:rsid w:val="19A484C8"/>
    <w:rsid w:val="19ABC635"/>
    <w:rsid w:val="19ADDA4A"/>
    <w:rsid w:val="19B7FA3F"/>
    <w:rsid w:val="19BA5D47"/>
    <w:rsid w:val="19BA7487"/>
    <w:rsid w:val="19F64DDE"/>
    <w:rsid w:val="1A1C6760"/>
    <w:rsid w:val="1A2C2F97"/>
    <w:rsid w:val="1A320E96"/>
    <w:rsid w:val="1A45482A"/>
    <w:rsid w:val="1A46C9D7"/>
    <w:rsid w:val="1A4C1DA7"/>
    <w:rsid w:val="1A5B3B94"/>
    <w:rsid w:val="1A90F52F"/>
    <w:rsid w:val="1AB84393"/>
    <w:rsid w:val="1AC4BE5B"/>
    <w:rsid w:val="1AC8F9AD"/>
    <w:rsid w:val="1AE4F5AC"/>
    <w:rsid w:val="1B16AD77"/>
    <w:rsid w:val="1B334BF4"/>
    <w:rsid w:val="1B55EBF3"/>
    <w:rsid w:val="1B57DDD8"/>
    <w:rsid w:val="1B91972C"/>
    <w:rsid w:val="1BB9E3A6"/>
    <w:rsid w:val="1BC518A4"/>
    <w:rsid w:val="1BCCC595"/>
    <w:rsid w:val="1BEC3F03"/>
    <w:rsid w:val="1C179176"/>
    <w:rsid w:val="1C232B73"/>
    <w:rsid w:val="1C43447D"/>
    <w:rsid w:val="1C516DF0"/>
    <w:rsid w:val="1C75F297"/>
    <w:rsid w:val="1CD92FC0"/>
    <w:rsid w:val="1CE6BB6F"/>
    <w:rsid w:val="1D053413"/>
    <w:rsid w:val="1D29AF69"/>
    <w:rsid w:val="1D33BA59"/>
    <w:rsid w:val="1D3FE025"/>
    <w:rsid w:val="1D7774C1"/>
    <w:rsid w:val="1D88AE0F"/>
    <w:rsid w:val="1D96E244"/>
    <w:rsid w:val="1DB2EE49"/>
    <w:rsid w:val="1DC4DF0B"/>
    <w:rsid w:val="1DD3F135"/>
    <w:rsid w:val="1E075E44"/>
    <w:rsid w:val="1E1F59D3"/>
    <w:rsid w:val="1E2C91CB"/>
    <w:rsid w:val="1E36AF03"/>
    <w:rsid w:val="1E6A149D"/>
    <w:rsid w:val="1E98A8ED"/>
    <w:rsid w:val="1EB46C88"/>
    <w:rsid w:val="1ED155A6"/>
    <w:rsid w:val="1EF3F55B"/>
    <w:rsid w:val="1F032E14"/>
    <w:rsid w:val="1F079436"/>
    <w:rsid w:val="1F1A5746"/>
    <w:rsid w:val="1F21C85A"/>
    <w:rsid w:val="1F2492AB"/>
    <w:rsid w:val="1F395FD6"/>
    <w:rsid w:val="1F4EFD3B"/>
    <w:rsid w:val="1F5AAAE5"/>
    <w:rsid w:val="1F65209C"/>
    <w:rsid w:val="1F6A4759"/>
    <w:rsid w:val="1F702E1A"/>
    <w:rsid w:val="1F704799"/>
    <w:rsid w:val="1F79D69F"/>
    <w:rsid w:val="1F88B312"/>
    <w:rsid w:val="1F8C839C"/>
    <w:rsid w:val="1F94D345"/>
    <w:rsid w:val="1F9AAE10"/>
    <w:rsid w:val="1FAB9458"/>
    <w:rsid w:val="1FAB9C9A"/>
    <w:rsid w:val="1FC1C00F"/>
    <w:rsid w:val="1FCE85A4"/>
    <w:rsid w:val="1FD07CF8"/>
    <w:rsid w:val="1FF7E13A"/>
    <w:rsid w:val="2004B5B1"/>
    <w:rsid w:val="200C6CCC"/>
    <w:rsid w:val="201CC796"/>
    <w:rsid w:val="201CDBAB"/>
    <w:rsid w:val="2025DC3B"/>
    <w:rsid w:val="202AEE27"/>
    <w:rsid w:val="20439113"/>
    <w:rsid w:val="2048A36E"/>
    <w:rsid w:val="205DB490"/>
    <w:rsid w:val="20668449"/>
    <w:rsid w:val="20892EDD"/>
    <w:rsid w:val="208C809D"/>
    <w:rsid w:val="208D5FE3"/>
    <w:rsid w:val="209CD43D"/>
    <w:rsid w:val="20A3078C"/>
    <w:rsid w:val="20BB417A"/>
    <w:rsid w:val="21178879"/>
    <w:rsid w:val="211D2422"/>
    <w:rsid w:val="21242CF3"/>
    <w:rsid w:val="212AED40"/>
    <w:rsid w:val="213C98F4"/>
    <w:rsid w:val="2148F5D7"/>
    <w:rsid w:val="21A285B7"/>
    <w:rsid w:val="21B2D101"/>
    <w:rsid w:val="21C79492"/>
    <w:rsid w:val="21E591B4"/>
    <w:rsid w:val="2211F81C"/>
    <w:rsid w:val="225B8249"/>
    <w:rsid w:val="226058C2"/>
    <w:rsid w:val="227B872E"/>
    <w:rsid w:val="22DBE75C"/>
    <w:rsid w:val="22DDAE82"/>
    <w:rsid w:val="230B39AA"/>
    <w:rsid w:val="231ACC59"/>
    <w:rsid w:val="233623E3"/>
    <w:rsid w:val="234C51CE"/>
    <w:rsid w:val="2354647F"/>
    <w:rsid w:val="23725417"/>
    <w:rsid w:val="238163E7"/>
    <w:rsid w:val="2388A0F4"/>
    <w:rsid w:val="23ADA981"/>
    <w:rsid w:val="23B654E6"/>
    <w:rsid w:val="23E255BC"/>
    <w:rsid w:val="23FB9DB7"/>
    <w:rsid w:val="2411ED9F"/>
    <w:rsid w:val="246C97D1"/>
    <w:rsid w:val="246E52CF"/>
    <w:rsid w:val="248F47AA"/>
    <w:rsid w:val="24BD51FF"/>
    <w:rsid w:val="24BF0D76"/>
    <w:rsid w:val="24C4521D"/>
    <w:rsid w:val="24E57E65"/>
    <w:rsid w:val="24EA3D18"/>
    <w:rsid w:val="24F71C32"/>
    <w:rsid w:val="25061C31"/>
    <w:rsid w:val="25098098"/>
    <w:rsid w:val="25306C79"/>
    <w:rsid w:val="2551FBEB"/>
    <w:rsid w:val="25592CB0"/>
    <w:rsid w:val="255B9442"/>
    <w:rsid w:val="257E4AB6"/>
    <w:rsid w:val="25A1FDA2"/>
    <w:rsid w:val="25A36CFB"/>
    <w:rsid w:val="25BB2578"/>
    <w:rsid w:val="25D2684A"/>
    <w:rsid w:val="25D5F4CB"/>
    <w:rsid w:val="25F53254"/>
    <w:rsid w:val="260920D1"/>
    <w:rsid w:val="26309414"/>
    <w:rsid w:val="2637200E"/>
    <w:rsid w:val="263BE5CB"/>
    <w:rsid w:val="26472CA7"/>
    <w:rsid w:val="26600B17"/>
    <w:rsid w:val="26881544"/>
    <w:rsid w:val="26A66851"/>
    <w:rsid w:val="26B054E1"/>
    <w:rsid w:val="26F2D15C"/>
    <w:rsid w:val="27011B38"/>
    <w:rsid w:val="2702460F"/>
    <w:rsid w:val="2735ECE6"/>
    <w:rsid w:val="27387B0F"/>
    <w:rsid w:val="2758F1FF"/>
    <w:rsid w:val="2764F0A7"/>
    <w:rsid w:val="27655A59"/>
    <w:rsid w:val="276C2624"/>
    <w:rsid w:val="276CB3A2"/>
    <w:rsid w:val="2775E358"/>
    <w:rsid w:val="2787D604"/>
    <w:rsid w:val="279A6D80"/>
    <w:rsid w:val="27A2F6D9"/>
    <w:rsid w:val="27B9B5DD"/>
    <w:rsid w:val="27CC3CB8"/>
    <w:rsid w:val="27CC4206"/>
    <w:rsid w:val="27FADFAC"/>
    <w:rsid w:val="280D9711"/>
    <w:rsid w:val="28294906"/>
    <w:rsid w:val="283D6329"/>
    <w:rsid w:val="2852BE7C"/>
    <w:rsid w:val="28537FE2"/>
    <w:rsid w:val="285931DB"/>
    <w:rsid w:val="2867EA70"/>
    <w:rsid w:val="286CA783"/>
    <w:rsid w:val="287201EB"/>
    <w:rsid w:val="28926678"/>
    <w:rsid w:val="2894EB16"/>
    <w:rsid w:val="28A70D6F"/>
    <w:rsid w:val="28AD3CC5"/>
    <w:rsid w:val="28B74543"/>
    <w:rsid w:val="28D1FD57"/>
    <w:rsid w:val="28D46158"/>
    <w:rsid w:val="28EEB904"/>
    <w:rsid w:val="28F485AF"/>
    <w:rsid w:val="28FDA683"/>
    <w:rsid w:val="28FF271D"/>
    <w:rsid w:val="29228871"/>
    <w:rsid w:val="292CCECE"/>
    <w:rsid w:val="2935A119"/>
    <w:rsid w:val="294B5BD9"/>
    <w:rsid w:val="294F9BF3"/>
    <w:rsid w:val="29720EA8"/>
    <w:rsid w:val="2995FAD3"/>
    <w:rsid w:val="299673E1"/>
    <w:rsid w:val="29B6E0C0"/>
    <w:rsid w:val="29B70F86"/>
    <w:rsid w:val="29BA8071"/>
    <w:rsid w:val="29CE3956"/>
    <w:rsid w:val="29D1D396"/>
    <w:rsid w:val="29EA21B2"/>
    <w:rsid w:val="2A04ACBB"/>
    <w:rsid w:val="2A150BA9"/>
    <w:rsid w:val="2A2AC9A3"/>
    <w:rsid w:val="2A3B17C6"/>
    <w:rsid w:val="2A53C42E"/>
    <w:rsid w:val="2A5B5AE5"/>
    <w:rsid w:val="2A6D5580"/>
    <w:rsid w:val="2A82706A"/>
    <w:rsid w:val="2A9AC395"/>
    <w:rsid w:val="2AAA1818"/>
    <w:rsid w:val="2ACC77FB"/>
    <w:rsid w:val="2AD1797C"/>
    <w:rsid w:val="2AD4987B"/>
    <w:rsid w:val="2AD7B4D6"/>
    <w:rsid w:val="2AE18DB0"/>
    <w:rsid w:val="2AFB09A0"/>
    <w:rsid w:val="2B03606D"/>
    <w:rsid w:val="2B0B614B"/>
    <w:rsid w:val="2B20AED9"/>
    <w:rsid w:val="2B7EFE12"/>
    <w:rsid w:val="2B9A136A"/>
    <w:rsid w:val="2BA7D1A0"/>
    <w:rsid w:val="2BABD9E8"/>
    <w:rsid w:val="2BBDB59C"/>
    <w:rsid w:val="2BCBBC7E"/>
    <w:rsid w:val="2BD95ADA"/>
    <w:rsid w:val="2BDE9627"/>
    <w:rsid w:val="2C0486A7"/>
    <w:rsid w:val="2C080C9F"/>
    <w:rsid w:val="2C104848"/>
    <w:rsid w:val="2C1B1D61"/>
    <w:rsid w:val="2C254D64"/>
    <w:rsid w:val="2C4F0CFD"/>
    <w:rsid w:val="2C71D33B"/>
    <w:rsid w:val="2C9BDBA1"/>
    <w:rsid w:val="2CBB3628"/>
    <w:rsid w:val="2D05EA24"/>
    <w:rsid w:val="2D0AAC5B"/>
    <w:rsid w:val="2D2F3214"/>
    <w:rsid w:val="2D4CB03D"/>
    <w:rsid w:val="2D7A2332"/>
    <w:rsid w:val="2D8E747E"/>
    <w:rsid w:val="2D9B47DD"/>
    <w:rsid w:val="2DC1C54F"/>
    <w:rsid w:val="2DD3A198"/>
    <w:rsid w:val="2DD82078"/>
    <w:rsid w:val="2DE22B27"/>
    <w:rsid w:val="2DF82687"/>
    <w:rsid w:val="2E0667A4"/>
    <w:rsid w:val="2E18CFEA"/>
    <w:rsid w:val="2E1F11D4"/>
    <w:rsid w:val="2E6A3CF5"/>
    <w:rsid w:val="2E74AD78"/>
    <w:rsid w:val="2E7F6ACC"/>
    <w:rsid w:val="2E7FB7EF"/>
    <w:rsid w:val="2EA6303C"/>
    <w:rsid w:val="2EC30C81"/>
    <w:rsid w:val="2ED4B433"/>
    <w:rsid w:val="2EDF8EED"/>
    <w:rsid w:val="2EEB61D7"/>
    <w:rsid w:val="2EFC4269"/>
    <w:rsid w:val="2F15F7F9"/>
    <w:rsid w:val="2F173C9B"/>
    <w:rsid w:val="2F1A67F5"/>
    <w:rsid w:val="2F38D9C2"/>
    <w:rsid w:val="2F4249A5"/>
    <w:rsid w:val="2F5172E4"/>
    <w:rsid w:val="2F5ACCCE"/>
    <w:rsid w:val="2F5B25D7"/>
    <w:rsid w:val="2F64DEA7"/>
    <w:rsid w:val="2F653210"/>
    <w:rsid w:val="2F6732A5"/>
    <w:rsid w:val="2F769B22"/>
    <w:rsid w:val="2F85D4F4"/>
    <w:rsid w:val="2F96D432"/>
    <w:rsid w:val="2FB725F2"/>
    <w:rsid w:val="2FBCDBC0"/>
    <w:rsid w:val="2FC75A19"/>
    <w:rsid w:val="2FE6CC1C"/>
    <w:rsid w:val="2FEABDD8"/>
    <w:rsid w:val="2FECD977"/>
    <w:rsid w:val="30016351"/>
    <w:rsid w:val="30526597"/>
    <w:rsid w:val="3054E54E"/>
    <w:rsid w:val="3056BC1F"/>
    <w:rsid w:val="306AEDF4"/>
    <w:rsid w:val="3089BA47"/>
    <w:rsid w:val="30AA9ECF"/>
    <w:rsid w:val="30E8C23D"/>
    <w:rsid w:val="30F3CC89"/>
    <w:rsid w:val="30F885EB"/>
    <w:rsid w:val="310BE557"/>
    <w:rsid w:val="311CF30C"/>
    <w:rsid w:val="312B5E90"/>
    <w:rsid w:val="312F98C0"/>
    <w:rsid w:val="313A0866"/>
    <w:rsid w:val="3146772F"/>
    <w:rsid w:val="3146B5D2"/>
    <w:rsid w:val="31725969"/>
    <w:rsid w:val="3172D6E6"/>
    <w:rsid w:val="3184A44E"/>
    <w:rsid w:val="318C295C"/>
    <w:rsid w:val="319B1188"/>
    <w:rsid w:val="31A5C63F"/>
    <w:rsid w:val="31AB694A"/>
    <w:rsid w:val="31C80CA0"/>
    <w:rsid w:val="31D8D53E"/>
    <w:rsid w:val="3215D164"/>
    <w:rsid w:val="32222360"/>
    <w:rsid w:val="3230EA8A"/>
    <w:rsid w:val="324FF3CC"/>
    <w:rsid w:val="32598DB3"/>
    <w:rsid w:val="325AE65C"/>
    <w:rsid w:val="325C1241"/>
    <w:rsid w:val="325C1E0C"/>
    <w:rsid w:val="3281B95D"/>
    <w:rsid w:val="3290B0ED"/>
    <w:rsid w:val="32A005C4"/>
    <w:rsid w:val="32C3303C"/>
    <w:rsid w:val="32DB1713"/>
    <w:rsid w:val="3320BF87"/>
    <w:rsid w:val="3326DF95"/>
    <w:rsid w:val="332B9E9D"/>
    <w:rsid w:val="33302CF1"/>
    <w:rsid w:val="3332E42D"/>
    <w:rsid w:val="33350127"/>
    <w:rsid w:val="33398D14"/>
    <w:rsid w:val="3348C830"/>
    <w:rsid w:val="33495519"/>
    <w:rsid w:val="33579EC5"/>
    <w:rsid w:val="3364DF9C"/>
    <w:rsid w:val="337D7DB8"/>
    <w:rsid w:val="33999044"/>
    <w:rsid w:val="33A734B3"/>
    <w:rsid w:val="33AB6505"/>
    <w:rsid w:val="33CB5109"/>
    <w:rsid w:val="33CDF6A7"/>
    <w:rsid w:val="33DF7ED0"/>
    <w:rsid w:val="33E4071A"/>
    <w:rsid w:val="3400F88C"/>
    <w:rsid w:val="340D3091"/>
    <w:rsid w:val="341B3866"/>
    <w:rsid w:val="3424DDC6"/>
    <w:rsid w:val="3429D83B"/>
    <w:rsid w:val="343636FC"/>
    <w:rsid w:val="343FDCD5"/>
    <w:rsid w:val="3442875E"/>
    <w:rsid w:val="34531FC5"/>
    <w:rsid w:val="3455B8B5"/>
    <w:rsid w:val="34792E67"/>
    <w:rsid w:val="347BB729"/>
    <w:rsid w:val="3496D68E"/>
    <w:rsid w:val="34BB0DAE"/>
    <w:rsid w:val="34E1100D"/>
    <w:rsid w:val="34EF93F4"/>
    <w:rsid w:val="350D3676"/>
    <w:rsid w:val="35190599"/>
    <w:rsid w:val="351FF158"/>
    <w:rsid w:val="352325B4"/>
    <w:rsid w:val="356E1E78"/>
    <w:rsid w:val="356EB492"/>
    <w:rsid w:val="35940370"/>
    <w:rsid w:val="3594BDF8"/>
    <w:rsid w:val="35A75340"/>
    <w:rsid w:val="35BCA931"/>
    <w:rsid w:val="35CD813E"/>
    <w:rsid w:val="35EC7B40"/>
    <w:rsid w:val="3602F207"/>
    <w:rsid w:val="3605E530"/>
    <w:rsid w:val="36155852"/>
    <w:rsid w:val="361B6B61"/>
    <w:rsid w:val="362DD26E"/>
    <w:rsid w:val="365A3112"/>
    <w:rsid w:val="367BCD5C"/>
    <w:rsid w:val="367CDB58"/>
    <w:rsid w:val="36905167"/>
    <w:rsid w:val="36914063"/>
    <w:rsid w:val="369E9B40"/>
    <w:rsid w:val="36B65626"/>
    <w:rsid w:val="36BE4ADC"/>
    <w:rsid w:val="36DFE615"/>
    <w:rsid w:val="36F5A643"/>
    <w:rsid w:val="371F82FA"/>
    <w:rsid w:val="372878DA"/>
    <w:rsid w:val="3735825F"/>
    <w:rsid w:val="373743C5"/>
    <w:rsid w:val="373B6F5C"/>
    <w:rsid w:val="373CA312"/>
    <w:rsid w:val="37951982"/>
    <w:rsid w:val="37A12D19"/>
    <w:rsid w:val="37AF947B"/>
    <w:rsid w:val="37B58E8E"/>
    <w:rsid w:val="37CB1D7A"/>
    <w:rsid w:val="37E8D997"/>
    <w:rsid w:val="37F83B4E"/>
    <w:rsid w:val="380CC9A9"/>
    <w:rsid w:val="381A74C2"/>
    <w:rsid w:val="382A1EE9"/>
    <w:rsid w:val="382E2D5A"/>
    <w:rsid w:val="3837990A"/>
    <w:rsid w:val="384127FC"/>
    <w:rsid w:val="384F6AAE"/>
    <w:rsid w:val="385ADED6"/>
    <w:rsid w:val="386B2302"/>
    <w:rsid w:val="387D0532"/>
    <w:rsid w:val="387E24DC"/>
    <w:rsid w:val="38B865DA"/>
    <w:rsid w:val="38D889FB"/>
    <w:rsid w:val="38D970AE"/>
    <w:rsid w:val="38F645B5"/>
    <w:rsid w:val="3906F561"/>
    <w:rsid w:val="39225E13"/>
    <w:rsid w:val="39412CB7"/>
    <w:rsid w:val="394A9406"/>
    <w:rsid w:val="3987DA3F"/>
    <w:rsid w:val="39A22091"/>
    <w:rsid w:val="39A4604A"/>
    <w:rsid w:val="39A9C666"/>
    <w:rsid w:val="39B6076B"/>
    <w:rsid w:val="39D0503C"/>
    <w:rsid w:val="39D70275"/>
    <w:rsid w:val="3A28F8B1"/>
    <w:rsid w:val="3A595E62"/>
    <w:rsid w:val="3A601A54"/>
    <w:rsid w:val="3A7CDA0A"/>
    <w:rsid w:val="3A7E695A"/>
    <w:rsid w:val="3A99DBA7"/>
    <w:rsid w:val="3AA4BD0C"/>
    <w:rsid w:val="3AA8B3E7"/>
    <w:rsid w:val="3AAF0E79"/>
    <w:rsid w:val="3ABECFE9"/>
    <w:rsid w:val="3AF0332B"/>
    <w:rsid w:val="3AF75307"/>
    <w:rsid w:val="3AF8ADEC"/>
    <w:rsid w:val="3AF930CF"/>
    <w:rsid w:val="3B094D96"/>
    <w:rsid w:val="3B2ABE3C"/>
    <w:rsid w:val="3B56E679"/>
    <w:rsid w:val="3B6BCE30"/>
    <w:rsid w:val="3B770144"/>
    <w:rsid w:val="3B83B0BD"/>
    <w:rsid w:val="3B9FD163"/>
    <w:rsid w:val="3BB9151C"/>
    <w:rsid w:val="3BEF8D7C"/>
    <w:rsid w:val="3C27F47D"/>
    <w:rsid w:val="3C518030"/>
    <w:rsid w:val="3C5BB93F"/>
    <w:rsid w:val="3C8EB435"/>
    <w:rsid w:val="3C9753AD"/>
    <w:rsid w:val="3CABE2F1"/>
    <w:rsid w:val="3CB17184"/>
    <w:rsid w:val="3CBE3F11"/>
    <w:rsid w:val="3CCAF102"/>
    <w:rsid w:val="3CF333CD"/>
    <w:rsid w:val="3D0F2886"/>
    <w:rsid w:val="3D32CD12"/>
    <w:rsid w:val="3D3DFFBE"/>
    <w:rsid w:val="3D426F7F"/>
    <w:rsid w:val="3D56CAFF"/>
    <w:rsid w:val="3D7B5BC4"/>
    <w:rsid w:val="3D80AEE7"/>
    <w:rsid w:val="3D84A1B2"/>
    <w:rsid w:val="3DA44353"/>
    <w:rsid w:val="3DD37918"/>
    <w:rsid w:val="3DEDCFA5"/>
    <w:rsid w:val="3DF4B50E"/>
    <w:rsid w:val="3DF86D0D"/>
    <w:rsid w:val="3E03F4A9"/>
    <w:rsid w:val="3E09D124"/>
    <w:rsid w:val="3E358326"/>
    <w:rsid w:val="3E5E4FCE"/>
    <w:rsid w:val="3E75F246"/>
    <w:rsid w:val="3EA293AD"/>
    <w:rsid w:val="3EA61437"/>
    <w:rsid w:val="3EB21969"/>
    <w:rsid w:val="3EC41279"/>
    <w:rsid w:val="3EE00254"/>
    <w:rsid w:val="3EE50295"/>
    <w:rsid w:val="3F1329E3"/>
    <w:rsid w:val="3F1E9600"/>
    <w:rsid w:val="3F2872B9"/>
    <w:rsid w:val="3F39ED2A"/>
    <w:rsid w:val="3F68BC80"/>
    <w:rsid w:val="3F6C09C0"/>
    <w:rsid w:val="3F6F8A1C"/>
    <w:rsid w:val="3FA98CB7"/>
    <w:rsid w:val="3FAA06D6"/>
    <w:rsid w:val="3FB03811"/>
    <w:rsid w:val="3FB1DC28"/>
    <w:rsid w:val="3FB565E8"/>
    <w:rsid w:val="3FC2B1C0"/>
    <w:rsid w:val="3FD045F4"/>
    <w:rsid w:val="3FD5896B"/>
    <w:rsid w:val="3FD5C3D6"/>
    <w:rsid w:val="3FF34273"/>
    <w:rsid w:val="401346E5"/>
    <w:rsid w:val="4037B9F9"/>
    <w:rsid w:val="404D0149"/>
    <w:rsid w:val="40545509"/>
    <w:rsid w:val="405BE8B6"/>
    <w:rsid w:val="405C1C5D"/>
    <w:rsid w:val="406444D4"/>
    <w:rsid w:val="4067C24E"/>
    <w:rsid w:val="4088FB48"/>
    <w:rsid w:val="408FAB7E"/>
    <w:rsid w:val="40C3E802"/>
    <w:rsid w:val="40CC29AF"/>
    <w:rsid w:val="40CEFD7F"/>
    <w:rsid w:val="40DB57B4"/>
    <w:rsid w:val="40F9DCEA"/>
    <w:rsid w:val="410F934D"/>
    <w:rsid w:val="411EBA8F"/>
    <w:rsid w:val="4129F3D0"/>
    <w:rsid w:val="413DBF38"/>
    <w:rsid w:val="414A92A4"/>
    <w:rsid w:val="415A039D"/>
    <w:rsid w:val="4173E04F"/>
    <w:rsid w:val="417E6468"/>
    <w:rsid w:val="4196B136"/>
    <w:rsid w:val="41A74C4B"/>
    <w:rsid w:val="41B4B8DC"/>
    <w:rsid w:val="41DC12B2"/>
    <w:rsid w:val="41E88684"/>
    <w:rsid w:val="41E9B498"/>
    <w:rsid w:val="420B5F10"/>
    <w:rsid w:val="4225735A"/>
    <w:rsid w:val="422EFB2B"/>
    <w:rsid w:val="423AE1A6"/>
    <w:rsid w:val="424DA7D1"/>
    <w:rsid w:val="425AF6E5"/>
    <w:rsid w:val="42750141"/>
    <w:rsid w:val="427D675E"/>
    <w:rsid w:val="42ADBA72"/>
    <w:rsid w:val="42B300F3"/>
    <w:rsid w:val="42B85B97"/>
    <w:rsid w:val="42BD6189"/>
    <w:rsid w:val="42C48FE0"/>
    <w:rsid w:val="42F65592"/>
    <w:rsid w:val="433AD815"/>
    <w:rsid w:val="4349D130"/>
    <w:rsid w:val="434D26C3"/>
    <w:rsid w:val="4351FE44"/>
    <w:rsid w:val="4362AFFD"/>
    <w:rsid w:val="437081EC"/>
    <w:rsid w:val="43767CC9"/>
    <w:rsid w:val="4387BE29"/>
    <w:rsid w:val="43889C4E"/>
    <w:rsid w:val="439CE9C7"/>
    <w:rsid w:val="43B6B288"/>
    <w:rsid w:val="43CA5CDA"/>
    <w:rsid w:val="44299333"/>
    <w:rsid w:val="443339E1"/>
    <w:rsid w:val="448C105A"/>
    <w:rsid w:val="4490D18E"/>
    <w:rsid w:val="44C953F3"/>
    <w:rsid w:val="4515A279"/>
    <w:rsid w:val="45279049"/>
    <w:rsid w:val="453DE103"/>
    <w:rsid w:val="454997BB"/>
    <w:rsid w:val="4556D885"/>
    <w:rsid w:val="457E13E3"/>
    <w:rsid w:val="45AE00E3"/>
    <w:rsid w:val="45C1CA8D"/>
    <w:rsid w:val="45CE6DE8"/>
    <w:rsid w:val="46036A42"/>
    <w:rsid w:val="460AB32A"/>
    <w:rsid w:val="462182C8"/>
    <w:rsid w:val="4627C0A1"/>
    <w:rsid w:val="462E65CF"/>
    <w:rsid w:val="46393647"/>
    <w:rsid w:val="463D0F11"/>
    <w:rsid w:val="464BAC27"/>
    <w:rsid w:val="46585DE1"/>
    <w:rsid w:val="465DE433"/>
    <w:rsid w:val="46883E93"/>
    <w:rsid w:val="46A8A051"/>
    <w:rsid w:val="46CA4411"/>
    <w:rsid w:val="46F1299E"/>
    <w:rsid w:val="46F93B3E"/>
    <w:rsid w:val="46FBAB52"/>
    <w:rsid w:val="4705A6D5"/>
    <w:rsid w:val="4708FD21"/>
    <w:rsid w:val="473CC721"/>
    <w:rsid w:val="4741375B"/>
    <w:rsid w:val="4759A665"/>
    <w:rsid w:val="476AD5EE"/>
    <w:rsid w:val="47866848"/>
    <w:rsid w:val="47A368F6"/>
    <w:rsid w:val="47AFAFC0"/>
    <w:rsid w:val="47B1919F"/>
    <w:rsid w:val="47B7F042"/>
    <w:rsid w:val="47C2E5C5"/>
    <w:rsid w:val="47C77D8D"/>
    <w:rsid w:val="47CEAB8D"/>
    <w:rsid w:val="47D8A69A"/>
    <w:rsid w:val="47EA8414"/>
    <w:rsid w:val="47EF4C91"/>
    <w:rsid w:val="481D460E"/>
    <w:rsid w:val="482288B4"/>
    <w:rsid w:val="482E2DCA"/>
    <w:rsid w:val="483B30B3"/>
    <w:rsid w:val="483CE3AC"/>
    <w:rsid w:val="4866045B"/>
    <w:rsid w:val="48890397"/>
    <w:rsid w:val="4889A56A"/>
    <w:rsid w:val="488D1F0D"/>
    <w:rsid w:val="48960E9F"/>
    <w:rsid w:val="489B458A"/>
    <w:rsid w:val="48A94D26"/>
    <w:rsid w:val="48AEAD14"/>
    <w:rsid w:val="48AF3622"/>
    <w:rsid w:val="48C9FF7C"/>
    <w:rsid w:val="48CDF849"/>
    <w:rsid w:val="48DA083E"/>
    <w:rsid w:val="48F07C53"/>
    <w:rsid w:val="49003D28"/>
    <w:rsid w:val="49043A01"/>
    <w:rsid w:val="490B758B"/>
    <w:rsid w:val="491C9B59"/>
    <w:rsid w:val="491DCDE1"/>
    <w:rsid w:val="492F471C"/>
    <w:rsid w:val="4935DB66"/>
    <w:rsid w:val="493F28F4"/>
    <w:rsid w:val="49496338"/>
    <w:rsid w:val="495301EA"/>
    <w:rsid w:val="4962A4D6"/>
    <w:rsid w:val="49636479"/>
    <w:rsid w:val="4965168C"/>
    <w:rsid w:val="4972AB50"/>
    <w:rsid w:val="4973AB57"/>
    <w:rsid w:val="498B59B6"/>
    <w:rsid w:val="499F69AD"/>
    <w:rsid w:val="49E9A819"/>
    <w:rsid w:val="49EAD540"/>
    <w:rsid w:val="4A010780"/>
    <w:rsid w:val="4A044F47"/>
    <w:rsid w:val="4A0C1BF0"/>
    <w:rsid w:val="4A4BAC75"/>
    <w:rsid w:val="4A5D5963"/>
    <w:rsid w:val="4A9B6316"/>
    <w:rsid w:val="4AA4DD49"/>
    <w:rsid w:val="4AAB5263"/>
    <w:rsid w:val="4ACCD7EC"/>
    <w:rsid w:val="4ACDEE42"/>
    <w:rsid w:val="4AFA1108"/>
    <w:rsid w:val="4AFA735A"/>
    <w:rsid w:val="4AFDB77A"/>
    <w:rsid w:val="4B0F5AAC"/>
    <w:rsid w:val="4B1E5A07"/>
    <w:rsid w:val="4B3CCA52"/>
    <w:rsid w:val="4B4E3A38"/>
    <w:rsid w:val="4B660667"/>
    <w:rsid w:val="4B6AE354"/>
    <w:rsid w:val="4B932D34"/>
    <w:rsid w:val="4B9DBD16"/>
    <w:rsid w:val="4BA10CD6"/>
    <w:rsid w:val="4BB5D33E"/>
    <w:rsid w:val="4BB9E9B8"/>
    <w:rsid w:val="4BE9D65A"/>
    <w:rsid w:val="4BF7D0C8"/>
    <w:rsid w:val="4BF874DA"/>
    <w:rsid w:val="4C06BA28"/>
    <w:rsid w:val="4C0822B2"/>
    <w:rsid w:val="4C11D4B0"/>
    <w:rsid w:val="4C526910"/>
    <w:rsid w:val="4C532570"/>
    <w:rsid w:val="4C53FC7B"/>
    <w:rsid w:val="4C559E51"/>
    <w:rsid w:val="4C6C10D7"/>
    <w:rsid w:val="4C7424E4"/>
    <w:rsid w:val="4C8277FB"/>
    <w:rsid w:val="4C869533"/>
    <w:rsid w:val="4C95433D"/>
    <w:rsid w:val="4CAA97D1"/>
    <w:rsid w:val="4CAC828F"/>
    <w:rsid w:val="4CDB9579"/>
    <w:rsid w:val="4CEE5C4B"/>
    <w:rsid w:val="4CFCC070"/>
    <w:rsid w:val="4D138A2B"/>
    <w:rsid w:val="4D59CDA6"/>
    <w:rsid w:val="4D615A60"/>
    <w:rsid w:val="4D716812"/>
    <w:rsid w:val="4D71AE04"/>
    <w:rsid w:val="4D76F37A"/>
    <w:rsid w:val="4D836043"/>
    <w:rsid w:val="4D8D434C"/>
    <w:rsid w:val="4D952F38"/>
    <w:rsid w:val="4D9DF4E2"/>
    <w:rsid w:val="4DA6FB9E"/>
    <w:rsid w:val="4DB01837"/>
    <w:rsid w:val="4DB271DC"/>
    <w:rsid w:val="4DF48F03"/>
    <w:rsid w:val="4DFC2133"/>
    <w:rsid w:val="4DFDAC56"/>
    <w:rsid w:val="4E0B163B"/>
    <w:rsid w:val="4E286890"/>
    <w:rsid w:val="4E2E78A2"/>
    <w:rsid w:val="4E3F4197"/>
    <w:rsid w:val="4E786630"/>
    <w:rsid w:val="4ED09B54"/>
    <w:rsid w:val="4EE72E78"/>
    <w:rsid w:val="4EE85B17"/>
    <w:rsid w:val="4F0F84E5"/>
    <w:rsid w:val="4F252C5B"/>
    <w:rsid w:val="4F431E42"/>
    <w:rsid w:val="4F502ACE"/>
    <w:rsid w:val="4F58574F"/>
    <w:rsid w:val="4F661C3C"/>
    <w:rsid w:val="4F7272DA"/>
    <w:rsid w:val="4F84E77D"/>
    <w:rsid w:val="4F8A4AA5"/>
    <w:rsid w:val="4F9EFA73"/>
    <w:rsid w:val="4FA6E017"/>
    <w:rsid w:val="4FB135D4"/>
    <w:rsid w:val="4FC76F47"/>
    <w:rsid w:val="4FE3ED81"/>
    <w:rsid w:val="50028B30"/>
    <w:rsid w:val="500D3CA2"/>
    <w:rsid w:val="5017B1DC"/>
    <w:rsid w:val="5019CED6"/>
    <w:rsid w:val="501D5C0A"/>
    <w:rsid w:val="5033EA4A"/>
    <w:rsid w:val="50356069"/>
    <w:rsid w:val="5046596F"/>
    <w:rsid w:val="505BB1B7"/>
    <w:rsid w:val="5060B192"/>
    <w:rsid w:val="50879798"/>
    <w:rsid w:val="5092695C"/>
    <w:rsid w:val="5094E20B"/>
    <w:rsid w:val="509E573A"/>
    <w:rsid w:val="50AB8AC8"/>
    <w:rsid w:val="50B70E76"/>
    <w:rsid w:val="50BB5108"/>
    <w:rsid w:val="50D5CDA0"/>
    <w:rsid w:val="50E16A31"/>
    <w:rsid w:val="50E6E1CD"/>
    <w:rsid w:val="50EA54AD"/>
    <w:rsid w:val="50F4F654"/>
    <w:rsid w:val="50F85711"/>
    <w:rsid w:val="513E0BB0"/>
    <w:rsid w:val="515B6979"/>
    <w:rsid w:val="5194653C"/>
    <w:rsid w:val="519B98FE"/>
    <w:rsid w:val="519EDF9B"/>
    <w:rsid w:val="51F6659F"/>
    <w:rsid w:val="5221C0FF"/>
    <w:rsid w:val="523295D8"/>
    <w:rsid w:val="524B5A67"/>
    <w:rsid w:val="525950A7"/>
    <w:rsid w:val="52912276"/>
    <w:rsid w:val="529C64C1"/>
    <w:rsid w:val="52AA64B9"/>
    <w:rsid w:val="52C65074"/>
    <w:rsid w:val="52C7F91C"/>
    <w:rsid w:val="52CAE0AE"/>
    <w:rsid w:val="52CF18F7"/>
    <w:rsid w:val="52DC9BEA"/>
    <w:rsid w:val="52ED4C2F"/>
    <w:rsid w:val="52EFB654"/>
    <w:rsid w:val="52F2E759"/>
    <w:rsid w:val="52FB56F1"/>
    <w:rsid w:val="52FED992"/>
    <w:rsid w:val="53009A81"/>
    <w:rsid w:val="5321C7FF"/>
    <w:rsid w:val="532C7E19"/>
    <w:rsid w:val="53408BD2"/>
    <w:rsid w:val="53558009"/>
    <w:rsid w:val="536333AE"/>
    <w:rsid w:val="53644F47"/>
    <w:rsid w:val="536BB7CE"/>
    <w:rsid w:val="537D41E7"/>
    <w:rsid w:val="538A2717"/>
    <w:rsid w:val="53992E75"/>
    <w:rsid w:val="53B7C18B"/>
    <w:rsid w:val="53C73555"/>
    <w:rsid w:val="53DB50BA"/>
    <w:rsid w:val="53E57A56"/>
    <w:rsid w:val="53F7528F"/>
    <w:rsid w:val="53FC02EE"/>
    <w:rsid w:val="54172FF4"/>
    <w:rsid w:val="542B5F8E"/>
    <w:rsid w:val="54408A32"/>
    <w:rsid w:val="5450E3C7"/>
    <w:rsid w:val="5471478C"/>
    <w:rsid w:val="5484E835"/>
    <w:rsid w:val="548C1878"/>
    <w:rsid w:val="5490B89A"/>
    <w:rsid w:val="54A1C841"/>
    <w:rsid w:val="54A2FBF3"/>
    <w:rsid w:val="54ABD6F4"/>
    <w:rsid w:val="54E2D056"/>
    <w:rsid w:val="54E681B3"/>
    <w:rsid w:val="54FE127C"/>
    <w:rsid w:val="55059CF2"/>
    <w:rsid w:val="55070F9D"/>
    <w:rsid w:val="550BC882"/>
    <w:rsid w:val="5511000C"/>
    <w:rsid w:val="5529A3E7"/>
    <w:rsid w:val="553661FB"/>
    <w:rsid w:val="5540A9EC"/>
    <w:rsid w:val="556989FD"/>
    <w:rsid w:val="55814EF6"/>
    <w:rsid w:val="55C98F55"/>
    <w:rsid w:val="55DA90B4"/>
    <w:rsid w:val="55E655B0"/>
    <w:rsid w:val="55FAC83E"/>
    <w:rsid w:val="5605E3FD"/>
    <w:rsid w:val="560F39EC"/>
    <w:rsid w:val="5633409F"/>
    <w:rsid w:val="5640AD08"/>
    <w:rsid w:val="56475B4F"/>
    <w:rsid w:val="567E825D"/>
    <w:rsid w:val="568A9FA8"/>
    <w:rsid w:val="568C50E7"/>
    <w:rsid w:val="5692A2F0"/>
    <w:rsid w:val="569AB31C"/>
    <w:rsid w:val="569DA105"/>
    <w:rsid w:val="56AD51CB"/>
    <w:rsid w:val="56C40653"/>
    <w:rsid w:val="56D5C414"/>
    <w:rsid w:val="56E7F75D"/>
    <w:rsid w:val="56E9B1FA"/>
    <w:rsid w:val="56ED47C1"/>
    <w:rsid w:val="56F1B379"/>
    <w:rsid w:val="5723701E"/>
    <w:rsid w:val="5735BD48"/>
    <w:rsid w:val="57397B1D"/>
    <w:rsid w:val="57503ACF"/>
    <w:rsid w:val="575D8462"/>
    <w:rsid w:val="576DE00B"/>
    <w:rsid w:val="576DEE26"/>
    <w:rsid w:val="5770D0B7"/>
    <w:rsid w:val="57789020"/>
    <w:rsid w:val="57889649"/>
    <w:rsid w:val="57B6D619"/>
    <w:rsid w:val="57F04DAB"/>
    <w:rsid w:val="5821A17B"/>
    <w:rsid w:val="585C817E"/>
    <w:rsid w:val="58610A51"/>
    <w:rsid w:val="588BEF51"/>
    <w:rsid w:val="588CE3A9"/>
    <w:rsid w:val="58B5BA05"/>
    <w:rsid w:val="58D03F0D"/>
    <w:rsid w:val="58DE1CDE"/>
    <w:rsid w:val="58ECCE1D"/>
    <w:rsid w:val="58EF8ED4"/>
    <w:rsid w:val="58F9F846"/>
    <w:rsid w:val="5912D113"/>
    <w:rsid w:val="59174054"/>
    <w:rsid w:val="594AD336"/>
    <w:rsid w:val="59543D6A"/>
    <w:rsid w:val="595CA359"/>
    <w:rsid w:val="595D293E"/>
    <w:rsid w:val="596ADD04"/>
    <w:rsid w:val="596BB126"/>
    <w:rsid w:val="597B9496"/>
    <w:rsid w:val="597DFDB2"/>
    <w:rsid w:val="59909D0B"/>
    <w:rsid w:val="599F991A"/>
    <w:rsid w:val="59B03A0A"/>
    <w:rsid w:val="59BE2C41"/>
    <w:rsid w:val="59DFC5A7"/>
    <w:rsid w:val="59E4732D"/>
    <w:rsid w:val="59E7EAF0"/>
    <w:rsid w:val="59EBD224"/>
    <w:rsid w:val="59ECCD42"/>
    <w:rsid w:val="59ED7841"/>
    <w:rsid w:val="5A05FB8D"/>
    <w:rsid w:val="5A07062E"/>
    <w:rsid w:val="5A1E3EAD"/>
    <w:rsid w:val="5A204049"/>
    <w:rsid w:val="5A31E9BD"/>
    <w:rsid w:val="5A5A5916"/>
    <w:rsid w:val="5A8AFD3F"/>
    <w:rsid w:val="5AC6ED24"/>
    <w:rsid w:val="5AC742FA"/>
    <w:rsid w:val="5ACAEFBC"/>
    <w:rsid w:val="5AD29F5E"/>
    <w:rsid w:val="5AD541EE"/>
    <w:rsid w:val="5AEBA3AB"/>
    <w:rsid w:val="5AEFB895"/>
    <w:rsid w:val="5B02CA19"/>
    <w:rsid w:val="5B08FD23"/>
    <w:rsid w:val="5B0F4E03"/>
    <w:rsid w:val="5B5C98C9"/>
    <w:rsid w:val="5B6EADC3"/>
    <w:rsid w:val="5B702793"/>
    <w:rsid w:val="5B71D3B3"/>
    <w:rsid w:val="5B764BB3"/>
    <w:rsid w:val="5B77B412"/>
    <w:rsid w:val="5B8B180F"/>
    <w:rsid w:val="5BA50256"/>
    <w:rsid w:val="5BB07709"/>
    <w:rsid w:val="5BD02127"/>
    <w:rsid w:val="5BFAE9B8"/>
    <w:rsid w:val="5C32168B"/>
    <w:rsid w:val="5C6E0FE1"/>
    <w:rsid w:val="5C8EC82C"/>
    <w:rsid w:val="5C9D08F8"/>
    <w:rsid w:val="5CB034FA"/>
    <w:rsid w:val="5CB445BE"/>
    <w:rsid w:val="5CC2DA8D"/>
    <w:rsid w:val="5CC57FB9"/>
    <w:rsid w:val="5CDA4A9A"/>
    <w:rsid w:val="5CE76CFC"/>
    <w:rsid w:val="5CE7BCA6"/>
    <w:rsid w:val="5CEF2120"/>
    <w:rsid w:val="5CF0E75C"/>
    <w:rsid w:val="5CF1D210"/>
    <w:rsid w:val="5D6235DD"/>
    <w:rsid w:val="5D90F279"/>
    <w:rsid w:val="5DA9BA92"/>
    <w:rsid w:val="5DB2ABA9"/>
    <w:rsid w:val="5DE61A7F"/>
    <w:rsid w:val="5DEB42A6"/>
    <w:rsid w:val="5DECD0E7"/>
    <w:rsid w:val="5E284554"/>
    <w:rsid w:val="5E36E77C"/>
    <w:rsid w:val="5E5136F7"/>
    <w:rsid w:val="5E5F5670"/>
    <w:rsid w:val="5E60A8FB"/>
    <w:rsid w:val="5E715652"/>
    <w:rsid w:val="5E740902"/>
    <w:rsid w:val="5E74D2DB"/>
    <w:rsid w:val="5E95A5D7"/>
    <w:rsid w:val="5E98E456"/>
    <w:rsid w:val="5EA1DB50"/>
    <w:rsid w:val="5EA4D552"/>
    <w:rsid w:val="5EB6CD6A"/>
    <w:rsid w:val="5EC3C50D"/>
    <w:rsid w:val="5EC7D95D"/>
    <w:rsid w:val="5ECB8D51"/>
    <w:rsid w:val="5ED688A4"/>
    <w:rsid w:val="5EDAD272"/>
    <w:rsid w:val="5EEF2F77"/>
    <w:rsid w:val="5EF2DE4F"/>
    <w:rsid w:val="5F2D4BE8"/>
    <w:rsid w:val="5F3F5665"/>
    <w:rsid w:val="5F42C149"/>
    <w:rsid w:val="5F6FAD5F"/>
    <w:rsid w:val="5F8B6F1D"/>
    <w:rsid w:val="5F9A2DC6"/>
    <w:rsid w:val="5F9FF139"/>
    <w:rsid w:val="5FAEBE72"/>
    <w:rsid w:val="5FBF92A7"/>
    <w:rsid w:val="5FCED795"/>
    <w:rsid w:val="5FE9A522"/>
    <w:rsid w:val="5FF91D66"/>
    <w:rsid w:val="60043146"/>
    <w:rsid w:val="60099D00"/>
    <w:rsid w:val="601FCE60"/>
    <w:rsid w:val="60252C62"/>
    <w:rsid w:val="60354522"/>
    <w:rsid w:val="6036CC53"/>
    <w:rsid w:val="60371E7F"/>
    <w:rsid w:val="603B4979"/>
    <w:rsid w:val="603F5FD7"/>
    <w:rsid w:val="6051854B"/>
    <w:rsid w:val="605EED89"/>
    <w:rsid w:val="607DAA3F"/>
    <w:rsid w:val="60F01C0E"/>
    <w:rsid w:val="610605C8"/>
    <w:rsid w:val="6116621F"/>
    <w:rsid w:val="61250E8D"/>
    <w:rsid w:val="6125E113"/>
    <w:rsid w:val="61540555"/>
    <w:rsid w:val="615F8CF9"/>
    <w:rsid w:val="61D06990"/>
    <w:rsid w:val="61D4F8F7"/>
    <w:rsid w:val="61D5ED35"/>
    <w:rsid w:val="61F763B4"/>
    <w:rsid w:val="620C0495"/>
    <w:rsid w:val="6223020B"/>
    <w:rsid w:val="62244B79"/>
    <w:rsid w:val="622BA311"/>
    <w:rsid w:val="62323B7E"/>
    <w:rsid w:val="623EA3C9"/>
    <w:rsid w:val="624CC6C9"/>
    <w:rsid w:val="62525442"/>
    <w:rsid w:val="625FCA34"/>
    <w:rsid w:val="6282BFB8"/>
    <w:rsid w:val="6293798A"/>
    <w:rsid w:val="62AA9687"/>
    <w:rsid w:val="62C0D455"/>
    <w:rsid w:val="62DEAEEF"/>
    <w:rsid w:val="62E07A3D"/>
    <w:rsid w:val="62EC037A"/>
    <w:rsid w:val="62F6E20A"/>
    <w:rsid w:val="62FC5A01"/>
    <w:rsid w:val="63115A39"/>
    <w:rsid w:val="632BFCA4"/>
    <w:rsid w:val="6336C6A0"/>
    <w:rsid w:val="633E9E09"/>
    <w:rsid w:val="635337E2"/>
    <w:rsid w:val="635929D6"/>
    <w:rsid w:val="636566A3"/>
    <w:rsid w:val="6379C8F6"/>
    <w:rsid w:val="637A602B"/>
    <w:rsid w:val="639C9218"/>
    <w:rsid w:val="63E56025"/>
    <w:rsid w:val="6431F71A"/>
    <w:rsid w:val="64428792"/>
    <w:rsid w:val="644CB066"/>
    <w:rsid w:val="6451E772"/>
    <w:rsid w:val="646DE43B"/>
    <w:rsid w:val="64C8DE97"/>
    <w:rsid w:val="64D02B1E"/>
    <w:rsid w:val="64ED1BB4"/>
    <w:rsid w:val="650C50B4"/>
    <w:rsid w:val="650DCBA6"/>
    <w:rsid w:val="65114EC0"/>
    <w:rsid w:val="651EA34D"/>
    <w:rsid w:val="6524B86E"/>
    <w:rsid w:val="65288D65"/>
    <w:rsid w:val="6537842F"/>
    <w:rsid w:val="6553A9F1"/>
    <w:rsid w:val="655DAE14"/>
    <w:rsid w:val="658CE916"/>
    <w:rsid w:val="658DAEA6"/>
    <w:rsid w:val="65C9A1B6"/>
    <w:rsid w:val="65D40EBE"/>
    <w:rsid w:val="65DC8CE7"/>
    <w:rsid w:val="65EAE6FB"/>
    <w:rsid w:val="65F28140"/>
    <w:rsid w:val="660E4ABB"/>
    <w:rsid w:val="661B4FB6"/>
    <w:rsid w:val="6645274A"/>
    <w:rsid w:val="66602905"/>
    <w:rsid w:val="668CE084"/>
    <w:rsid w:val="6694152B"/>
    <w:rsid w:val="6698CA38"/>
    <w:rsid w:val="669A4035"/>
    <w:rsid w:val="66A229EA"/>
    <w:rsid w:val="66E16ECD"/>
    <w:rsid w:val="67188FD2"/>
    <w:rsid w:val="6734E41C"/>
    <w:rsid w:val="6742B034"/>
    <w:rsid w:val="674A918B"/>
    <w:rsid w:val="67566AD0"/>
    <w:rsid w:val="6777B613"/>
    <w:rsid w:val="677FDE53"/>
    <w:rsid w:val="67BC60D8"/>
    <w:rsid w:val="67C6E048"/>
    <w:rsid w:val="67C90134"/>
    <w:rsid w:val="67E54527"/>
    <w:rsid w:val="67FE1AB7"/>
    <w:rsid w:val="681A46D1"/>
    <w:rsid w:val="6833157F"/>
    <w:rsid w:val="683A849D"/>
    <w:rsid w:val="6849E300"/>
    <w:rsid w:val="685362AB"/>
    <w:rsid w:val="685F7D20"/>
    <w:rsid w:val="686E3919"/>
    <w:rsid w:val="686E6EC6"/>
    <w:rsid w:val="687D2012"/>
    <w:rsid w:val="68A307E6"/>
    <w:rsid w:val="68E1E80E"/>
    <w:rsid w:val="68E62E42"/>
    <w:rsid w:val="68F07B7B"/>
    <w:rsid w:val="68F5B960"/>
    <w:rsid w:val="68F791B3"/>
    <w:rsid w:val="690730FF"/>
    <w:rsid w:val="691AB9D1"/>
    <w:rsid w:val="692078CB"/>
    <w:rsid w:val="694224BF"/>
    <w:rsid w:val="695262F4"/>
    <w:rsid w:val="6961F414"/>
    <w:rsid w:val="69789A57"/>
    <w:rsid w:val="698632F8"/>
    <w:rsid w:val="69BD9D34"/>
    <w:rsid w:val="69DBAAFD"/>
    <w:rsid w:val="69E4FB71"/>
    <w:rsid w:val="69E66CF4"/>
    <w:rsid w:val="69EB4C63"/>
    <w:rsid w:val="6A15C468"/>
    <w:rsid w:val="6A161C85"/>
    <w:rsid w:val="6A42C7D2"/>
    <w:rsid w:val="6A7C3DFD"/>
    <w:rsid w:val="6A8C75F1"/>
    <w:rsid w:val="6A8D3996"/>
    <w:rsid w:val="6A946562"/>
    <w:rsid w:val="6AA02588"/>
    <w:rsid w:val="6AF80C83"/>
    <w:rsid w:val="6B71C803"/>
    <w:rsid w:val="6B9432B5"/>
    <w:rsid w:val="6BD3142E"/>
    <w:rsid w:val="6BE3F55C"/>
    <w:rsid w:val="6C3DE03B"/>
    <w:rsid w:val="6C62DCEF"/>
    <w:rsid w:val="6CBC2429"/>
    <w:rsid w:val="6CD9E8AA"/>
    <w:rsid w:val="6CE2048A"/>
    <w:rsid w:val="6CE9320F"/>
    <w:rsid w:val="6CF46D13"/>
    <w:rsid w:val="6CFF7B70"/>
    <w:rsid w:val="6CFFFD29"/>
    <w:rsid w:val="6D19EFA2"/>
    <w:rsid w:val="6D387690"/>
    <w:rsid w:val="6D39CCFB"/>
    <w:rsid w:val="6D6E09F9"/>
    <w:rsid w:val="6D8FBBA4"/>
    <w:rsid w:val="6DA19F36"/>
    <w:rsid w:val="6DA9EF29"/>
    <w:rsid w:val="6DB5522A"/>
    <w:rsid w:val="6DBA6E4E"/>
    <w:rsid w:val="6DBE7F54"/>
    <w:rsid w:val="6DC0152B"/>
    <w:rsid w:val="6DDF5797"/>
    <w:rsid w:val="6DF7E0CE"/>
    <w:rsid w:val="6E0EECD2"/>
    <w:rsid w:val="6E0FD776"/>
    <w:rsid w:val="6E156933"/>
    <w:rsid w:val="6E2C3175"/>
    <w:rsid w:val="6E44C611"/>
    <w:rsid w:val="6E58B953"/>
    <w:rsid w:val="6E6049FE"/>
    <w:rsid w:val="6E6D0A69"/>
    <w:rsid w:val="6E78BD23"/>
    <w:rsid w:val="6E80A192"/>
    <w:rsid w:val="6E969C3C"/>
    <w:rsid w:val="6E98F098"/>
    <w:rsid w:val="6EAD2CDF"/>
    <w:rsid w:val="6EC3ABC2"/>
    <w:rsid w:val="6EFBD899"/>
    <w:rsid w:val="6EFEA8E5"/>
    <w:rsid w:val="6F0865B2"/>
    <w:rsid w:val="6F1E6BB4"/>
    <w:rsid w:val="6F250367"/>
    <w:rsid w:val="6F28BAB9"/>
    <w:rsid w:val="6F344175"/>
    <w:rsid w:val="6F39015D"/>
    <w:rsid w:val="6F5A9425"/>
    <w:rsid w:val="6F6214EA"/>
    <w:rsid w:val="6F64B52F"/>
    <w:rsid w:val="6FA96861"/>
    <w:rsid w:val="6FCB1F3E"/>
    <w:rsid w:val="6FD0D0CA"/>
    <w:rsid w:val="6FD5B1CC"/>
    <w:rsid w:val="6FD83B32"/>
    <w:rsid w:val="6FDCD24A"/>
    <w:rsid w:val="6FE3EE03"/>
    <w:rsid w:val="6FEB7924"/>
    <w:rsid w:val="6FF49EEF"/>
    <w:rsid w:val="6FF72BE2"/>
    <w:rsid w:val="6FF741E3"/>
    <w:rsid w:val="6FFB72AD"/>
    <w:rsid w:val="700EA73F"/>
    <w:rsid w:val="70326F45"/>
    <w:rsid w:val="7037DE18"/>
    <w:rsid w:val="7039162E"/>
    <w:rsid w:val="703A6DC0"/>
    <w:rsid w:val="7067A605"/>
    <w:rsid w:val="708C3921"/>
    <w:rsid w:val="7098C491"/>
    <w:rsid w:val="70999746"/>
    <w:rsid w:val="709DE82C"/>
    <w:rsid w:val="70A81C3F"/>
    <w:rsid w:val="70E7CBD8"/>
    <w:rsid w:val="710691A5"/>
    <w:rsid w:val="710795E9"/>
    <w:rsid w:val="7117DB66"/>
    <w:rsid w:val="71185CAB"/>
    <w:rsid w:val="7144B578"/>
    <w:rsid w:val="714D8DF6"/>
    <w:rsid w:val="71530EB6"/>
    <w:rsid w:val="71A459B4"/>
    <w:rsid w:val="71CA386A"/>
    <w:rsid w:val="71D6B5DE"/>
    <w:rsid w:val="71DAF45F"/>
    <w:rsid w:val="71F13404"/>
    <w:rsid w:val="71FD3861"/>
    <w:rsid w:val="721812E7"/>
    <w:rsid w:val="722FAD99"/>
    <w:rsid w:val="725932BF"/>
    <w:rsid w:val="725D5247"/>
    <w:rsid w:val="72A9858E"/>
    <w:rsid w:val="72BC8344"/>
    <w:rsid w:val="72D08E67"/>
    <w:rsid w:val="72DAD98C"/>
    <w:rsid w:val="73001FBB"/>
    <w:rsid w:val="7304EB3A"/>
    <w:rsid w:val="731B56E4"/>
    <w:rsid w:val="7331383C"/>
    <w:rsid w:val="73466548"/>
    <w:rsid w:val="7368F6D5"/>
    <w:rsid w:val="73768EE3"/>
    <w:rsid w:val="739C7C17"/>
    <w:rsid w:val="73A009A5"/>
    <w:rsid w:val="73AC1839"/>
    <w:rsid w:val="73B1783E"/>
    <w:rsid w:val="73D2271A"/>
    <w:rsid w:val="73F47BC0"/>
    <w:rsid w:val="73F883C0"/>
    <w:rsid w:val="7411855A"/>
    <w:rsid w:val="741D1939"/>
    <w:rsid w:val="74217FA2"/>
    <w:rsid w:val="7421A239"/>
    <w:rsid w:val="742A958B"/>
    <w:rsid w:val="743506FC"/>
    <w:rsid w:val="7437778F"/>
    <w:rsid w:val="743908C7"/>
    <w:rsid w:val="7445371A"/>
    <w:rsid w:val="74465AF1"/>
    <w:rsid w:val="7452E066"/>
    <w:rsid w:val="7492D5D8"/>
    <w:rsid w:val="74A0F043"/>
    <w:rsid w:val="74AEADFA"/>
    <w:rsid w:val="74C12D6E"/>
    <w:rsid w:val="74D33728"/>
    <w:rsid w:val="74D7C81E"/>
    <w:rsid w:val="74E23DA9"/>
    <w:rsid w:val="74E8DDE7"/>
    <w:rsid w:val="74EA6DFA"/>
    <w:rsid w:val="752D3527"/>
    <w:rsid w:val="753C5250"/>
    <w:rsid w:val="7552D3E8"/>
    <w:rsid w:val="755D22A5"/>
    <w:rsid w:val="755FDB5E"/>
    <w:rsid w:val="756F6744"/>
    <w:rsid w:val="7573DB1D"/>
    <w:rsid w:val="7574D6C0"/>
    <w:rsid w:val="75862815"/>
    <w:rsid w:val="7597890E"/>
    <w:rsid w:val="75A672B8"/>
    <w:rsid w:val="75B0E528"/>
    <w:rsid w:val="75B670DD"/>
    <w:rsid w:val="75B78D55"/>
    <w:rsid w:val="75BC0803"/>
    <w:rsid w:val="75D43465"/>
    <w:rsid w:val="75DD452A"/>
    <w:rsid w:val="75E6A1C2"/>
    <w:rsid w:val="75F86E50"/>
    <w:rsid w:val="762A64B4"/>
    <w:rsid w:val="76438690"/>
    <w:rsid w:val="765FDD40"/>
    <w:rsid w:val="76744785"/>
    <w:rsid w:val="768B40E9"/>
    <w:rsid w:val="76A7BF2C"/>
    <w:rsid w:val="76A8ECA0"/>
    <w:rsid w:val="76D4EB8A"/>
    <w:rsid w:val="76EED53F"/>
    <w:rsid w:val="76F08C8C"/>
    <w:rsid w:val="77009EAB"/>
    <w:rsid w:val="77206F19"/>
    <w:rsid w:val="7722B9BF"/>
    <w:rsid w:val="772705CE"/>
    <w:rsid w:val="773D033E"/>
    <w:rsid w:val="774F3218"/>
    <w:rsid w:val="77714E23"/>
    <w:rsid w:val="77A44C26"/>
    <w:rsid w:val="77BADD0B"/>
    <w:rsid w:val="77FCD075"/>
    <w:rsid w:val="7802CA14"/>
    <w:rsid w:val="789464E8"/>
    <w:rsid w:val="78A06BAD"/>
    <w:rsid w:val="78B7FE21"/>
    <w:rsid w:val="78C1FDC4"/>
    <w:rsid w:val="78DA72F0"/>
    <w:rsid w:val="78DD86FE"/>
    <w:rsid w:val="78E1B688"/>
    <w:rsid w:val="78EBF45C"/>
    <w:rsid w:val="78FCD5B0"/>
    <w:rsid w:val="79019905"/>
    <w:rsid w:val="7901CFF3"/>
    <w:rsid w:val="791031F5"/>
    <w:rsid w:val="791C4A76"/>
    <w:rsid w:val="7938866E"/>
    <w:rsid w:val="794F0E61"/>
    <w:rsid w:val="7971C353"/>
    <w:rsid w:val="79838F08"/>
    <w:rsid w:val="79968C4E"/>
    <w:rsid w:val="79B18BBF"/>
    <w:rsid w:val="79B25751"/>
    <w:rsid w:val="79EA77AC"/>
    <w:rsid w:val="79EE9443"/>
    <w:rsid w:val="79FB160D"/>
    <w:rsid w:val="79FEC478"/>
    <w:rsid w:val="7A48FD9B"/>
    <w:rsid w:val="7A791CC4"/>
    <w:rsid w:val="7A832F75"/>
    <w:rsid w:val="7A8E7588"/>
    <w:rsid w:val="7ABEE1A7"/>
    <w:rsid w:val="7AF034CF"/>
    <w:rsid w:val="7AF5E995"/>
    <w:rsid w:val="7B13587F"/>
    <w:rsid w:val="7B138FAC"/>
    <w:rsid w:val="7B1876C5"/>
    <w:rsid w:val="7B230E5E"/>
    <w:rsid w:val="7B24C967"/>
    <w:rsid w:val="7B428509"/>
    <w:rsid w:val="7B462E54"/>
    <w:rsid w:val="7B6FB817"/>
    <w:rsid w:val="7B92011B"/>
    <w:rsid w:val="7B9DA677"/>
    <w:rsid w:val="7B9F6D07"/>
    <w:rsid w:val="7BA9A485"/>
    <w:rsid w:val="7BB859E4"/>
    <w:rsid w:val="7BBA8967"/>
    <w:rsid w:val="7BC18296"/>
    <w:rsid w:val="7BC4AD80"/>
    <w:rsid w:val="7BD68A33"/>
    <w:rsid w:val="7C019840"/>
    <w:rsid w:val="7C10D2A4"/>
    <w:rsid w:val="7C313A7C"/>
    <w:rsid w:val="7C3B059F"/>
    <w:rsid w:val="7C3BE86C"/>
    <w:rsid w:val="7C4057B3"/>
    <w:rsid w:val="7C417EBE"/>
    <w:rsid w:val="7C782D60"/>
    <w:rsid w:val="7C889759"/>
    <w:rsid w:val="7CA192C4"/>
    <w:rsid w:val="7CA5BD45"/>
    <w:rsid w:val="7CBBDCC7"/>
    <w:rsid w:val="7CD82049"/>
    <w:rsid w:val="7CDD674C"/>
    <w:rsid w:val="7CE3BB61"/>
    <w:rsid w:val="7CE734A4"/>
    <w:rsid w:val="7CF4A868"/>
    <w:rsid w:val="7CF84A9C"/>
    <w:rsid w:val="7D029C5E"/>
    <w:rsid w:val="7D1FB15A"/>
    <w:rsid w:val="7D27B162"/>
    <w:rsid w:val="7D415959"/>
    <w:rsid w:val="7D4A4C67"/>
    <w:rsid w:val="7D586CFC"/>
    <w:rsid w:val="7D65F9F3"/>
    <w:rsid w:val="7D758368"/>
    <w:rsid w:val="7D8140BA"/>
    <w:rsid w:val="7D8D3989"/>
    <w:rsid w:val="7D965B94"/>
    <w:rsid w:val="7D9B8A0D"/>
    <w:rsid w:val="7DB21CA9"/>
    <w:rsid w:val="7DB8B19D"/>
    <w:rsid w:val="7DD1DFAF"/>
    <w:rsid w:val="7DDFE197"/>
    <w:rsid w:val="7E00D78F"/>
    <w:rsid w:val="7E0C3B8F"/>
    <w:rsid w:val="7E1BC05B"/>
    <w:rsid w:val="7E2E5D06"/>
    <w:rsid w:val="7E4D816D"/>
    <w:rsid w:val="7E4FE510"/>
    <w:rsid w:val="7E58D972"/>
    <w:rsid w:val="7EAC4F51"/>
    <w:rsid w:val="7EB2FEE7"/>
    <w:rsid w:val="7EB70BE8"/>
    <w:rsid w:val="7EC8860D"/>
    <w:rsid w:val="7ED4FB1F"/>
    <w:rsid w:val="7EE8A87B"/>
    <w:rsid w:val="7F056620"/>
    <w:rsid w:val="7F201F47"/>
    <w:rsid w:val="7F348D0C"/>
    <w:rsid w:val="7F39D371"/>
    <w:rsid w:val="7F7CBD16"/>
    <w:rsid w:val="7F864998"/>
    <w:rsid w:val="7F973614"/>
    <w:rsid w:val="7FA58CFC"/>
    <w:rsid w:val="7FADEE9B"/>
    <w:rsid w:val="7FB1BEDE"/>
    <w:rsid w:val="7FBFD936"/>
    <w:rsid w:val="7FF42235"/>
  </w:rsids>
  <m:mathPr>
    <m:mathFont m:val="Cambria Math"/>
  </m:mathPr>
  <w:themeFontLang w:val="en-GB" w:eastAsia="ja-JP" w:bidi="ar-SA"/>
  <w:clrSchemeMapping w:bg1="light1" w:t1="dark1" w:bg2="light2" w:t2="dark2" w:accent1="accent1" w:accent2="accent2" w:accent3="accent3" w:accent4="accent4" w:accent5="accent5" w:accent6="accent6" w:hyperlink="hyperlink" w:followedHyperlink="followedHyperlink"/>
  <w14:docId w14:val="3C876EC3"/>
  <w15:docId w15:val="{711D055F-5501-4630-AE46-886EFD6C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c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uiPriority w:val="9"/>
    <w:qFormat/>
    <w:rsid w:val="00794716"/>
    <w:pPr>
      <w:numPr>
        <w:numId w:val="34"/>
      </w:numPr>
      <w:outlineLvl w:val="0"/>
    </w:pPr>
    <w:rPr>
      <w:rFonts w:ascii="Aptos SemiBold" w:hAnsi="Aptos SemiBold"/>
      <w:sz w:val="28"/>
      <w:szCs w:val="28"/>
      <w:lang w:val="cs-CZ"/>
    </w:rPr>
  </w:style>
  <w:style w:type="paragraph" w:styleId="Heading2">
    <w:name w:val="heading 2"/>
    <w:uiPriority w:val="9"/>
    <w:unhideWhenUsed/>
    <w:qFormat/>
    <w:rsid w:val="006446B8"/>
    <w:pPr>
      <w:numPr>
        <w:ilvl w:val="1"/>
        <w:numId w:val="34"/>
      </w:numPr>
      <w:spacing w:before="280" w:after="80"/>
      <w:outlineLvl w:val="1"/>
    </w:pPr>
    <w:rPr>
      <w:b/>
      <w:bCs/>
      <w:color w:val="034EA2"/>
      <w:sz w:val="28"/>
      <w:szCs w:val="28"/>
      <w:lang w:val="cs-CZ"/>
    </w:rPr>
  </w:style>
  <w:style w:type="paragraph" w:styleId="Heading3">
    <w:name w:val="heading 3"/>
    <w:basedOn w:val="Normal"/>
    <w:uiPriority w:val="9"/>
    <w:unhideWhenUsed/>
    <w:qFormat/>
    <w:rsid w:val="00B64BDB"/>
    <w:pPr>
      <w:keepNext/>
      <w:numPr>
        <w:ilvl w:val="2"/>
        <w:numId w:val="34"/>
      </w:numPr>
      <w:spacing w:before="240"/>
      <w:outlineLvl w:val="2"/>
    </w:pPr>
    <w:rPr>
      <w:b/>
      <w:color w:val="2F69A3"/>
      <w:lang w:val="cs-CZ"/>
    </w:rPr>
  </w:style>
  <w:style w:type="paragraph" w:styleId="Heading4">
    <w:name w:val="heading 4"/>
    <w:uiPriority w:val="9"/>
    <w:unhideWhenUsed/>
    <w:qFormat/>
    <w:rsid w:val="00D95413"/>
    <w:pPr>
      <w:keepNext/>
      <w:keepLines/>
      <w:numPr>
        <w:ilvl w:val="3"/>
        <w:numId w:val="34"/>
      </w:numPr>
      <w:spacing w:before="240"/>
      <w:outlineLvl w:val="3"/>
    </w:pPr>
    <w:rPr>
      <w:b/>
      <w:bCs/>
      <w:i/>
      <w:iCs/>
      <w:color w:val="0F4761" w:themeColor="accent1" w:themeShade="BF"/>
    </w:rPr>
  </w:style>
  <w:style w:type="paragraph" w:styleId="Heading5">
    <w:name w:val="heading 5"/>
    <w:uiPriority w:val="9"/>
    <w:semiHidden/>
    <w:unhideWhenUsed/>
    <w:qFormat/>
    <w:rsid w:val="025137AC"/>
    <w:pPr>
      <w:keepNext/>
      <w:keepLines/>
      <w:numPr>
        <w:ilvl w:val="4"/>
        <w:numId w:val="34"/>
      </w:numPr>
      <w:spacing w:before="80" w:after="40"/>
      <w:outlineLvl w:val="4"/>
    </w:pPr>
    <w:rPr>
      <w:color w:val="0F4761" w:themeColor="accent1" w:themeShade="BF"/>
    </w:rPr>
  </w:style>
  <w:style w:type="paragraph" w:styleId="Heading6">
    <w:name w:val="heading 6"/>
    <w:uiPriority w:val="9"/>
    <w:semiHidden/>
    <w:unhideWhenUsed/>
    <w:qFormat/>
    <w:rsid w:val="025137AC"/>
    <w:pPr>
      <w:keepNext/>
      <w:keepLines/>
      <w:numPr>
        <w:ilvl w:val="5"/>
        <w:numId w:val="34"/>
      </w:numPr>
      <w:spacing w:before="40" w:after="0"/>
      <w:outlineLvl w:val="5"/>
    </w:pPr>
    <w:rPr>
      <w:i/>
      <w:iCs/>
      <w:color w:val="595959" w:themeColor="text1" w:themeTint="A6"/>
    </w:rPr>
  </w:style>
  <w:style w:type="paragraph" w:styleId="Heading7">
    <w:name w:val="heading 7"/>
    <w:link w:val="Nadpis7Char"/>
    <w:uiPriority w:val="9"/>
    <w:semiHidden/>
    <w:unhideWhenUsed/>
    <w:qFormat/>
    <w:rsid w:val="0041156E"/>
    <w:pPr>
      <w:keepNext/>
      <w:keepLines/>
      <w:numPr>
        <w:ilvl w:val="6"/>
        <w:numId w:val="34"/>
      </w:numPr>
      <w:spacing w:before="40" w:after="0"/>
      <w:outlineLvl w:val="6"/>
    </w:pPr>
    <w:rPr>
      <w:rFonts w:eastAsiaTheme="majorEastAsia" w:cstheme="majorBidi"/>
      <w:color w:val="595959" w:themeColor="text1" w:themeTint="A6"/>
    </w:rPr>
  </w:style>
  <w:style w:type="paragraph" w:styleId="Heading8">
    <w:name w:val="heading 8"/>
    <w:link w:val="Nadpis8Char"/>
    <w:uiPriority w:val="9"/>
    <w:semiHidden/>
    <w:unhideWhenUsed/>
    <w:qFormat/>
    <w:rsid w:val="0041156E"/>
    <w:pPr>
      <w:keepNext/>
      <w:keepLines/>
      <w:numPr>
        <w:ilvl w:val="7"/>
        <w:numId w:val="34"/>
      </w:numPr>
      <w:spacing w:after="0"/>
      <w:outlineLvl w:val="7"/>
    </w:pPr>
    <w:rPr>
      <w:rFonts w:eastAsiaTheme="majorEastAsia" w:cstheme="majorBidi"/>
      <w:i/>
      <w:iCs/>
      <w:color w:val="272727" w:themeColor="text1" w:themeTint="D8"/>
    </w:rPr>
  </w:style>
  <w:style w:type="paragraph" w:styleId="Heading9">
    <w:name w:val="heading 9"/>
    <w:link w:val="Nadpis9Char"/>
    <w:uiPriority w:val="9"/>
    <w:semiHidden/>
    <w:unhideWhenUsed/>
    <w:qFormat/>
    <w:rsid w:val="0041156E"/>
    <w:pPr>
      <w:keepNext/>
      <w:keepLines/>
      <w:numPr>
        <w:ilvl w:val="8"/>
        <w:numId w:val="34"/>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dpis7Char">
    <w:name w:val="Nadpis 7 Char"/>
    <w:basedOn w:val="DefaultParagraphFont"/>
    <w:link w:val="Heading7"/>
    <w:uiPriority w:val="9"/>
    <w:semiHidden/>
    <w:rsid w:val="0041156E"/>
    <w:rPr>
      <w:rFonts w:eastAsiaTheme="majorEastAsia" w:cstheme="majorBidi"/>
      <w:color w:val="595959" w:themeColor="text1" w:themeTint="A6"/>
    </w:rPr>
  </w:style>
  <w:style w:type="character" w:customStyle="1" w:styleId="Nadpis8Char">
    <w:name w:val="Nadpis 8 Char"/>
    <w:basedOn w:val="DefaultParagraphFont"/>
    <w:link w:val="Heading8"/>
    <w:uiPriority w:val="9"/>
    <w:semiHidden/>
    <w:rsid w:val="0041156E"/>
    <w:rPr>
      <w:rFonts w:eastAsiaTheme="majorEastAsia" w:cstheme="majorBidi"/>
      <w:i/>
      <w:iCs/>
      <w:color w:val="272727" w:themeColor="text1" w:themeTint="D8"/>
    </w:rPr>
  </w:style>
  <w:style w:type="character" w:customStyle="1" w:styleId="Nadpis9Char">
    <w:name w:val="Nadpis 9 Char"/>
    <w:basedOn w:val="DefaultParagraphFont"/>
    <w:link w:val="Heading9"/>
    <w:uiPriority w:val="9"/>
    <w:semiHidden/>
    <w:rsid w:val="0041156E"/>
    <w:rPr>
      <w:rFonts w:eastAsiaTheme="majorEastAsia" w:cstheme="majorBidi"/>
      <w:color w:val="272727" w:themeColor="text1" w:themeTint="D8"/>
    </w:rPr>
  </w:style>
  <w:style w:type="table" w:customStyle="1" w:styleId="TableNormal0">
    <w:name w:val="TableNormal"/>
    <w:tblPr>
      <w:tblCellMar>
        <w:top w:w="100" w:type="dxa"/>
        <w:left w:w="100" w:type="dxa"/>
        <w:bottom w:w="100" w:type="dxa"/>
        <w:right w:w="100" w:type="dxa"/>
      </w:tblCellMar>
    </w:tblPr>
  </w:style>
  <w:style w:type="paragraph" w:styleId="Title">
    <w:name w:val="Title"/>
    <w:basedOn w:val="Heading1"/>
    <w:uiPriority w:val="10"/>
    <w:qFormat/>
    <w:rsid w:val="00B86D89"/>
    <w:pPr>
      <w:numPr>
        <w:numId w:val="0"/>
      </w:numPr>
    </w:pPr>
  </w:style>
  <w:style w:type="character" w:customStyle="1" w:styleId="Nadpis1Char">
    <w:name w:val="Nadpis 1 Char"/>
    <w:uiPriority w:val="9"/>
    <w:rsid w:val="025137AC"/>
    <w:rPr>
      <w:b/>
      <w:bCs/>
      <w:sz w:val="24"/>
      <w:szCs w:val="24"/>
      <w:lang w:val="cs-CZ"/>
    </w:rPr>
  </w:style>
  <w:style w:type="character" w:customStyle="1" w:styleId="Nadpis2Char">
    <w:name w:val="Nadpis 2 Char"/>
    <w:uiPriority w:val="9"/>
    <w:rsid w:val="025137AC"/>
    <w:rPr>
      <w:b/>
      <w:bCs/>
      <w:lang w:val="cs-CZ"/>
    </w:rPr>
  </w:style>
  <w:style w:type="character" w:customStyle="1" w:styleId="Nadpis3Char">
    <w:name w:val="Nadpis 3 Char"/>
    <w:uiPriority w:val="9"/>
    <w:rsid w:val="025137AC"/>
    <w:rPr>
      <w:b/>
      <w:bCs/>
      <w:lang w:val="cs-CZ"/>
    </w:rPr>
  </w:style>
  <w:style w:type="character" w:customStyle="1" w:styleId="Nadpis4Char">
    <w:name w:val="Nadpis 4 Char"/>
    <w:uiPriority w:val="9"/>
    <w:rsid w:val="025137AC"/>
    <w:rPr>
      <w:rFonts w:eastAsiaTheme="majorEastAsia" w:cstheme="majorBidi"/>
      <w:i/>
      <w:iCs/>
      <w:color w:val="0F4761" w:themeColor="accent1" w:themeShade="BF"/>
    </w:rPr>
  </w:style>
  <w:style w:type="character" w:customStyle="1" w:styleId="Nadpis5Char">
    <w:name w:val="Nadpis 5 Char"/>
    <w:uiPriority w:val="9"/>
    <w:semiHidden/>
    <w:rsid w:val="025137AC"/>
    <w:rPr>
      <w:rFonts w:eastAsiaTheme="majorEastAsia" w:cstheme="majorBidi"/>
      <w:color w:val="0F4761" w:themeColor="accent1" w:themeShade="BF"/>
    </w:rPr>
  </w:style>
  <w:style w:type="character" w:customStyle="1" w:styleId="Nadpis6Char">
    <w:name w:val="Nadpis 6 Char"/>
    <w:uiPriority w:val="9"/>
    <w:semiHidden/>
    <w:rsid w:val="025137AC"/>
    <w:rPr>
      <w:rFonts w:eastAsiaTheme="majorEastAsia" w:cstheme="majorBidi"/>
      <w:i/>
      <w:iCs/>
      <w:color w:val="595959" w:themeColor="text1" w:themeTint="A6"/>
    </w:rPr>
  </w:style>
  <w:style w:type="character" w:customStyle="1" w:styleId="NzevChar">
    <w:name w:val="Název Char"/>
    <w:uiPriority w:val="10"/>
    <w:rsid w:val="025137AC"/>
    <w:rPr>
      <w:rFonts w:asciiTheme="majorHAnsi" w:eastAsiaTheme="majorEastAsia" w:hAnsiTheme="majorHAnsi" w:cstheme="majorBidi"/>
      <w:sz w:val="56"/>
      <w:szCs w:val="56"/>
    </w:rPr>
  </w:style>
  <w:style w:type="character" w:customStyle="1" w:styleId="PodnadpisChar">
    <w:name w:val="Podnadpis Char"/>
    <w:uiPriority w:val="11"/>
    <w:rsid w:val="025137AC"/>
    <w:rPr>
      <w:rFonts w:eastAsiaTheme="majorEastAsia" w:cstheme="majorBidi"/>
      <w:color w:val="000000" w:themeColor="text1"/>
      <w:sz w:val="28"/>
      <w:szCs w:val="28"/>
    </w:rPr>
  </w:style>
  <w:style w:type="paragraph" w:styleId="Quote">
    <w:name w:val="Quote"/>
    <w:link w:val="CittChar"/>
    <w:uiPriority w:val="29"/>
    <w:qFormat/>
    <w:rsid w:val="0041156E"/>
    <w:pPr>
      <w:spacing w:before="160"/>
      <w:jc w:val="center"/>
    </w:pPr>
    <w:rPr>
      <w:i/>
      <w:iCs/>
      <w:color w:val="000000" w:themeColor="text1"/>
    </w:rPr>
  </w:style>
  <w:style w:type="character" w:customStyle="1" w:styleId="CittChar">
    <w:name w:val="Citát Char"/>
    <w:basedOn w:val="DefaultParagraphFont"/>
    <w:link w:val="Quote"/>
    <w:uiPriority w:val="29"/>
    <w:rsid w:val="0041156E"/>
    <w:rPr>
      <w:i/>
      <w:iCs/>
      <w:color w:val="000000" w:themeColor="text1"/>
    </w:rPr>
  </w:style>
  <w:style w:type="paragraph" w:styleId="ListParagraph">
    <w:name w:val="List Paragraph"/>
    <w:uiPriority w:val="34"/>
    <w:qFormat/>
    <w:rsid w:val="0041156E"/>
    <w:pPr>
      <w:ind w:left="720"/>
      <w:contextualSpacing/>
    </w:pPr>
  </w:style>
  <w:style w:type="character" w:styleId="IntenseEmphasis">
    <w:name w:val="Intense Emphasis"/>
    <w:uiPriority w:val="21"/>
    <w:qFormat/>
    <w:rsid w:val="00CE1FAD"/>
    <w:rPr>
      <w:b/>
      <w:bCs/>
      <w:i/>
      <w:iCs/>
      <w:color w:val="156082" w:themeColor="accent1"/>
    </w:rPr>
  </w:style>
  <w:style w:type="paragraph" w:styleId="IntenseQuote">
    <w:name w:val="Intense Quote"/>
    <w:link w:val="VrazncittChar"/>
    <w:uiPriority w:val="30"/>
    <w:qFormat/>
    <w:rsid w:val="004115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DefaultParagraphFont"/>
    <w:link w:val="IntenseQuote"/>
    <w:uiPriority w:val="30"/>
    <w:rsid w:val="0041156E"/>
    <w:rPr>
      <w:i/>
      <w:iCs/>
      <w:color w:val="0F4761" w:themeColor="accent1" w:themeShade="BF"/>
    </w:rPr>
  </w:style>
  <w:style w:type="character" w:styleId="IntenseReference">
    <w:name w:val="Intense Reference"/>
    <w:uiPriority w:val="32"/>
    <w:qFormat/>
    <w:rsid w:val="025137AC"/>
    <w:rPr>
      <w:b/>
      <w:bCs/>
      <w:smallCaps/>
      <w:color w:val="0F4761" w:themeColor="accent1" w:themeShade="BF"/>
    </w:rPr>
  </w:style>
  <w:style w:type="paragraph" w:styleId="Header">
    <w:name w:val="header"/>
    <w:link w:val="ZhlavChar"/>
    <w:uiPriority w:val="99"/>
    <w:unhideWhenUsed/>
    <w:rsid w:val="0041156E"/>
    <w:pPr>
      <w:tabs>
        <w:tab w:val="center" w:pos="4513"/>
        <w:tab w:val="right" w:pos="9026"/>
      </w:tabs>
      <w:spacing w:after="0" w:line="240" w:lineRule="auto"/>
    </w:pPr>
  </w:style>
  <w:style w:type="character" w:customStyle="1" w:styleId="ZhlavChar">
    <w:name w:val="Záhlaví Char"/>
    <w:basedOn w:val="DefaultParagraphFont"/>
    <w:link w:val="Header"/>
    <w:uiPriority w:val="99"/>
    <w:rsid w:val="0041156E"/>
  </w:style>
  <w:style w:type="paragraph" w:styleId="Footer">
    <w:name w:val="footer"/>
    <w:link w:val="ZpatChar"/>
    <w:uiPriority w:val="99"/>
    <w:unhideWhenUsed/>
    <w:rsid w:val="0041156E"/>
    <w:pPr>
      <w:tabs>
        <w:tab w:val="center" w:pos="4513"/>
        <w:tab w:val="right" w:pos="9026"/>
      </w:tabs>
      <w:spacing w:after="0" w:line="240" w:lineRule="auto"/>
    </w:pPr>
  </w:style>
  <w:style w:type="character" w:customStyle="1" w:styleId="ZpatChar">
    <w:name w:val="Zápatí Char"/>
    <w:basedOn w:val="DefaultParagraphFont"/>
    <w:link w:val="Footer"/>
    <w:uiPriority w:val="99"/>
    <w:rsid w:val="0041156E"/>
  </w:style>
  <w:style w:type="paragraph" w:styleId="TOCHeading">
    <w:name w:val="TOC Heading"/>
    <w:uiPriority w:val="39"/>
    <w:unhideWhenUsed/>
    <w:qFormat/>
    <w:rsid w:val="007E6B5F"/>
    <w:pPr>
      <w:spacing w:before="240" w:after="0"/>
    </w:pPr>
    <w:rPr>
      <w:sz w:val="32"/>
      <w:szCs w:val="32"/>
    </w:rPr>
  </w:style>
  <w:style w:type="paragraph" w:styleId="TOC1">
    <w:name w:val="toc 1"/>
    <w:autoRedefine/>
    <w:uiPriority w:val="39"/>
    <w:unhideWhenUsed/>
    <w:rsid w:val="005733B5"/>
    <w:pPr>
      <w:tabs>
        <w:tab w:val="left" w:pos="426"/>
        <w:tab w:val="right" w:leader="dot" w:pos="9016"/>
      </w:tabs>
      <w:spacing w:after="100"/>
    </w:pPr>
  </w:style>
  <w:style w:type="character" w:styleId="Hyperlink">
    <w:name w:val="Hyperlink"/>
    <w:uiPriority w:val="99"/>
    <w:unhideWhenUsed/>
    <w:rsid w:val="025137AC"/>
    <w:rPr>
      <w:color w:val="467886"/>
      <w:u w:val="single"/>
    </w:rPr>
  </w:style>
  <w:style w:type="paragraph" w:styleId="TOC2">
    <w:name w:val="toc 2"/>
    <w:autoRedefine/>
    <w:uiPriority w:val="39"/>
    <w:unhideWhenUsed/>
    <w:rsid w:val="00322BB1"/>
    <w:pPr>
      <w:tabs>
        <w:tab w:val="left" w:pos="709"/>
        <w:tab w:val="right" w:leader="dot" w:pos="9016"/>
      </w:tabs>
      <w:spacing w:after="100"/>
      <w:ind w:left="220"/>
    </w:pPr>
  </w:style>
  <w:style w:type="paragraph" w:styleId="TOC3">
    <w:name w:val="toc 3"/>
    <w:autoRedefine/>
    <w:uiPriority w:val="39"/>
    <w:unhideWhenUsed/>
    <w:rsid w:val="00FE63B5"/>
    <w:pPr>
      <w:tabs>
        <w:tab w:val="right" w:leader="dot" w:pos="9016"/>
      </w:tabs>
      <w:spacing w:after="100"/>
      <w:ind w:left="993"/>
    </w:pPr>
  </w:style>
  <w:style w:type="character" w:customStyle="1" w:styleId="CommentReference2">
    <w:name w:val="Comment Reference2"/>
    <w:uiPriority w:val="99"/>
    <w:semiHidden/>
    <w:unhideWhenUsed/>
    <w:rsid w:val="00377475"/>
    <w:rPr>
      <w:sz w:val="16"/>
      <w:szCs w:val="16"/>
    </w:rPr>
  </w:style>
  <w:style w:type="paragraph" w:styleId="Revision">
    <w:name w:val="Revision"/>
    <w:hidden/>
    <w:uiPriority w:val="99"/>
    <w:semiHidden/>
    <w:rsid w:val="00647D46"/>
    <w:pPr>
      <w:spacing w:after="0" w:line="240" w:lineRule="auto"/>
    </w:pPr>
  </w:style>
  <w:style w:type="paragraph" w:styleId="Subtitle">
    <w:name w:val="Subtitle"/>
    <w:uiPriority w:val="11"/>
    <w:qFormat/>
    <w:rsid w:val="025137AC"/>
    <w:rPr>
      <w:color w:val="000000" w:themeColor="text1"/>
      <w:sz w:val="28"/>
      <w:szCs w:val="28"/>
    </w:rPr>
  </w:style>
  <w:style w:type="table" w:customStyle="1" w:styleId="a">
    <w:name w:val="a"/>
    <w:basedOn w:val="TableNormal0"/>
    <w:tblPr>
      <w:tblStyleRowBandSize w:val="1"/>
      <w:tblStyleColBandSize w:val="1"/>
    </w:tblPr>
  </w:style>
  <w:style w:type="paragraph" w:styleId="Caption">
    <w:name w:val="caption"/>
    <w:uiPriority w:val="35"/>
    <w:unhideWhenUsed/>
    <w:qFormat/>
    <w:rsid w:val="025137AC"/>
    <w:pPr>
      <w:spacing w:after="200" w:line="240" w:lineRule="auto"/>
    </w:pPr>
    <w:rPr>
      <w:i/>
      <w:iCs/>
      <w:color w:val="0E2841" w:themeColor="text2"/>
      <w:sz w:val="18"/>
      <w:szCs w:val="18"/>
    </w:rPr>
  </w:style>
  <w:style w:type="paragraph" w:styleId="ListBullet">
    <w:name w:val="List Bullet"/>
    <w:uiPriority w:val="99"/>
    <w:unhideWhenUsed/>
    <w:qFormat/>
    <w:rsid w:val="025137AC"/>
    <w:pPr>
      <w:numPr>
        <w:numId w:val="3"/>
      </w:numPr>
      <w:spacing w:after="80" w:line="240" w:lineRule="auto"/>
      <w:jc w:val="both"/>
    </w:pPr>
    <w:rPr>
      <w:rFonts w:asciiTheme="minorHAnsi" w:eastAsiaTheme="minorEastAsia" w:hAnsiTheme="minorHAnsi" w:cstheme="minorBidi"/>
      <w:sz w:val="21"/>
      <w:szCs w:val="21"/>
      <w:lang w:val="cs-CZ" w:eastAsia="en-US"/>
    </w:rPr>
  </w:style>
  <w:style w:type="table" w:styleId="GridTable2Accent3">
    <w:name w:val="Grid Table 2 Accent 3"/>
    <w:basedOn w:val="TableNormal"/>
    <w:uiPriority w:val="47"/>
    <w:rsid w:val="00B054D9"/>
    <w:pPr>
      <w:spacing w:after="0" w:line="240" w:lineRule="auto"/>
    </w:pPr>
    <w:rPr>
      <w:rFonts w:asciiTheme="minorHAnsi" w:eastAsiaTheme="minorHAnsi" w:hAnsiTheme="minorHAnsi" w:cstheme="minorBidi"/>
      <w:lang w:val="cs-CZ" w:eastAsia="en-US"/>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customStyle="1" w:styleId="pf0">
    <w:name w:val="pf0"/>
    <w:rsid w:val="025137AC"/>
    <w:pPr>
      <w:spacing w:beforeAutospacing="1" w:afterAutospacing="1" w:line="240" w:lineRule="auto"/>
      <w:ind w:left="300"/>
    </w:pPr>
    <w:rPr>
      <w:rFonts w:ascii="Times New Roman" w:eastAsia="Times New Roman" w:hAnsi="Times New Roman" w:cs="Times New Roman"/>
      <w:sz w:val="24"/>
      <w:szCs w:val="24"/>
      <w:lang w:val="cs-CZ" w:eastAsia="cs-CZ"/>
    </w:rPr>
  </w:style>
  <w:style w:type="character" w:customStyle="1" w:styleId="cf01">
    <w:name w:val="cf01"/>
    <w:rsid w:val="025137AC"/>
    <w:rPr>
      <w:rFonts w:ascii="Segoe UI" w:hAnsi="Segoe UI" w:cs="Segoe UI"/>
      <w:sz w:val="18"/>
      <w:szCs w:val="18"/>
    </w:rPr>
  </w:style>
  <w:style w:type="table" w:styleId="TableGrid">
    <w:name w:val="Table Grid"/>
    <w:basedOn w:val="TableNormal"/>
    <w:uiPriority w:val="39"/>
    <w:rsid w:val="00577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uiPriority w:val="99"/>
    <w:unhideWhenUsed/>
    <w:rsid w:val="025137AC"/>
    <w:rPr>
      <w:color w:val="2B579A"/>
    </w:rPr>
  </w:style>
  <w:style w:type="paragraph" w:customStyle="1" w:styleId="CommentText1">
    <w:name w:val="Comment Text1"/>
    <w:link w:val="CommentTextChar"/>
    <w:uiPriority w:val="99"/>
    <w:unhideWhenUsed/>
    <w:rsid w:val="00C35CD8"/>
    <w:pPr>
      <w:spacing w:line="240" w:lineRule="auto"/>
    </w:pPr>
    <w:rPr>
      <w:sz w:val="20"/>
      <w:szCs w:val="20"/>
    </w:rPr>
  </w:style>
  <w:style w:type="character" w:customStyle="1" w:styleId="CommentTextChar">
    <w:name w:val="Comment Text Char"/>
    <w:basedOn w:val="DefaultParagraphFont"/>
    <w:link w:val="CommentText1"/>
    <w:uiPriority w:val="99"/>
    <w:rsid w:val="00C35CD8"/>
    <w:rPr>
      <w:sz w:val="20"/>
      <w:szCs w:val="20"/>
    </w:rPr>
  </w:style>
  <w:style w:type="paragraph" w:customStyle="1" w:styleId="CommentSubject1">
    <w:name w:val="Comment Subject1"/>
    <w:basedOn w:val="CommentText1"/>
    <w:next w:val="CommentText1"/>
    <w:link w:val="CommentSubjectChar"/>
    <w:uiPriority w:val="99"/>
    <w:semiHidden/>
    <w:unhideWhenUsed/>
    <w:rsid w:val="00C35CD8"/>
    <w:rPr>
      <w:b/>
      <w:bCs/>
    </w:rPr>
  </w:style>
  <w:style w:type="character" w:customStyle="1" w:styleId="CommentSubjectChar">
    <w:name w:val="Comment Subject Char"/>
    <w:basedOn w:val="CommentTextChar"/>
    <w:link w:val="CommentSubject1"/>
    <w:uiPriority w:val="99"/>
    <w:semiHidden/>
    <w:rsid w:val="00C35CD8"/>
    <w:rPr>
      <w:b/>
      <w:bCs/>
      <w:sz w:val="20"/>
      <w:szCs w:val="20"/>
    </w:rPr>
  </w:style>
  <w:style w:type="character" w:customStyle="1" w:styleId="CommentReference1">
    <w:name w:val="Comment Reference1"/>
    <w:uiPriority w:val="99"/>
    <w:semiHidden/>
    <w:unhideWhenUsed/>
    <w:rsid w:val="025137AC"/>
    <w:rPr>
      <w:sz w:val="16"/>
      <w:szCs w:val="16"/>
    </w:rPr>
  </w:style>
  <w:style w:type="paragraph" w:styleId="FootnoteText">
    <w:name w:val="footnote text"/>
    <w:link w:val="TextpoznpodarouChar"/>
    <w:uiPriority w:val="99"/>
    <w:semiHidden/>
    <w:unhideWhenUsed/>
    <w:rsid w:val="00587985"/>
    <w:pPr>
      <w:spacing w:after="0" w:line="240" w:lineRule="auto"/>
    </w:pPr>
    <w:rPr>
      <w:sz w:val="20"/>
      <w:szCs w:val="20"/>
    </w:rPr>
  </w:style>
  <w:style w:type="character" w:customStyle="1" w:styleId="TextpoznpodarouChar">
    <w:name w:val="Text pozn. pod čarou Char"/>
    <w:basedOn w:val="DefaultParagraphFont"/>
    <w:link w:val="FootnoteText"/>
    <w:uiPriority w:val="99"/>
    <w:semiHidden/>
    <w:rsid w:val="00587985"/>
    <w:rPr>
      <w:sz w:val="20"/>
      <w:szCs w:val="20"/>
    </w:rPr>
  </w:style>
  <w:style w:type="character" w:styleId="FootnoteReference">
    <w:name w:val="footnote reference"/>
    <w:uiPriority w:val="99"/>
    <w:semiHidden/>
    <w:unhideWhenUsed/>
    <w:rsid w:val="00587985"/>
    <w:rPr>
      <w:vertAlign w:val="superscript"/>
    </w:rPr>
  </w:style>
  <w:style w:type="character" w:styleId="FollowedHyperlink">
    <w:name w:val="FollowedHyperlink"/>
    <w:basedOn w:val="DefaultParagraphFont"/>
    <w:uiPriority w:val="99"/>
    <w:semiHidden/>
    <w:unhideWhenUsed/>
    <w:rsid w:val="004A1912"/>
    <w:rPr>
      <w:color w:val="96607D" w:themeColor="followedHyperlink"/>
      <w:u w:val="single"/>
    </w:rPr>
  </w:style>
  <w:style w:type="character" w:customStyle="1" w:styleId="UnresolvedMention">
    <w:name w:val="Unresolved Mention"/>
    <w:basedOn w:val="DefaultParagraphFont"/>
    <w:uiPriority w:val="99"/>
    <w:semiHidden/>
    <w:unhideWhenUsed/>
    <w:rsid w:val="00DF517C"/>
    <w:rPr>
      <w:color w:val="605E5C"/>
      <w:shd w:val="clear" w:color="auto" w:fill="E1DFDD"/>
    </w:rPr>
  </w:style>
  <w:style w:type="table" w:styleId="PlainTable1">
    <w:name w:val="Plain Table 1"/>
    <w:basedOn w:val="TableNormal"/>
    <w:uiPriority w:val="41"/>
    <w:rsid w:val="00DF77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CE1FAD"/>
    <w:rPr>
      <w:i/>
      <w:iCs/>
    </w:rPr>
  </w:style>
  <w:style w:type="character" w:styleId="CommentReference">
    <w:name w:val="annotation reference"/>
    <w:basedOn w:val="DefaultParagraphFont"/>
    <w:uiPriority w:val="99"/>
    <w:semiHidden/>
    <w:unhideWhenUsed/>
    <w:rsid w:val="000A0181"/>
    <w:rPr>
      <w:sz w:val="16"/>
      <w:szCs w:val="16"/>
    </w:rPr>
  </w:style>
  <w:style w:type="paragraph" w:styleId="CommentText">
    <w:name w:val="annotation text"/>
    <w:basedOn w:val="Normal"/>
    <w:link w:val="TextkomenteChar"/>
    <w:uiPriority w:val="99"/>
    <w:unhideWhenUsed/>
    <w:rsid w:val="000A0181"/>
    <w:pPr>
      <w:spacing w:line="240" w:lineRule="auto"/>
    </w:pPr>
    <w:rPr>
      <w:sz w:val="20"/>
      <w:szCs w:val="20"/>
    </w:rPr>
  </w:style>
  <w:style w:type="character" w:customStyle="1" w:styleId="TextkomenteChar">
    <w:name w:val="Text komentáře Char"/>
    <w:basedOn w:val="DefaultParagraphFont"/>
    <w:link w:val="CommentText"/>
    <w:uiPriority w:val="99"/>
    <w:rsid w:val="000A0181"/>
    <w:rPr>
      <w:sz w:val="20"/>
      <w:szCs w:val="20"/>
    </w:rPr>
  </w:style>
  <w:style w:type="paragraph" w:styleId="CommentSubject">
    <w:name w:val="annotation subject"/>
    <w:basedOn w:val="CommentText"/>
    <w:next w:val="CommentText"/>
    <w:link w:val="PedmtkomenteChar"/>
    <w:uiPriority w:val="99"/>
    <w:semiHidden/>
    <w:unhideWhenUsed/>
    <w:rsid w:val="000A0181"/>
    <w:rPr>
      <w:b/>
      <w:bCs/>
    </w:rPr>
  </w:style>
  <w:style w:type="character" w:customStyle="1" w:styleId="PedmtkomenteChar">
    <w:name w:val="Předmět komentáře Char"/>
    <w:basedOn w:val="TextkomenteChar"/>
    <w:link w:val="CommentSubject"/>
    <w:uiPriority w:val="99"/>
    <w:semiHidden/>
    <w:rsid w:val="000A01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6.xml" /><Relationship Id="rId11" Type="http://schemas.openxmlformats.org/officeDocument/2006/relationships/image" Target="media/image1.png" /><Relationship Id="rId12" Type="http://schemas.openxmlformats.org/officeDocument/2006/relationships/image" Target="media/image2.svg" /><Relationship Id="rId13" Type="http://schemas.openxmlformats.org/officeDocument/2006/relationships/image" Target="media/image3.png" /><Relationship Id="rId14" Type="http://schemas.openxmlformats.org/officeDocument/2006/relationships/image" Target="media/image4.svg" /><Relationship Id="rId15" Type="http://schemas.openxmlformats.org/officeDocument/2006/relationships/image" Target="media/image5.png" /><Relationship Id="rId16" Type="http://schemas.openxmlformats.org/officeDocument/2006/relationships/image" Target="media/image6.svg" /><Relationship Id="rId17" Type="http://schemas.openxmlformats.org/officeDocument/2006/relationships/image" Target="media/image7.png" /><Relationship Id="rId18" Type="http://schemas.openxmlformats.org/officeDocument/2006/relationships/image" Target="media/image8.svg" /><Relationship Id="rId19" Type="http://schemas.openxmlformats.org/officeDocument/2006/relationships/image" Target="media/image9.png" /><Relationship Id="rId2" Type="http://schemas.openxmlformats.org/officeDocument/2006/relationships/settings" Target="settings.xml" /><Relationship Id="rId20" Type="http://schemas.openxmlformats.org/officeDocument/2006/relationships/image" Target="media/image10.svg" /><Relationship Id="rId21" Type="http://schemas.openxmlformats.org/officeDocument/2006/relationships/image" Target="media/image11.png" /><Relationship Id="rId22" Type="http://schemas.openxmlformats.org/officeDocument/2006/relationships/image" Target="media/image12.sv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hyperlink" Target="https://planobnovy.gov.cz/o-npo/faq/" TargetMode="External"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footer" Target="footer1.xml" /><Relationship Id="rId29" Type="http://schemas.openxmlformats.org/officeDocument/2006/relationships/header" Target="header1.xml" /><Relationship Id="rId3" Type="http://schemas.openxmlformats.org/officeDocument/2006/relationships/webSettings" Target="webSettings.xml" /><Relationship Id="rId30" Type="http://schemas.openxmlformats.org/officeDocument/2006/relationships/footer" Target="footer2.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footer2.xml.rels>&#65279;<?xml version="1.0" encoding="utf-8" standalone="yes"?><Relationships xmlns="http://schemas.openxmlformats.org/package/2006/relationships"><Relationship Id="rId1" Type="http://schemas.openxmlformats.org/officeDocument/2006/relationships/image" Target="media/image18.png" /><Relationship Id="rId2" Type="http://schemas.openxmlformats.org/officeDocument/2006/relationships/image" Target="media/image19.png" /></Relationships>
</file>

<file path=word/_rels/footnotes.xml.rels>&#65279;<?xml version="1.0" encoding="utf-8" standalone="yes"?><Relationships xmlns="http://schemas.openxmlformats.org/package/2006/relationships"><Relationship Id="rId1" Type="http://schemas.openxmlformats.org/officeDocument/2006/relationships/hyperlink" Target="https://timeline.worldbank.org/content/dam/sites/timeline/docs/migrated/12-112-ForwardLook-DC2017-0002-24March2017.pdf" TargetMode="External" /><Relationship Id="rId2" Type="http://schemas.openxmlformats.org/officeDocument/2006/relationships/hyperlink" Target="https://www.eca.europa.eu/ECAPublications/SR-2025-24/SR-2025-24_EN.pdf"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&#65279;<?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FbHLL4YtpsiijzdWZCbpVzpAzg==">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84bce1-3946-4d68-b90a-c37cc941a40f">
      <Terms xmlns="http://schemas.microsoft.com/office/infopath/2007/PartnerControls"/>
    </lcf76f155ced4ddcb4097134ff3c332f>
    <TaxCatchAll xmlns="3cd1fcfc-948d-4fe3-9a25-2a8aa5575ef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5CF20F86CD88834C9DF4BF53A12661AE" ma:contentTypeVersion="17" ma:contentTypeDescription="Vytvoří nový dokument" ma:contentTypeScope="" ma:versionID="e4f32dc32bcaad8c809fa07b17916497">
  <xsd:schema xmlns:xsd="http://www.w3.org/2001/XMLSchema" xmlns:xs="http://www.w3.org/2001/XMLSchema" xmlns:p="http://schemas.microsoft.com/office/2006/metadata/properties" xmlns:ns2="a584bce1-3946-4d68-b90a-c37cc941a40f" xmlns:ns3="3cd1fcfc-948d-4fe3-9a25-2a8aa5575ef3" targetNamespace="http://schemas.microsoft.com/office/2006/metadata/properties" ma:root="true" ma:fieldsID="1724389ef8ebb231f5c1283cf7d6bd17" ns2:_="" ns3:_="">
    <xsd:import namespace="a584bce1-3946-4d68-b90a-c37cc941a40f"/>
    <xsd:import namespace="3cd1fcfc-948d-4fe3-9a25-2a8aa5575e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4bce1-3946-4d68-b90a-c37cc941a4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d1fcfc-948d-4fe3-9a25-2a8aa5575ef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21" nillable="true" ma:displayName="Taxonomy Catch All Column" ma:hidden="true" ma:list="{d4e1f8e5-478c-4319-9fbc-1ca1f4672aa6}" ma:internalName="TaxCatchAll" ma:showField="CatchAllData" ma:web="3cd1fcfc-948d-4fe3-9a25-2a8aa5575e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36D6DA-B644-4BE8-B1A9-6E18B6CFE4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C8AD216-81D9-47A5-9AC8-8238911A58E6}">
  <ds:schemaRefs>
    <ds:schemaRef ds:uri="http://schemas.microsoft.com/sharepoint/v3/contenttype/forms"/>
  </ds:schemaRefs>
</ds:datastoreItem>
</file>

<file path=customXml/itemProps4.xml><?xml version="1.0" encoding="utf-8"?>
<ds:datastoreItem xmlns:ds="http://schemas.openxmlformats.org/officeDocument/2006/customXml" ds:itemID="{21B4FF5B-152A-4D25-959D-A00CCAE7DA1E}">
  <ds:schemaRefs>
    <ds:schemaRef ds:uri="http://schemas.microsoft.com/office/infopath/2007/PartnerControls"/>
    <ds:schemaRef ds:uri="3cd1fcfc-948d-4fe3-9a25-2a8aa5575ef3"/>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a584bce1-3946-4d68-b90a-c37cc941a40f"/>
    <ds:schemaRef ds:uri="http://schemas.microsoft.com/office/2006/metadata/properties"/>
  </ds:schemaRefs>
</ds:datastoreItem>
</file>

<file path=customXml/itemProps5.xml><?xml version="1.0" encoding="utf-8"?>
<ds:datastoreItem xmlns:ds="http://schemas.openxmlformats.org/officeDocument/2006/customXml" ds:itemID="{B4778963-892B-40D9-A407-73BC081B4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4bce1-3946-4d68-b90a-c37cc941a40f"/>
    <ds:schemaRef ds:uri="3cd1fcfc-948d-4fe3-9a25-2a8aa5575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1169DD0-0A14-4095-BAAA-73315A9214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13211</Words>
  <Characters>86535</Characters>
  <Application>Microsoft Office Word</Application>
  <DocSecurity>0</DocSecurity>
  <Lines>1531</Lines>
  <Paragraphs>518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Karásková Dana</dc:creator>
  <cp:lastModifiedBy>Dajbychová Kristýna</cp:lastModifiedBy>
  <cp:revision>6</cp:revision>
  <dcterms:created xsi:type="dcterms:W3CDTF">2026-05-06T14:08:00Z</dcterms:created>
  <dcterms:modified xsi:type="dcterms:W3CDTF">2026-05-13T10:31:00Z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elyZnak_PisemnostZnak">
    <vt:lpwstr>3.13.01</vt:lpwstr>
  </property>
  <property fmtid="{D5CDD505-2E9C-101B-9397-08002B2CF9AE}" pid="4" name="Cislo_PostaOdesPisemnostDokumentVerze_PostaOdesPisemnost">
    <vt:lpwstr>VÝTISK Č. ...</vt:lpwstr>
  </property>
  <property fmtid="{D5CDD505-2E9C-101B-9397-08002B2CF9AE}" pid="5" name="CJ">
    <vt:lpwstr>MMR-27411/2026-27</vt:lpwstr>
  </property>
  <property fmtid="{D5CDD505-2E9C-101B-9397-08002B2CF9AE}" pid="6" name="CJ_PostaDoruc_PisemnostOdpovedNa_Pisemnost">
    <vt:lpwstr>XXX-XXX-XXX</vt:lpwstr>
  </property>
  <property fmtid="{D5CDD505-2E9C-101B-9397-08002B2CF9AE}" pid="7" name="CJ_Spis_Pisemnost">
    <vt:lpwstr>MMR-27224/2026-27</vt:lpwstr>
  </property>
  <property fmtid="{D5CDD505-2E9C-101B-9397-08002B2CF9AE}" pid="8" name="Contact_PostaOdes">
    <vt:lpwstr>{NameAddress_Contact_PostaOdes}
{FullAddress_Contact_PostaOdes}</vt:lpwstr>
  </property>
  <property fmtid="{D5CDD505-2E9C-101B-9397-08002B2CF9AE}" pid="9" name="Contact_PostaOdes_All">
    <vt:lpwstr>ROZDĚLOVNÍK...</vt:lpwstr>
  </property>
  <property fmtid="{D5CDD505-2E9C-101B-9397-08002B2CF9AE}" pid="10" name="ContentTypeId">
    <vt:lpwstr>0x0101005CF20F86CD88834C9DF4BF53A12661AE</vt:lpwstr>
  </property>
  <property fmtid="{D5CDD505-2E9C-101B-9397-08002B2CF9AE}" pid="11" name="DatumNaroz">
    <vt:lpwstr/>
  </property>
  <property fmtid="{D5CDD505-2E9C-101B-9397-08002B2CF9AE}" pid="12" name="DatumPlatnosti_PisemnostTypZpristupneniInformaciZOSZ_Pisemnost">
    <vt:lpwstr>ZOSZ_DatumPlatnosti</vt:lpwstr>
  </property>
  <property fmtid="{D5CDD505-2E9C-101B-9397-08002B2CF9AE}" pid="13" name="DatumPoriz_Pisemnost">
    <vt:lpwstr>16.4.2026</vt:lpwstr>
  </property>
  <property fmtid="{D5CDD505-2E9C-101B-9397-08002B2CF9AE}" pid="14" name="DisplayName_CisloObalky_PostaOdes">
    <vt:lpwstr>ČÍSLO OBÁLKY</vt:lpwstr>
  </property>
  <property fmtid="{D5CDD505-2E9C-101B-9397-08002B2CF9AE}" pid="15" name="DisplayName_CJCol">
    <vt:lpwstr>&lt;TABLE&gt;&lt;TR&gt;&lt;TD&gt;Č.j.:&lt;/TD&gt;&lt;TD&gt;MMR-27411/2026-27&lt;/TD&gt;&lt;/TR&gt;&lt;TR&gt;&lt;TD&gt;&lt;/TD&gt;&lt;TD&gt;&lt;/TD&gt;&lt;/TR&gt;&lt;/TABLE&gt;</vt:lpwstr>
  </property>
  <property fmtid="{D5CDD505-2E9C-101B-9397-08002B2CF9AE}" pid="16" name="DisplayName_PoziceMa_Pisemnost">
    <vt:lpwstr>Ing. Kristýna Dajbychová</vt:lpwstr>
  </property>
  <property fmtid="{D5CDD505-2E9C-101B-9397-08002B2CF9AE}" pid="17" name="DisplayName_PoziceNadrizena_PoziceMa_Pisemnost">
    <vt:lpwstr>Sekretariát 2</vt:lpwstr>
  </property>
  <property fmtid="{D5CDD505-2E9C-101B-9397-08002B2CF9AE}" pid="18" name="DisplayName_SlozkaStupenUtajeniCollection_Slozka_Pisemnost">
    <vt:lpwstr/>
  </property>
  <property fmtid="{D5CDD505-2E9C-101B-9397-08002B2CF9AE}" pid="19" name="DisplayName_SpisovyUzel_PoziceZodpo_Pisemnost">
    <vt:lpwstr>Odbor řízení a koordinace fondů EU</vt:lpwstr>
  </property>
  <property fmtid="{D5CDD505-2E9C-101B-9397-08002B2CF9AE}" pid="20" name="DisplayName_Spis_Pisemnost">
    <vt:lpwstr>Materiál "Návrh legislativních a nelegislativních změn nezbytných pro implementaci finančních nástrojů v ČR v období 2028+"</vt:lpwstr>
  </property>
  <property fmtid="{D5CDD505-2E9C-101B-9397-08002B2CF9AE}" pid="21" name="DisplayName_UserPoriz_Pisemnost">
    <vt:lpwstr>Ing. Kristýna Dajbychová</vt:lpwstr>
  </property>
  <property fmtid="{D5CDD505-2E9C-101B-9397-08002B2CF9AE}" pid="22" name="DisplayName_User_PoziceNadrizena_PoziceMa_Pisemnost">
    <vt:lpwstr>Bc. Hana Zeinerová</vt:lpwstr>
  </property>
  <property fmtid="{D5CDD505-2E9C-101B-9397-08002B2CF9AE}" pid="23" name="docLang">
    <vt:lpwstr>cs</vt:lpwstr>
  </property>
  <property fmtid="{D5CDD505-2E9C-101B-9397-08002B2CF9AE}" pid="24" name="DuvodZmeny_SlozkaStupenUtajeniCollection_Slozka_Pisemnost">
    <vt:lpwstr/>
  </property>
  <property fmtid="{D5CDD505-2E9C-101B-9397-08002B2CF9AE}" pid="25" name="EC_Pisemnost">
    <vt:lpwstr>E28190/26/MMR</vt:lpwstr>
  </property>
  <property fmtid="{D5CDD505-2E9C-101B-9397-08002B2CF9AE}" pid="26" name="FunkcniMisto_PoziceMa_Pisemnost">
    <vt:lpwstr/>
  </property>
  <property fmtid="{D5CDD505-2E9C-101B-9397-08002B2CF9AE}" pid="27" name="FunkcniMisto_PoziceNadrizena_PoziceMa_Pisemnost">
    <vt:lpwstr/>
  </property>
  <property fmtid="{D5CDD505-2E9C-101B-9397-08002B2CF9AE}" pid="28" name="Key_BarCode_Pisemnost">
    <vt:lpwstr>*B003798187*</vt:lpwstr>
  </property>
  <property fmtid="{D5CDD505-2E9C-101B-9397-08002B2CF9AE}" pid="29" name="Key_BarCode_PostaOdes">
    <vt:lpwstr>11101001011</vt:lpwstr>
  </property>
  <property fmtid="{D5CDD505-2E9C-101B-9397-08002B2CF9AE}" pid="30" name="KRukam">
    <vt:lpwstr>{KRukam}</vt:lpwstr>
  </property>
  <property fmtid="{D5CDD505-2E9C-101B-9397-08002B2CF9AE}" pid="31" name="MediaServiceImageTags">
    <vt:lpwstr/>
  </property>
  <property fmtid="{D5CDD505-2E9C-101B-9397-08002B2CF9AE}" pid="32" name="MSIP_Label_9cdfe1c1-b1b6-43c7-bd25-dc909155e0b9_ActionId">
    <vt:lpwstr>baed9cbc-3bfb-465c-8744-a6404bd6e377</vt:lpwstr>
  </property>
  <property fmtid="{D5CDD505-2E9C-101B-9397-08002B2CF9AE}" pid="33" name="MSIP_Label_9cdfe1c1-b1b6-43c7-bd25-dc909155e0b9_ContentBits">
    <vt:lpwstr>0</vt:lpwstr>
  </property>
  <property fmtid="{D5CDD505-2E9C-101B-9397-08002B2CF9AE}" pid="34" name="MSIP_Label_9cdfe1c1-b1b6-43c7-bd25-dc909155e0b9_Enabled">
    <vt:lpwstr>true</vt:lpwstr>
  </property>
  <property fmtid="{D5CDD505-2E9C-101B-9397-08002B2CF9AE}" pid="35" name="MSIP_Label_9cdfe1c1-b1b6-43c7-bd25-dc909155e0b9_Method">
    <vt:lpwstr>Standard</vt:lpwstr>
  </property>
  <property fmtid="{D5CDD505-2E9C-101B-9397-08002B2CF9AE}" pid="36" name="MSIP_Label_9cdfe1c1-b1b6-43c7-bd25-dc909155e0b9_Name">
    <vt:lpwstr>Interní informace</vt:lpwstr>
  </property>
  <property fmtid="{D5CDD505-2E9C-101B-9397-08002B2CF9AE}" pid="37" name="MSIP_Label_9cdfe1c1-b1b6-43c7-bd25-dc909155e0b9_SetDate">
    <vt:lpwstr>2026-03-09T20:26:45Z</vt:lpwstr>
  </property>
  <property fmtid="{D5CDD505-2E9C-101B-9397-08002B2CF9AE}" pid="38" name="MSIP_Label_9cdfe1c1-b1b6-43c7-bd25-dc909155e0b9_SiteId">
    <vt:lpwstr>4d1a3907-6ad7-4739-80b5-b7ed4066a30b</vt:lpwstr>
  </property>
  <property fmtid="{D5CDD505-2E9C-101B-9397-08002B2CF9AE}" pid="39" name="MSIP_Label_9cdfe1c1-b1b6-43c7-bd25-dc909155e0b9_Tag">
    <vt:lpwstr>10, 3, 0, 1</vt:lpwstr>
  </property>
  <property fmtid="{D5CDD505-2E9C-101B-9397-08002B2CF9AE}" pid="40" name="NameAddress_Contact_SpisovyUzel_PoziceZodpo_Pisemnost">
    <vt:lpwstr>ADRESÁT SU...</vt:lpwstr>
  </property>
  <property fmtid="{D5CDD505-2E9C-101B-9397-08002B2CF9AE}" pid="41" name="NamePostalAddress_Contact_PostaOdes">
    <vt:lpwstr>{NameAddress_Contact_PostaOdes}
{PostalAddress_Contact_PostaOdes}</vt:lpwstr>
  </property>
  <property fmtid="{D5CDD505-2E9C-101B-9397-08002B2CF9AE}" pid="42" name="Odkaz">
    <vt:lpwstr>ODKAZ</vt:lpwstr>
  </property>
  <property fmtid="{D5CDD505-2E9C-101B-9397-08002B2CF9AE}" pid="43" name="Password_PisemnostTypZpristupneniInformaciZOSZ_Pisemnost">
    <vt:lpwstr>ZOSZ_Password</vt:lpwstr>
  </property>
  <property fmtid="{D5CDD505-2E9C-101B-9397-08002B2CF9AE}" pid="44" name="PocetListuDokumentu_Pisemnost">
    <vt:lpwstr>1</vt:lpwstr>
  </property>
  <property fmtid="{D5CDD505-2E9C-101B-9397-08002B2CF9AE}" pid="45" name="PocetListu_Pisemnost">
    <vt:lpwstr>1</vt:lpwstr>
  </property>
  <property fmtid="{D5CDD505-2E9C-101B-9397-08002B2CF9AE}" pid="46" name="PocetPriloh_Pisemnost">
    <vt:lpwstr>POČET PŘÍLOH</vt:lpwstr>
  </property>
  <property fmtid="{D5CDD505-2E9C-101B-9397-08002B2CF9AE}" pid="47" name="Podpis">
    <vt:lpwstr/>
  </property>
  <property fmtid="{D5CDD505-2E9C-101B-9397-08002B2CF9AE}" pid="48" name="PoleVlastnost">
    <vt:lpwstr/>
  </property>
  <property fmtid="{D5CDD505-2E9C-101B-9397-08002B2CF9AE}" pid="49" name="PostalAddress_Contact_SpisovyUzel_PoziceZodpo_Pisemnost">
    <vt:lpwstr>ADRESA SU...</vt:lpwstr>
  </property>
  <property fmtid="{D5CDD505-2E9C-101B-9397-08002B2CF9AE}" pid="50" name="QREC_Pisemnost">
    <vt:lpwstr>E28190/26/MMR</vt:lpwstr>
  </property>
  <property fmtid="{D5CDD505-2E9C-101B-9397-08002B2CF9AE}" pid="51" name="RC">
    <vt:lpwstr/>
  </property>
  <property fmtid="{D5CDD505-2E9C-101B-9397-08002B2CF9AE}" pid="52" name="SkartacniZnakLhuta_PisemnostZnak">
    <vt:lpwstr>S/5</vt:lpwstr>
  </property>
  <property fmtid="{D5CDD505-2E9C-101B-9397-08002B2CF9AE}" pid="53" name="SmlouvaCislo">
    <vt:lpwstr>ČÍSLO SMLOUVY</vt:lpwstr>
  </property>
  <property fmtid="{D5CDD505-2E9C-101B-9397-08002B2CF9AE}" pid="54" name="SZ_Spis_Pisemnost">
    <vt:lpwstr>SZ-3933/27/2026</vt:lpwstr>
  </property>
  <property fmtid="{D5CDD505-2E9C-101B-9397-08002B2CF9AE}" pid="55" name="TEST">
    <vt:lpwstr>testovací pole</vt:lpwstr>
  </property>
  <property fmtid="{D5CDD505-2E9C-101B-9397-08002B2CF9AE}" pid="56" name="TypPrilohy_Pisemnost">
    <vt:lpwstr>TYP PŘÍLOHY</vt:lpwstr>
  </property>
  <property fmtid="{D5CDD505-2E9C-101B-9397-08002B2CF9AE}" pid="57" name="UserName_PisemnostTypZpristupneniInformaciZOSZ_Pisemnost">
    <vt:lpwstr>ZOSZ_UserName</vt:lpwstr>
  </property>
  <property fmtid="{D5CDD505-2E9C-101B-9397-08002B2CF9AE}" pid="58" name="Vec_Pisemnost">
    <vt:lpwstr>MPŘ: „Návrh legislativních a nelegislativních změn nezbytných pro implementaci finančních nástrojů v ČR v období 2028+“ </vt:lpwstr>
  </property>
  <property fmtid="{D5CDD505-2E9C-101B-9397-08002B2CF9AE}" pid="59" name="Zkratka_SpisovyUzel_PoziceZodpo_Pisemnost">
    <vt:lpwstr>27</vt:lpwstr>
  </property>
</Properties>
</file>