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7EF3" w14:textId="2C56330F" w:rsidR="00EA0986" w:rsidRPr="00294E6C" w:rsidRDefault="00AB6E18">
      <w:pPr>
        <w:spacing w:after="120"/>
        <w:jc w:val="right"/>
        <w:rPr>
          <w:lang w:val="cs-CZ"/>
        </w:rPr>
      </w:pPr>
      <w:r w:rsidRPr="00693572">
        <w:rPr>
          <w:rFonts w:ascii="Times New Roman" w:eastAsia="Times New Roman" w:hAnsi="Times New Roman" w:cs="Times New Roman"/>
          <w:b/>
          <w:bCs/>
          <w:noProof/>
          <w:color w:val="000000"/>
          <w:sz w:val="24"/>
          <w:szCs w:val="24"/>
          <w:lang w:eastAsia="cs-CZ"/>
        </w:rPr>
        <w:drawing>
          <wp:anchor distT="0" distB="0" distL="114300" distR="114300" simplePos="0" relativeHeight="251659264" behindDoc="1" locked="0" layoutInCell="1" allowOverlap="1" wp14:anchorId="28F26C9A" wp14:editId="361EC4DA">
            <wp:simplePos x="0" y="0"/>
            <wp:positionH relativeFrom="margin">
              <wp:posOffset>30480</wp:posOffset>
            </wp:positionH>
            <wp:positionV relativeFrom="paragraph">
              <wp:posOffset>7620</wp:posOffset>
            </wp:positionV>
            <wp:extent cx="4529455" cy="1286510"/>
            <wp:effectExtent l="0" t="0" r="0" b="0"/>
            <wp:wrapThrough wrapText="bothSides">
              <wp:wrapPolygon edited="0">
                <wp:start x="2635" y="1279"/>
                <wp:lineTo x="636" y="15033"/>
                <wp:lineTo x="454" y="19191"/>
                <wp:lineTo x="727" y="19510"/>
                <wp:lineTo x="2271" y="20150"/>
                <wp:lineTo x="4179" y="20150"/>
                <wp:lineTo x="4906" y="19510"/>
                <wp:lineTo x="5178" y="18871"/>
                <wp:lineTo x="4996" y="17271"/>
                <wp:lineTo x="8994" y="17271"/>
                <wp:lineTo x="19078" y="13753"/>
                <wp:lineTo x="18987" y="12154"/>
                <wp:lineTo x="21076" y="9915"/>
                <wp:lineTo x="20804" y="7037"/>
                <wp:lineTo x="3906" y="7037"/>
                <wp:lineTo x="3089" y="1279"/>
                <wp:lineTo x="2635" y="1279"/>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P logo česky velke pruhledn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9455" cy="1286510"/>
                    </a:xfrm>
                    <a:prstGeom prst="rect">
                      <a:avLst/>
                    </a:prstGeom>
                  </pic:spPr>
                </pic:pic>
              </a:graphicData>
            </a:graphic>
          </wp:anchor>
        </w:drawing>
      </w:r>
      <w:r w:rsidR="00925D46" w:rsidRPr="00294E6C">
        <w:rPr>
          <w:b/>
          <w:bCs/>
          <w:sz w:val="22"/>
          <w:szCs w:val="22"/>
          <w:lang w:val="cs-CZ"/>
        </w:rPr>
        <w:t>IV.</w:t>
      </w:r>
    </w:p>
    <w:p w14:paraId="20CC0DF2" w14:textId="3A035164" w:rsidR="00AB6E18" w:rsidRDefault="00AB6E18">
      <w:pPr>
        <w:spacing w:after="80"/>
        <w:jc w:val="center"/>
        <w:rPr>
          <w:b/>
          <w:bCs/>
          <w:sz w:val="26"/>
          <w:szCs w:val="26"/>
          <w:lang w:val="cs-CZ"/>
        </w:rPr>
      </w:pPr>
    </w:p>
    <w:p w14:paraId="5DB72BF3" w14:textId="77777777" w:rsidR="00AB6E18" w:rsidRDefault="00AB6E18">
      <w:pPr>
        <w:spacing w:after="80"/>
        <w:jc w:val="center"/>
        <w:rPr>
          <w:b/>
          <w:bCs/>
          <w:sz w:val="26"/>
          <w:szCs w:val="26"/>
          <w:lang w:val="cs-CZ"/>
        </w:rPr>
      </w:pPr>
    </w:p>
    <w:p w14:paraId="33030C06" w14:textId="77777777" w:rsidR="00AB6E18" w:rsidRDefault="00AB6E18">
      <w:pPr>
        <w:spacing w:after="80"/>
        <w:jc w:val="center"/>
        <w:rPr>
          <w:b/>
          <w:bCs/>
          <w:sz w:val="26"/>
          <w:szCs w:val="26"/>
          <w:lang w:val="cs-CZ"/>
        </w:rPr>
      </w:pPr>
    </w:p>
    <w:p w14:paraId="3B6AD660" w14:textId="77777777" w:rsidR="00AB6E18" w:rsidRDefault="00AB6E18">
      <w:pPr>
        <w:spacing w:after="80"/>
        <w:jc w:val="center"/>
        <w:rPr>
          <w:b/>
          <w:bCs/>
          <w:sz w:val="26"/>
          <w:szCs w:val="26"/>
          <w:lang w:val="cs-CZ"/>
        </w:rPr>
      </w:pPr>
    </w:p>
    <w:p w14:paraId="304AEADA" w14:textId="77777777" w:rsidR="00AB6E18" w:rsidRDefault="00AB6E18">
      <w:pPr>
        <w:spacing w:after="80"/>
        <w:jc w:val="center"/>
        <w:rPr>
          <w:b/>
          <w:bCs/>
          <w:sz w:val="26"/>
          <w:szCs w:val="26"/>
          <w:lang w:val="cs-CZ"/>
        </w:rPr>
      </w:pPr>
    </w:p>
    <w:p w14:paraId="0984F17E" w14:textId="77777777" w:rsidR="00AB6E18" w:rsidRDefault="00AB6E18">
      <w:pPr>
        <w:spacing w:after="80"/>
        <w:jc w:val="center"/>
        <w:rPr>
          <w:b/>
          <w:bCs/>
          <w:sz w:val="26"/>
          <w:szCs w:val="26"/>
          <w:lang w:val="cs-CZ"/>
        </w:rPr>
      </w:pPr>
    </w:p>
    <w:tbl>
      <w:tblPr>
        <w:tblStyle w:val="Mkatabulky"/>
        <w:tblW w:w="9066" w:type="dxa"/>
        <w:tblInd w:w="3158" w:type="dxa"/>
        <w:tblLook w:val="04A0" w:firstRow="1" w:lastRow="0" w:firstColumn="1" w:lastColumn="0" w:noHBand="0" w:noVBand="1"/>
      </w:tblPr>
      <w:tblGrid>
        <w:gridCol w:w="2035"/>
        <w:gridCol w:w="7031"/>
      </w:tblGrid>
      <w:tr w:rsidR="00AB6E18" w:rsidRPr="00693572" w14:paraId="756E41EB" w14:textId="77777777" w:rsidTr="00AB6E18">
        <w:trPr>
          <w:trHeight w:val="1292"/>
        </w:trPr>
        <w:tc>
          <w:tcPr>
            <w:tcW w:w="2035" w:type="dxa"/>
            <w:vAlign w:val="center"/>
          </w:tcPr>
          <w:p w14:paraId="46F081CD" w14:textId="77777777" w:rsidR="00AB6E18" w:rsidRPr="00693572" w:rsidRDefault="00AB6E18" w:rsidP="00C74DCF">
            <w:pPr>
              <w:spacing w:line="360" w:lineRule="auto"/>
              <w:jc w:val="both"/>
              <w:rPr>
                <w:rFonts w:ascii="Times New Roman" w:hAnsi="Times New Roman"/>
                <w:b/>
                <w:sz w:val="24"/>
                <w:szCs w:val="24"/>
              </w:rPr>
            </w:pPr>
            <w:r w:rsidRPr="00693572">
              <w:rPr>
                <w:rFonts w:ascii="Times New Roman" w:hAnsi="Times New Roman"/>
                <w:b/>
                <w:sz w:val="24"/>
                <w:szCs w:val="24"/>
              </w:rPr>
              <w:t>Název materiálu:</w:t>
            </w:r>
          </w:p>
        </w:tc>
        <w:tc>
          <w:tcPr>
            <w:tcW w:w="7031" w:type="dxa"/>
            <w:vAlign w:val="center"/>
          </w:tcPr>
          <w:p w14:paraId="13B081BF" w14:textId="53EC3EBE" w:rsidR="00AB6E18" w:rsidRPr="00225454" w:rsidRDefault="00AB6E18" w:rsidP="00C74DCF">
            <w:pPr>
              <w:spacing w:line="360" w:lineRule="auto"/>
              <w:jc w:val="both"/>
              <w:rPr>
                <w:rFonts w:ascii="Times New Roman" w:hAnsi="Times New Roman"/>
                <w:b/>
                <w:bCs/>
                <w:sz w:val="24"/>
                <w:szCs w:val="24"/>
              </w:rPr>
            </w:pPr>
            <w:r>
              <w:rPr>
                <w:rFonts w:ascii="Times New Roman" w:hAnsi="Times New Roman"/>
                <w:b/>
                <w:bCs/>
                <w:sz w:val="24"/>
                <w:szCs w:val="24"/>
              </w:rPr>
              <w:t>„</w:t>
            </w:r>
            <w:r w:rsidRPr="00AB6E18">
              <w:rPr>
                <w:rFonts w:ascii="Times New Roman" w:hAnsi="Times New Roman"/>
                <w:b/>
                <w:bCs/>
                <w:sz w:val="24"/>
                <w:szCs w:val="24"/>
              </w:rPr>
              <w:t>Návrh legislativních a nelegislativních změn nezbytných pro implementaci finančních nástrojů v ČR v období 2028+“</w:t>
            </w:r>
          </w:p>
        </w:tc>
      </w:tr>
      <w:tr w:rsidR="00AB6E18" w:rsidRPr="00693572" w14:paraId="20BA33A8" w14:textId="77777777" w:rsidTr="00AB6E18">
        <w:trPr>
          <w:trHeight w:val="867"/>
        </w:trPr>
        <w:tc>
          <w:tcPr>
            <w:tcW w:w="2035" w:type="dxa"/>
            <w:vAlign w:val="center"/>
          </w:tcPr>
          <w:p w14:paraId="21E3C3CB" w14:textId="77777777" w:rsidR="00AB6E18" w:rsidRPr="00693572" w:rsidRDefault="00AB6E18" w:rsidP="00C74DCF">
            <w:pPr>
              <w:spacing w:line="360" w:lineRule="auto"/>
              <w:jc w:val="both"/>
              <w:rPr>
                <w:rFonts w:ascii="Times New Roman" w:hAnsi="Times New Roman"/>
                <w:b/>
                <w:sz w:val="24"/>
                <w:szCs w:val="24"/>
              </w:rPr>
            </w:pPr>
            <w:r w:rsidRPr="00693572">
              <w:rPr>
                <w:rFonts w:ascii="Times New Roman" w:hAnsi="Times New Roman"/>
                <w:b/>
                <w:sz w:val="24"/>
                <w:szCs w:val="24"/>
              </w:rPr>
              <w:t>Připomínkové místo:</w:t>
            </w:r>
          </w:p>
        </w:tc>
        <w:tc>
          <w:tcPr>
            <w:tcW w:w="7031" w:type="dxa"/>
          </w:tcPr>
          <w:p w14:paraId="39DAFA1E" w14:textId="77777777" w:rsidR="00AB6E18" w:rsidRPr="00693572" w:rsidRDefault="00AB6E18" w:rsidP="00C74DCF">
            <w:pPr>
              <w:spacing w:line="360" w:lineRule="auto"/>
              <w:jc w:val="both"/>
              <w:rPr>
                <w:rFonts w:ascii="Times New Roman" w:hAnsi="Times New Roman"/>
                <w:b/>
                <w:sz w:val="24"/>
                <w:szCs w:val="24"/>
              </w:rPr>
            </w:pPr>
            <w:r w:rsidRPr="00693572">
              <w:rPr>
                <w:rFonts w:ascii="Times New Roman" w:hAnsi="Times New Roman"/>
                <w:b/>
                <w:sz w:val="24"/>
                <w:szCs w:val="24"/>
              </w:rPr>
              <w:t>Asociace malých a středních podniků a živnostníků ČR (AMSP</w:t>
            </w:r>
            <w:r>
              <w:rPr>
                <w:rFonts w:ascii="Times New Roman" w:hAnsi="Times New Roman"/>
                <w:b/>
                <w:sz w:val="24"/>
                <w:szCs w:val="24"/>
              </w:rPr>
              <w:t> </w:t>
            </w:r>
            <w:r w:rsidRPr="00693572">
              <w:rPr>
                <w:rFonts w:ascii="Times New Roman" w:hAnsi="Times New Roman"/>
                <w:b/>
                <w:sz w:val="24"/>
                <w:szCs w:val="24"/>
              </w:rPr>
              <w:t>ČR)</w:t>
            </w:r>
          </w:p>
        </w:tc>
      </w:tr>
      <w:tr w:rsidR="00AB6E18" w:rsidRPr="00693572" w14:paraId="0974016D" w14:textId="77777777" w:rsidTr="00AB6E18">
        <w:trPr>
          <w:trHeight w:val="441"/>
        </w:trPr>
        <w:tc>
          <w:tcPr>
            <w:tcW w:w="2035" w:type="dxa"/>
            <w:vAlign w:val="center"/>
          </w:tcPr>
          <w:p w14:paraId="225C76F2" w14:textId="77777777" w:rsidR="00AB6E18" w:rsidRPr="00693572" w:rsidRDefault="00AB6E18" w:rsidP="00C74DCF">
            <w:pPr>
              <w:spacing w:line="360" w:lineRule="auto"/>
              <w:jc w:val="both"/>
              <w:rPr>
                <w:rFonts w:ascii="Times New Roman" w:hAnsi="Times New Roman"/>
                <w:b/>
                <w:sz w:val="24"/>
                <w:szCs w:val="24"/>
              </w:rPr>
            </w:pPr>
            <w:r w:rsidRPr="00693572">
              <w:rPr>
                <w:rFonts w:ascii="Times New Roman" w:hAnsi="Times New Roman"/>
                <w:b/>
                <w:sz w:val="24"/>
                <w:szCs w:val="24"/>
              </w:rPr>
              <w:t>Telefon:</w:t>
            </w:r>
            <w:r w:rsidRPr="00693572">
              <w:rPr>
                <w:rFonts w:ascii="Times New Roman" w:hAnsi="Times New Roman"/>
                <w:b/>
                <w:sz w:val="24"/>
                <w:szCs w:val="24"/>
              </w:rPr>
              <w:tab/>
            </w:r>
          </w:p>
        </w:tc>
        <w:tc>
          <w:tcPr>
            <w:tcW w:w="7031" w:type="dxa"/>
          </w:tcPr>
          <w:p w14:paraId="504BDD42" w14:textId="77777777" w:rsidR="00AB6E18" w:rsidRPr="00693572" w:rsidRDefault="00AB6E18" w:rsidP="00C74DCF">
            <w:pPr>
              <w:spacing w:line="360" w:lineRule="auto"/>
              <w:jc w:val="both"/>
              <w:rPr>
                <w:rFonts w:ascii="Times New Roman" w:hAnsi="Times New Roman"/>
                <w:b/>
                <w:sz w:val="24"/>
                <w:szCs w:val="24"/>
              </w:rPr>
            </w:pPr>
            <w:r w:rsidRPr="00693572">
              <w:rPr>
                <w:rFonts w:ascii="Times New Roman" w:hAnsi="Times New Roman"/>
                <w:b/>
                <w:sz w:val="24"/>
                <w:szCs w:val="24"/>
              </w:rPr>
              <w:t xml:space="preserve">+420 </w:t>
            </w:r>
            <w:r w:rsidRPr="000D6728">
              <w:rPr>
                <w:rFonts w:ascii="Times New Roman" w:hAnsi="Times New Roman"/>
                <w:b/>
                <w:sz w:val="24"/>
                <w:szCs w:val="24"/>
              </w:rPr>
              <w:t>737 518 056</w:t>
            </w:r>
          </w:p>
        </w:tc>
      </w:tr>
      <w:tr w:rsidR="00AB6E18" w:rsidRPr="00693572" w14:paraId="27911716" w14:textId="77777777" w:rsidTr="00AB6E18">
        <w:trPr>
          <w:trHeight w:val="425"/>
        </w:trPr>
        <w:tc>
          <w:tcPr>
            <w:tcW w:w="2035" w:type="dxa"/>
            <w:vAlign w:val="center"/>
          </w:tcPr>
          <w:p w14:paraId="42675AE9" w14:textId="77777777" w:rsidR="00AB6E18" w:rsidRPr="006468AF" w:rsidRDefault="00AB6E18" w:rsidP="00C74DCF">
            <w:pPr>
              <w:spacing w:line="360" w:lineRule="auto"/>
              <w:jc w:val="both"/>
              <w:rPr>
                <w:rFonts w:ascii="Times New Roman" w:hAnsi="Times New Roman"/>
                <w:b/>
                <w:sz w:val="24"/>
                <w:szCs w:val="24"/>
              </w:rPr>
            </w:pPr>
            <w:r w:rsidRPr="006468AF">
              <w:rPr>
                <w:rFonts w:ascii="Times New Roman" w:hAnsi="Times New Roman"/>
                <w:b/>
                <w:sz w:val="24"/>
                <w:szCs w:val="24"/>
              </w:rPr>
              <w:t>e-mail:</w:t>
            </w:r>
          </w:p>
        </w:tc>
        <w:tc>
          <w:tcPr>
            <w:tcW w:w="7031" w:type="dxa"/>
          </w:tcPr>
          <w:p w14:paraId="12176BD9" w14:textId="77777777" w:rsidR="00AB6E18" w:rsidRPr="006468AF" w:rsidRDefault="00AB6E18" w:rsidP="00C74DCF">
            <w:pPr>
              <w:spacing w:line="360" w:lineRule="auto"/>
              <w:jc w:val="both"/>
              <w:rPr>
                <w:rFonts w:ascii="Times New Roman" w:hAnsi="Times New Roman"/>
                <w:sz w:val="24"/>
                <w:szCs w:val="24"/>
              </w:rPr>
            </w:pPr>
            <w:hyperlink r:id="rId7" w:history="1">
              <w:r w:rsidRPr="006468AF">
                <w:rPr>
                  <w:rStyle w:val="Hypertextovodkaz"/>
                  <w:rFonts w:ascii="Times New Roman" w:hAnsi="Times New Roman"/>
                  <w:sz w:val="24"/>
                  <w:szCs w:val="24"/>
                </w:rPr>
                <w:t>pravni@amsp.cz</w:t>
              </w:r>
            </w:hyperlink>
          </w:p>
        </w:tc>
      </w:tr>
      <w:tr w:rsidR="00AB6E18" w:rsidRPr="00693572" w14:paraId="56707789" w14:textId="77777777" w:rsidTr="00AB6E18">
        <w:trPr>
          <w:trHeight w:val="425"/>
        </w:trPr>
        <w:tc>
          <w:tcPr>
            <w:tcW w:w="2035" w:type="dxa"/>
            <w:vAlign w:val="center"/>
          </w:tcPr>
          <w:p w14:paraId="042F63C3" w14:textId="77777777" w:rsidR="00AB6E18" w:rsidRPr="006468AF" w:rsidRDefault="00AB6E18" w:rsidP="00C74DCF">
            <w:pPr>
              <w:spacing w:line="360" w:lineRule="auto"/>
              <w:jc w:val="both"/>
              <w:rPr>
                <w:rFonts w:ascii="Times New Roman" w:hAnsi="Times New Roman"/>
                <w:b/>
                <w:sz w:val="24"/>
                <w:szCs w:val="24"/>
              </w:rPr>
            </w:pPr>
            <w:r w:rsidRPr="006468AF">
              <w:rPr>
                <w:rFonts w:ascii="Times New Roman" w:hAnsi="Times New Roman"/>
                <w:b/>
                <w:sz w:val="24"/>
                <w:szCs w:val="24"/>
              </w:rPr>
              <w:t>Kontaktní osoba:</w:t>
            </w:r>
          </w:p>
        </w:tc>
        <w:tc>
          <w:tcPr>
            <w:tcW w:w="7031" w:type="dxa"/>
          </w:tcPr>
          <w:p w14:paraId="2912EF3B" w14:textId="77777777" w:rsidR="00AB6E18" w:rsidRPr="006468AF" w:rsidRDefault="00AB6E18" w:rsidP="00C74DCF">
            <w:pPr>
              <w:spacing w:line="360" w:lineRule="auto"/>
              <w:jc w:val="both"/>
              <w:rPr>
                <w:rFonts w:ascii="Times New Roman" w:hAnsi="Times New Roman"/>
                <w:sz w:val="24"/>
                <w:szCs w:val="24"/>
              </w:rPr>
            </w:pPr>
            <w:r w:rsidRPr="006468AF">
              <w:rPr>
                <w:rFonts w:ascii="Times New Roman" w:hAnsi="Times New Roman"/>
                <w:sz w:val="24"/>
                <w:szCs w:val="24"/>
              </w:rPr>
              <w:t xml:space="preserve">Mgr. </w:t>
            </w:r>
            <w:r>
              <w:rPr>
                <w:rFonts w:ascii="Times New Roman" w:hAnsi="Times New Roman"/>
                <w:sz w:val="24"/>
                <w:szCs w:val="24"/>
              </w:rPr>
              <w:t>Jana Bednářová</w:t>
            </w:r>
          </w:p>
        </w:tc>
      </w:tr>
    </w:tbl>
    <w:p w14:paraId="59BAD14B" w14:textId="77777777" w:rsidR="00AB6E18" w:rsidRDefault="00AB6E18">
      <w:pPr>
        <w:spacing w:after="80"/>
        <w:jc w:val="center"/>
        <w:rPr>
          <w:b/>
          <w:bCs/>
          <w:sz w:val="26"/>
          <w:szCs w:val="26"/>
          <w:lang w:val="cs-CZ"/>
        </w:rPr>
      </w:pPr>
    </w:p>
    <w:p w14:paraId="133B2B97" w14:textId="77777777" w:rsidR="00AB6E18" w:rsidRDefault="00AB6E18">
      <w:pPr>
        <w:spacing w:after="80"/>
        <w:jc w:val="center"/>
        <w:rPr>
          <w:b/>
          <w:bCs/>
          <w:sz w:val="26"/>
          <w:szCs w:val="26"/>
          <w:lang w:val="cs-CZ"/>
        </w:rPr>
      </w:pPr>
    </w:p>
    <w:p w14:paraId="6DFB34C0" w14:textId="4C311D3B" w:rsidR="00EA0986" w:rsidRPr="00294E6C" w:rsidRDefault="00925D46">
      <w:pPr>
        <w:spacing w:after="80"/>
        <w:jc w:val="center"/>
        <w:rPr>
          <w:lang w:val="cs-CZ"/>
        </w:rPr>
      </w:pPr>
      <w:r w:rsidRPr="00294E6C">
        <w:rPr>
          <w:b/>
          <w:bCs/>
          <w:sz w:val="26"/>
          <w:szCs w:val="26"/>
          <w:lang w:val="cs-CZ"/>
        </w:rPr>
        <w:t>VYHODNOCENÍ MEZIREZORTNÍHO PŘIPOMÍNKOVÉHO ŘÍZENÍ</w:t>
      </w:r>
    </w:p>
    <w:p w14:paraId="592388FC" w14:textId="77777777" w:rsidR="00EA0986" w:rsidRPr="00294E6C" w:rsidRDefault="00925D46">
      <w:pPr>
        <w:spacing w:after="120"/>
        <w:jc w:val="center"/>
        <w:rPr>
          <w:lang w:val="cs-CZ"/>
        </w:rPr>
      </w:pPr>
      <w:r w:rsidRPr="00294E6C">
        <w:rPr>
          <w:i/>
          <w:iCs/>
          <w:sz w:val="22"/>
          <w:szCs w:val="22"/>
          <w:lang w:val="cs-CZ"/>
        </w:rPr>
        <w:t>k materiálu „Návrh legislativních a nelegislativních změn nezbytných pro implementaci finančních nástrojů v ČR v období 2028+“</w:t>
      </w:r>
    </w:p>
    <w:p w14:paraId="434B004A" w14:textId="0B038404" w:rsidR="00EA0986" w:rsidRPr="00294E6C" w:rsidRDefault="00925D46">
      <w:pPr>
        <w:spacing w:after="240"/>
        <w:jc w:val="center"/>
        <w:rPr>
          <w:lang w:val="cs-CZ"/>
        </w:rPr>
      </w:pPr>
      <w:r w:rsidRPr="00294E6C">
        <w:rPr>
          <w:b/>
          <w:bCs/>
          <w:sz w:val="22"/>
          <w:szCs w:val="22"/>
          <w:lang w:val="cs-CZ"/>
        </w:rPr>
        <w:t xml:space="preserve">Připomínkové místo: </w:t>
      </w:r>
      <w:r w:rsidR="00AB6E18" w:rsidRPr="00AB6E18">
        <w:rPr>
          <w:b/>
          <w:bCs/>
          <w:sz w:val="22"/>
          <w:szCs w:val="22"/>
          <w:lang w:val="cs-CZ"/>
        </w:rPr>
        <w:t>Asociace malých a středních podniků a živnostníků ČR</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8"/>
        <w:gridCol w:w="1690"/>
        <w:gridCol w:w="1621"/>
        <w:gridCol w:w="2159"/>
        <w:gridCol w:w="7575"/>
        <w:gridCol w:w="1765"/>
      </w:tblGrid>
      <w:tr w:rsidR="00EA0986" w:rsidRPr="00294E6C" w14:paraId="105DA6A6" w14:textId="77777777" w:rsidTr="00294E6C">
        <w:trPr>
          <w:tblHeader/>
        </w:trPr>
        <w:tc>
          <w:tcPr>
            <w:tcW w:w="588"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2F57016F" w14:textId="77777777" w:rsidR="00EA0986" w:rsidRPr="00294E6C" w:rsidRDefault="00925D46">
            <w:pPr>
              <w:jc w:val="center"/>
              <w:rPr>
                <w:lang w:val="cs-CZ"/>
              </w:rPr>
            </w:pPr>
            <w:r w:rsidRPr="00294E6C">
              <w:rPr>
                <w:b/>
                <w:bCs/>
                <w:lang w:val="cs-CZ"/>
              </w:rPr>
              <w:t>Č.</w:t>
            </w:r>
          </w:p>
        </w:tc>
        <w:tc>
          <w:tcPr>
            <w:tcW w:w="1690"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37DEBE0A" w14:textId="77777777" w:rsidR="00EA0986" w:rsidRPr="00294E6C" w:rsidRDefault="00925D46">
            <w:pPr>
              <w:jc w:val="center"/>
              <w:rPr>
                <w:lang w:val="cs-CZ"/>
              </w:rPr>
            </w:pPr>
            <w:r w:rsidRPr="00294E6C">
              <w:rPr>
                <w:b/>
                <w:bCs/>
                <w:lang w:val="cs-CZ"/>
              </w:rPr>
              <w:t>Připomínkové místo</w:t>
            </w:r>
          </w:p>
        </w:tc>
        <w:tc>
          <w:tcPr>
            <w:tcW w:w="1621"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772D60BE" w14:textId="77777777" w:rsidR="00EA0986" w:rsidRPr="00294E6C" w:rsidRDefault="00925D46">
            <w:pPr>
              <w:jc w:val="center"/>
              <w:rPr>
                <w:lang w:val="cs-CZ"/>
              </w:rPr>
            </w:pPr>
            <w:r w:rsidRPr="00294E6C">
              <w:rPr>
                <w:b/>
                <w:bCs/>
                <w:lang w:val="cs-CZ"/>
              </w:rPr>
              <w:t>Typ připomínky</w:t>
            </w:r>
          </w:p>
        </w:tc>
        <w:tc>
          <w:tcPr>
            <w:tcW w:w="2159"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22E5546F" w14:textId="77777777" w:rsidR="00EA0986" w:rsidRPr="00294E6C" w:rsidRDefault="00925D46">
            <w:pPr>
              <w:jc w:val="center"/>
              <w:rPr>
                <w:lang w:val="cs-CZ"/>
              </w:rPr>
            </w:pPr>
            <w:r w:rsidRPr="00294E6C">
              <w:rPr>
                <w:b/>
                <w:bCs/>
                <w:lang w:val="cs-CZ"/>
              </w:rPr>
              <w:t>Dokument / kapitola</w:t>
            </w:r>
          </w:p>
        </w:tc>
        <w:tc>
          <w:tcPr>
            <w:tcW w:w="7575"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52E4E018" w14:textId="77777777" w:rsidR="00EA0986" w:rsidRPr="00294E6C" w:rsidRDefault="00925D46">
            <w:pPr>
              <w:jc w:val="center"/>
              <w:rPr>
                <w:lang w:val="cs-CZ"/>
              </w:rPr>
            </w:pPr>
            <w:r w:rsidRPr="00294E6C">
              <w:rPr>
                <w:b/>
                <w:bCs/>
                <w:lang w:val="cs-CZ"/>
              </w:rPr>
              <w:t>Připomínka</w:t>
            </w:r>
          </w:p>
        </w:tc>
        <w:tc>
          <w:tcPr>
            <w:tcW w:w="1765" w:type="dxa"/>
            <w:tcBorders>
              <w:top w:val="single" w:sz="4" w:space="0" w:color="808080"/>
              <w:left w:val="single" w:sz="4" w:space="0" w:color="808080"/>
              <w:bottom w:val="single" w:sz="4" w:space="0" w:color="808080"/>
              <w:right w:val="single" w:sz="4" w:space="0" w:color="808080"/>
            </w:tcBorders>
            <w:shd w:val="clear" w:color="auto" w:fill="D9E2F3"/>
            <w:tcMar>
              <w:top w:w="80" w:type="dxa"/>
              <w:left w:w="120" w:type="dxa"/>
              <w:bottom w:w="80" w:type="dxa"/>
              <w:right w:w="120" w:type="dxa"/>
            </w:tcMar>
          </w:tcPr>
          <w:p w14:paraId="3175D448" w14:textId="77777777" w:rsidR="00EA0986" w:rsidRPr="00294E6C" w:rsidRDefault="00925D46">
            <w:pPr>
              <w:jc w:val="center"/>
              <w:rPr>
                <w:lang w:val="cs-CZ"/>
              </w:rPr>
            </w:pPr>
            <w:r w:rsidRPr="00294E6C">
              <w:rPr>
                <w:b/>
                <w:bCs/>
                <w:lang w:val="cs-CZ"/>
              </w:rPr>
              <w:t>Vypořádání připomínky</w:t>
            </w:r>
          </w:p>
        </w:tc>
      </w:tr>
      <w:tr w:rsidR="00EA0986" w:rsidRPr="00294E6C" w14:paraId="6AF89F6F"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3CEF5A2" w14:textId="77777777" w:rsidR="00EA0986" w:rsidRPr="00294E6C" w:rsidRDefault="00925D46">
            <w:pPr>
              <w:jc w:val="center"/>
              <w:rPr>
                <w:lang w:val="cs-CZ"/>
              </w:rPr>
            </w:pPr>
            <w:r w:rsidRPr="00294E6C">
              <w:rPr>
                <w:b/>
                <w:bCs/>
                <w:sz w:val="18"/>
                <w:szCs w:val="18"/>
                <w:lang w:val="cs-CZ"/>
              </w:rPr>
              <w:t>1</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5B2450E" w14:textId="436F2FB6"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01803"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B75CA1D" w14:textId="77777777" w:rsidR="00EA0986" w:rsidRPr="00294E6C" w:rsidRDefault="00925D46">
            <w:pPr>
              <w:rPr>
                <w:lang w:val="cs-CZ"/>
              </w:rPr>
            </w:pPr>
            <w:r w:rsidRPr="00294E6C">
              <w:rPr>
                <w:sz w:val="18"/>
                <w:szCs w:val="18"/>
                <w:lang w:val="cs-CZ"/>
              </w:rPr>
              <w:t>Návrh usnesení vlády (část I.), ukládá – ministryni pro místní rozvoj, body 1 a 2</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0D775A9" w14:textId="77777777" w:rsidR="00EA0986" w:rsidRPr="00294E6C" w:rsidRDefault="00925D46">
            <w:pPr>
              <w:spacing w:after="60"/>
              <w:rPr>
                <w:lang w:val="cs-CZ"/>
              </w:rPr>
            </w:pPr>
            <w:r w:rsidRPr="00294E6C">
              <w:rPr>
                <w:sz w:val="18"/>
                <w:szCs w:val="18"/>
                <w:lang w:val="cs-CZ"/>
              </w:rPr>
              <w:t>Návrh usnesení ukládá ministryni pro místní rozvoj (a) předložit do 31. 12. 2026 návrh úpravy zákona č. 211/2000 Sb., o Státním fondu podpory investic, a (b) zajistit kontinuitu institucionálních kapacit a územní působnosti SFPI pro implementaci finančních nástrojů v rámci NRPP. Tyto úkoly nejsou v materiálu analyticky zdůvodněny.</w:t>
            </w:r>
          </w:p>
          <w:p w14:paraId="34C98493" w14:textId="77777777" w:rsidR="00EA0986" w:rsidRPr="00294E6C" w:rsidRDefault="00925D46">
            <w:pPr>
              <w:spacing w:after="60"/>
              <w:rPr>
                <w:lang w:val="cs-CZ"/>
              </w:rPr>
            </w:pPr>
            <w:r w:rsidRPr="00294E6C">
              <w:rPr>
                <w:sz w:val="18"/>
                <w:szCs w:val="18"/>
                <w:lang w:val="cs-CZ"/>
              </w:rPr>
              <w:lastRenderedPageBreak/>
              <w:t>Materiál sám v kap. 6.2 (zákon č. 211/2000 Sb.) ponechává oddíly „Doporučená řešení“ a „Přínosy legislativní úpravy“ prázdné. Vláda má tedy schválit závazek k legislativní úpravě, jejíž věcný obsah, rozsah ani přínosy nejsou v předloženém materiálu vůbec uvedeny.</w:t>
            </w:r>
          </w:p>
          <w:p w14:paraId="31EFCD60" w14:textId="77777777" w:rsidR="00EA0986" w:rsidRPr="00294E6C" w:rsidRDefault="00925D46">
            <w:pPr>
              <w:spacing w:after="60"/>
              <w:rPr>
                <w:lang w:val="cs-CZ"/>
              </w:rPr>
            </w:pPr>
            <w:r w:rsidRPr="00294E6C">
              <w:rPr>
                <w:sz w:val="18"/>
                <w:szCs w:val="18"/>
                <w:lang w:val="cs-CZ"/>
              </w:rPr>
              <w:t>Současně materiál v kap. V a v hodnocení SFPI (kap. 10, oblast Bydlení a sociální infrastruktura) explicitně konstatuje, že SFPI:</w:t>
            </w:r>
          </w:p>
          <w:p w14:paraId="57A6AAC6" w14:textId="77777777" w:rsidR="00EA0986" w:rsidRPr="00294E6C" w:rsidRDefault="00925D46">
            <w:pPr>
              <w:pStyle w:val="Odstavecseseznamem"/>
              <w:numPr>
                <w:ilvl w:val="0"/>
                <w:numId w:val="2"/>
              </w:numPr>
              <w:spacing w:after="40"/>
              <w:rPr>
                <w:lang w:val="cs-CZ"/>
              </w:rPr>
            </w:pPr>
            <w:r w:rsidRPr="00294E6C">
              <w:rPr>
                <w:sz w:val="18"/>
                <w:szCs w:val="18"/>
                <w:lang w:val="cs-CZ"/>
              </w:rPr>
              <w:t xml:space="preserve">nemá </w:t>
            </w:r>
            <w:proofErr w:type="spellStart"/>
            <w:r w:rsidRPr="00294E6C">
              <w:rPr>
                <w:sz w:val="18"/>
                <w:szCs w:val="18"/>
                <w:lang w:val="cs-CZ"/>
              </w:rPr>
              <w:t>pillar</w:t>
            </w:r>
            <w:proofErr w:type="spellEnd"/>
            <w:r w:rsidRPr="00294E6C">
              <w:rPr>
                <w:sz w:val="18"/>
                <w:szCs w:val="18"/>
                <w:lang w:val="cs-CZ"/>
              </w:rPr>
              <w:t xml:space="preserve"> </w:t>
            </w:r>
            <w:proofErr w:type="spellStart"/>
            <w:r w:rsidRPr="00294E6C">
              <w:rPr>
                <w:sz w:val="18"/>
                <w:szCs w:val="18"/>
                <w:lang w:val="cs-CZ"/>
              </w:rPr>
              <w:t>assessment</w:t>
            </w:r>
            <w:proofErr w:type="spellEnd"/>
            <w:r w:rsidRPr="00294E6C">
              <w:rPr>
                <w:sz w:val="18"/>
                <w:szCs w:val="18"/>
                <w:lang w:val="cs-CZ"/>
              </w:rPr>
              <w:t xml:space="preserve"> Evropské komise pro přímou správu prostředků fondů EU,</w:t>
            </w:r>
          </w:p>
          <w:p w14:paraId="2FF25209" w14:textId="77777777" w:rsidR="00EA0986" w:rsidRPr="00294E6C" w:rsidRDefault="00925D46">
            <w:pPr>
              <w:pStyle w:val="Odstavecseseznamem"/>
              <w:numPr>
                <w:ilvl w:val="0"/>
                <w:numId w:val="2"/>
              </w:numPr>
              <w:spacing w:after="40"/>
              <w:rPr>
                <w:lang w:val="cs-CZ"/>
              </w:rPr>
            </w:pPr>
            <w:r w:rsidRPr="00294E6C">
              <w:rPr>
                <w:sz w:val="18"/>
                <w:szCs w:val="18"/>
                <w:lang w:val="cs-CZ"/>
              </w:rPr>
              <w:t>nemá bankovní licenci ani standardní rámec řízení rizik dle zákona o bankách,</w:t>
            </w:r>
          </w:p>
          <w:p w14:paraId="7E41F084" w14:textId="77777777" w:rsidR="00EA0986" w:rsidRPr="00294E6C" w:rsidRDefault="00925D46">
            <w:pPr>
              <w:pStyle w:val="Odstavecseseznamem"/>
              <w:numPr>
                <w:ilvl w:val="0"/>
                <w:numId w:val="2"/>
              </w:numPr>
              <w:spacing w:after="40"/>
              <w:rPr>
                <w:lang w:val="cs-CZ"/>
              </w:rPr>
            </w:pPr>
            <w:r w:rsidRPr="00294E6C">
              <w:rPr>
                <w:sz w:val="18"/>
                <w:szCs w:val="18"/>
                <w:lang w:val="cs-CZ"/>
              </w:rPr>
              <w:t>neumí emitovat dluhopisy a zajištění externí likvidity ze zdrojů EIB/CEB/EBRD u SFPI navyšuje přímo státní dluh,</w:t>
            </w:r>
          </w:p>
          <w:p w14:paraId="42B50292" w14:textId="77777777" w:rsidR="00EA0986" w:rsidRPr="00294E6C" w:rsidRDefault="00925D46">
            <w:pPr>
              <w:pStyle w:val="Odstavecseseznamem"/>
              <w:numPr>
                <w:ilvl w:val="0"/>
                <w:numId w:val="2"/>
              </w:numPr>
              <w:spacing w:after="40"/>
              <w:rPr>
                <w:lang w:val="cs-CZ"/>
              </w:rPr>
            </w:pPr>
            <w:r w:rsidRPr="00294E6C">
              <w:rPr>
                <w:sz w:val="18"/>
                <w:szCs w:val="18"/>
                <w:lang w:val="cs-CZ"/>
              </w:rPr>
              <w:t>nemá zkušenosti s mobilizací soukromého kapitálu.</w:t>
            </w:r>
          </w:p>
          <w:p w14:paraId="35307661" w14:textId="77777777" w:rsidR="00EA0986" w:rsidRPr="00294E6C" w:rsidRDefault="00925D46">
            <w:pPr>
              <w:spacing w:after="60"/>
              <w:rPr>
                <w:lang w:val="cs-CZ"/>
              </w:rPr>
            </w:pPr>
            <w:r w:rsidRPr="00294E6C">
              <w:rPr>
                <w:sz w:val="18"/>
                <w:szCs w:val="18"/>
                <w:lang w:val="cs-CZ"/>
              </w:rPr>
              <w:t>U skupiny NRB jsou všechny tyto kapacity prokazatelně zajištěny (pilířové hodnocení EK z roku 2023, zákon č. 34/2025 Sb., integrace s ČEB od ledna 2026, vynětí z rámce CRD, Národní platforma pro finanční nástroje). Materiál tedy ukládá rozvíjet SFPI ve funkcích, které již plnohodnotně poskytuje NRB, a to v přímém rozporu s deklarovaným cílem omezení institucionální roztříštěnosti.</w:t>
            </w:r>
          </w:p>
          <w:p w14:paraId="1F3A2AD3" w14:textId="77777777" w:rsidR="00EA0986" w:rsidRPr="00294E6C" w:rsidRDefault="00925D46">
            <w:pPr>
              <w:spacing w:after="60"/>
              <w:rPr>
                <w:lang w:val="cs-CZ"/>
              </w:rPr>
            </w:pPr>
            <w:r w:rsidRPr="00294E6C">
              <w:rPr>
                <w:b/>
                <w:bCs/>
                <w:sz w:val="18"/>
                <w:szCs w:val="18"/>
                <w:lang w:val="cs-CZ"/>
              </w:rPr>
              <w:t>Požadujeme:</w:t>
            </w:r>
          </w:p>
          <w:p w14:paraId="1589B45A" w14:textId="77777777" w:rsidR="00EA0986" w:rsidRPr="00294E6C" w:rsidRDefault="00925D46">
            <w:pPr>
              <w:pStyle w:val="Odstavecseseznamem"/>
              <w:numPr>
                <w:ilvl w:val="0"/>
                <w:numId w:val="2"/>
              </w:numPr>
              <w:spacing w:after="40"/>
              <w:rPr>
                <w:lang w:val="cs-CZ"/>
              </w:rPr>
            </w:pPr>
            <w:r w:rsidRPr="00294E6C">
              <w:rPr>
                <w:sz w:val="18"/>
                <w:szCs w:val="18"/>
                <w:lang w:val="cs-CZ"/>
              </w:rPr>
              <w:t>vypustit úkol „zajistit kontinuitu institucionálních kapacit a územní působnosti Státního fondu podpory investic za účelem implementace finančních nástrojů v rámci Národního a regionálního partnerského plánu“ v plném rozsahu,</w:t>
            </w:r>
          </w:p>
          <w:p w14:paraId="5ED8900C" w14:textId="77777777" w:rsidR="00EA0986" w:rsidRPr="00294E6C" w:rsidRDefault="00925D46">
            <w:pPr>
              <w:pStyle w:val="Odstavecseseznamem"/>
              <w:numPr>
                <w:ilvl w:val="0"/>
                <w:numId w:val="2"/>
              </w:numPr>
              <w:spacing w:after="40"/>
              <w:rPr>
                <w:lang w:val="cs-CZ"/>
              </w:rPr>
            </w:pPr>
            <w:r w:rsidRPr="00294E6C">
              <w:rPr>
                <w:sz w:val="18"/>
                <w:szCs w:val="18"/>
                <w:lang w:val="cs-CZ"/>
              </w:rPr>
              <w:t>úkol k novelizaci zákona č. 211/2000 Sb. podmínit předchozím analytickým doložením, proč danou roli nemůže plnit skupina NRB; do té doby úkol přeformulovat na předložení analýzy role SFPI v implementační architektuře FN 2028+ s posouzením alternativy převedení finanční implementační funkce na skupinu NRB.</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51B14C5" w14:textId="77777777" w:rsidR="00EA0986" w:rsidRPr="00294E6C" w:rsidRDefault="00EA0986">
            <w:pPr>
              <w:rPr>
                <w:lang w:val="cs-CZ"/>
              </w:rPr>
            </w:pPr>
          </w:p>
        </w:tc>
      </w:tr>
      <w:tr w:rsidR="00EA0986" w:rsidRPr="00294E6C" w14:paraId="794E48D4"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F09454E" w14:textId="77777777" w:rsidR="00EA0986" w:rsidRPr="00294E6C" w:rsidRDefault="00925D46">
            <w:pPr>
              <w:jc w:val="center"/>
              <w:rPr>
                <w:lang w:val="cs-CZ"/>
              </w:rPr>
            </w:pPr>
            <w:r w:rsidRPr="00294E6C">
              <w:rPr>
                <w:b/>
                <w:bCs/>
                <w:sz w:val="18"/>
                <w:szCs w:val="18"/>
                <w:lang w:val="cs-CZ"/>
              </w:rPr>
              <w:t>2</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1B4B567" w14:textId="1B862240"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C9FF1C2"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F0A61F0" w14:textId="77777777" w:rsidR="00EA0986" w:rsidRPr="00294E6C" w:rsidRDefault="00925D46">
            <w:pPr>
              <w:rPr>
                <w:lang w:val="cs-CZ"/>
              </w:rPr>
            </w:pPr>
            <w:r w:rsidRPr="00294E6C">
              <w:rPr>
                <w:sz w:val="18"/>
                <w:szCs w:val="18"/>
                <w:lang w:val="cs-CZ"/>
              </w:rPr>
              <w:t>Návrh usnesení vlády (část I.), ukládá – místopředsedkyni vlády a ministryni financí, bod 1</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5C2970" w14:textId="77777777" w:rsidR="00EA0986" w:rsidRPr="00294E6C" w:rsidRDefault="00925D46">
            <w:pPr>
              <w:spacing w:after="60"/>
              <w:rPr>
                <w:lang w:val="cs-CZ"/>
              </w:rPr>
            </w:pPr>
            <w:r w:rsidRPr="00294E6C">
              <w:rPr>
                <w:sz w:val="18"/>
                <w:szCs w:val="18"/>
                <w:lang w:val="cs-CZ"/>
              </w:rPr>
              <w:t>Návrh usnesení ukládá ministryni financí pouze „předložit vládě do 31. 12. 2026 informaci k Národní rozvojové bance a její připravenosti pro realizaci finančních nástrojů z fondů EU v Národním a regionálním partnerském plánu“. Toto rozložení úkolů je věcně nevyvážené a v přímém rozporu s analytickou částí materiálu, která NRB identifikuje jako „primární centrum kompetence pro finanční nástroje“.</w:t>
            </w:r>
          </w:p>
          <w:p w14:paraId="76AEA8F1" w14:textId="77777777" w:rsidR="00EA0986" w:rsidRPr="00294E6C" w:rsidRDefault="00925D46">
            <w:pPr>
              <w:spacing w:after="60"/>
              <w:rPr>
                <w:lang w:val="cs-CZ"/>
              </w:rPr>
            </w:pPr>
            <w:r w:rsidRPr="00294E6C">
              <w:rPr>
                <w:sz w:val="18"/>
                <w:szCs w:val="18"/>
                <w:lang w:val="cs-CZ"/>
              </w:rPr>
              <w:t>Zatímco MMR má uloženy konkrétní legislativní a institucionální závazky ve vztahu k SFPI, MF má pouze pasivní informační povinnost ve vztahu k NRB, ačkoli skutečným nositelem implementační kapacity podle vlastních závěrů materiálu je právě NRB. Toto asymetrické nastavení úkolů konzervuje status quo a fakticky znemožňuje naplnění tezí materiálu o centralizaci.</w:t>
            </w:r>
          </w:p>
          <w:p w14:paraId="25941E1D" w14:textId="77777777" w:rsidR="00EA0986" w:rsidRPr="00294E6C" w:rsidRDefault="00925D46">
            <w:pPr>
              <w:spacing w:after="60"/>
              <w:rPr>
                <w:lang w:val="cs-CZ"/>
              </w:rPr>
            </w:pPr>
            <w:r w:rsidRPr="00294E6C">
              <w:rPr>
                <w:b/>
                <w:bCs/>
                <w:sz w:val="18"/>
                <w:szCs w:val="18"/>
                <w:lang w:val="cs-CZ"/>
              </w:rPr>
              <w:t>Požadujeme úkol pro MF přeformulovat takto:</w:t>
            </w:r>
          </w:p>
          <w:p w14:paraId="3E53FC0D" w14:textId="4CCBC0E6" w:rsidR="00EA0986" w:rsidRPr="00294E6C" w:rsidRDefault="00925D46">
            <w:pPr>
              <w:pStyle w:val="Odstavecseseznamem"/>
              <w:numPr>
                <w:ilvl w:val="0"/>
                <w:numId w:val="2"/>
              </w:numPr>
              <w:spacing w:after="40"/>
              <w:rPr>
                <w:lang w:val="cs-CZ"/>
              </w:rPr>
            </w:pPr>
            <w:r w:rsidRPr="00294E6C">
              <w:rPr>
                <w:sz w:val="18"/>
                <w:szCs w:val="18"/>
                <w:lang w:val="cs-CZ"/>
              </w:rPr>
              <w:t xml:space="preserve">předložit vládě do 31. 12. 2026 návrh zajištění </w:t>
            </w:r>
            <w:r w:rsidRPr="005E0170">
              <w:rPr>
                <w:sz w:val="18"/>
                <w:szCs w:val="18"/>
                <w:lang w:val="cs-CZ"/>
              </w:rPr>
              <w:t xml:space="preserve">alokace minimálně </w:t>
            </w:r>
            <w:r w:rsidR="00433FE3" w:rsidRPr="005E0170">
              <w:rPr>
                <w:sz w:val="18"/>
                <w:szCs w:val="18"/>
                <w:lang w:val="cs-CZ"/>
              </w:rPr>
              <w:t>7</w:t>
            </w:r>
            <w:r w:rsidR="003A5584" w:rsidRPr="005E0170">
              <w:rPr>
                <w:sz w:val="18"/>
                <w:szCs w:val="18"/>
                <w:lang w:val="cs-CZ"/>
              </w:rPr>
              <w:t>5</w:t>
            </w:r>
            <w:r w:rsidRPr="005E0170">
              <w:rPr>
                <w:sz w:val="18"/>
                <w:szCs w:val="18"/>
                <w:lang w:val="cs-CZ"/>
              </w:rPr>
              <w:t xml:space="preserve"> % prostředků</w:t>
            </w:r>
            <w:r w:rsidRPr="00294E6C">
              <w:rPr>
                <w:sz w:val="18"/>
                <w:szCs w:val="18"/>
                <w:lang w:val="cs-CZ"/>
              </w:rPr>
              <w:t xml:space="preserve"> NRPP do správy skupiny NRB včetně harmonogramu dořešení vícezdrojového financování NRB, dokončení transformačního programu FÉNIX a využití emisní kapacity NRB se státní zárukou dle § 8 zákona č. 34/2025 Sb.,</w:t>
            </w:r>
          </w:p>
          <w:p w14:paraId="36F95D6F" w14:textId="77777777" w:rsidR="00EA0986" w:rsidRPr="00294E6C" w:rsidRDefault="00925D46">
            <w:pPr>
              <w:pStyle w:val="Odstavecseseznamem"/>
              <w:numPr>
                <w:ilvl w:val="0"/>
                <w:numId w:val="2"/>
              </w:numPr>
              <w:spacing w:after="40"/>
              <w:rPr>
                <w:lang w:val="cs-CZ"/>
              </w:rPr>
            </w:pPr>
            <w:r w:rsidRPr="00294E6C">
              <w:rPr>
                <w:sz w:val="18"/>
                <w:szCs w:val="18"/>
                <w:lang w:val="cs-CZ"/>
              </w:rPr>
              <w:t>vyhodnotit fiskální dopady jednotlivých implementačních modelů (NRB mimo sektor S.13 vs. státní fondy uvnitř S.13) na vládní dluh dle metodiky ESA 2010 a předložit vládě do 30. 6. 2027 doporučení k preferovanému implementačnímu modelu.</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7823595" w14:textId="77777777" w:rsidR="00EA0986" w:rsidRPr="00294E6C" w:rsidRDefault="00EA0986">
            <w:pPr>
              <w:rPr>
                <w:lang w:val="cs-CZ"/>
              </w:rPr>
            </w:pPr>
          </w:p>
        </w:tc>
      </w:tr>
      <w:tr w:rsidR="00EA0986" w:rsidRPr="00294E6C" w14:paraId="258410F6"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4CD398" w14:textId="77777777" w:rsidR="00EA0986" w:rsidRPr="00294E6C" w:rsidRDefault="00925D46">
            <w:pPr>
              <w:jc w:val="center"/>
              <w:rPr>
                <w:lang w:val="cs-CZ"/>
              </w:rPr>
            </w:pPr>
            <w:r w:rsidRPr="00294E6C">
              <w:rPr>
                <w:b/>
                <w:bCs/>
                <w:sz w:val="18"/>
                <w:szCs w:val="18"/>
                <w:lang w:val="cs-CZ"/>
              </w:rPr>
              <w:lastRenderedPageBreak/>
              <w:t>3</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D5E3B52" w14:textId="3FB4227A"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68F1C"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37CE23E" w14:textId="77777777" w:rsidR="00EA0986" w:rsidRPr="00294E6C" w:rsidRDefault="00925D46">
            <w:pPr>
              <w:rPr>
                <w:lang w:val="cs-CZ"/>
              </w:rPr>
            </w:pPr>
            <w:r w:rsidRPr="00294E6C">
              <w:rPr>
                <w:sz w:val="18"/>
                <w:szCs w:val="18"/>
                <w:lang w:val="cs-CZ"/>
              </w:rPr>
              <w:t>Návrh usnesení vlády (část I.) – chybějící úkol</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900196D" w14:textId="77777777" w:rsidR="00EA0986" w:rsidRPr="00294E6C" w:rsidRDefault="00925D46">
            <w:pPr>
              <w:spacing w:after="60"/>
              <w:rPr>
                <w:lang w:val="cs-CZ"/>
              </w:rPr>
            </w:pPr>
            <w:r w:rsidRPr="00294E6C">
              <w:rPr>
                <w:sz w:val="18"/>
                <w:szCs w:val="18"/>
                <w:lang w:val="cs-CZ"/>
              </w:rPr>
              <w:t>V návrhu usnesení zcela chybí úkol směřující k odstranění duplicit mezi skupinou NRB, SFPI a SFŽP v oblasti dostupného bydlení, municipální infrastruktury a regionálních finančních nástrojů. Materiál sám tuto duplicitu v kap. 10 (oblast Bydlení a sociální infrastruktura) explicitně označuje za „nelogickou fragmentaci nástrojů k podpoře dostupného nájemního bydlení v programech NRB, NRI a SFPI“. Nevyřešení této duplicity v rámci usnesení znamená, že nejvážnější identifikovaný problém zůstane neřešen i ve fáz</w:t>
            </w:r>
            <w:r w:rsidRPr="00294E6C">
              <w:rPr>
                <w:sz w:val="18"/>
                <w:szCs w:val="18"/>
                <w:lang w:val="cs-CZ"/>
              </w:rPr>
              <w:t>i přípravy NRPP.</w:t>
            </w:r>
          </w:p>
          <w:p w14:paraId="53DC3E37" w14:textId="77777777" w:rsidR="00EA0986" w:rsidRPr="00294E6C" w:rsidRDefault="00925D46">
            <w:pPr>
              <w:spacing w:after="60"/>
              <w:rPr>
                <w:lang w:val="cs-CZ"/>
              </w:rPr>
            </w:pPr>
            <w:r w:rsidRPr="00294E6C">
              <w:rPr>
                <w:b/>
                <w:bCs/>
                <w:sz w:val="18"/>
                <w:szCs w:val="18"/>
                <w:lang w:val="cs-CZ"/>
              </w:rPr>
              <w:t>Požadujeme do návrhu usnesení doplnit úkol pro ministryni pro místní rozvoj ve spolupráci s ministryní financí:</w:t>
            </w:r>
          </w:p>
          <w:p w14:paraId="434BB918" w14:textId="77777777" w:rsidR="00EA0986" w:rsidRPr="00294E6C" w:rsidRDefault="00925D46">
            <w:pPr>
              <w:pStyle w:val="Odstavecseseznamem"/>
              <w:numPr>
                <w:ilvl w:val="0"/>
                <w:numId w:val="2"/>
              </w:numPr>
              <w:spacing w:after="40"/>
              <w:rPr>
                <w:lang w:val="cs-CZ"/>
              </w:rPr>
            </w:pPr>
            <w:r w:rsidRPr="00294E6C">
              <w:rPr>
                <w:sz w:val="18"/>
                <w:szCs w:val="18"/>
                <w:lang w:val="cs-CZ"/>
              </w:rPr>
              <w:t>předložit vládě do 30. 6. 2027 návrh kompetenčního vymezení skupiny NRB, NRI, SFPI a SFŽP pro období NRPP 2028+, který explicitně zakáže paralelní existenci konkurenčních produktových řad u téže cílové skupiny a téhož tematického zaměření, a stanoví princip subsidiarity – tj. zapojení SFPI a dalších státních fondů pouze v rozsahu, v němž nemůže být daná funkce zajištěna skupinou NRB, a to v rolích věcné gesce, expertního poradenství a správy dotační složky.</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08A3E3" w14:textId="77777777" w:rsidR="00EA0986" w:rsidRPr="00294E6C" w:rsidRDefault="00EA0986">
            <w:pPr>
              <w:rPr>
                <w:lang w:val="cs-CZ"/>
              </w:rPr>
            </w:pPr>
          </w:p>
        </w:tc>
      </w:tr>
      <w:tr w:rsidR="00EA0986" w:rsidRPr="00294E6C" w14:paraId="24A28EA5"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68B6A82" w14:textId="77777777" w:rsidR="00EA0986" w:rsidRPr="00294E6C" w:rsidRDefault="00925D46">
            <w:pPr>
              <w:jc w:val="center"/>
              <w:rPr>
                <w:lang w:val="cs-CZ"/>
              </w:rPr>
            </w:pPr>
            <w:r w:rsidRPr="00294E6C">
              <w:rPr>
                <w:b/>
                <w:bCs/>
                <w:sz w:val="18"/>
                <w:szCs w:val="18"/>
                <w:lang w:val="cs-CZ"/>
              </w:rPr>
              <w:t>4</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D81DF75" w14:textId="7C9B83E0"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A666A5D"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60B49FB" w14:textId="77777777" w:rsidR="00EA0986" w:rsidRPr="00294E6C" w:rsidRDefault="00925D46">
            <w:pPr>
              <w:rPr>
                <w:lang w:val="cs-CZ"/>
              </w:rPr>
            </w:pPr>
            <w:r w:rsidRPr="00294E6C">
              <w:rPr>
                <w:sz w:val="18"/>
                <w:szCs w:val="18"/>
                <w:lang w:val="cs-CZ"/>
              </w:rPr>
              <w:t>Předkládací zpráva (část II.), odst. 5 – model spolupráce NRB a státních fondů vs. centralizovaný model</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A21CDA4" w14:textId="77777777" w:rsidR="00EA0986" w:rsidRPr="00294E6C" w:rsidRDefault="00925D46">
            <w:pPr>
              <w:spacing w:after="60"/>
              <w:rPr>
                <w:lang w:val="cs-CZ"/>
              </w:rPr>
            </w:pPr>
            <w:r w:rsidRPr="00294E6C">
              <w:rPr>
                <w:sz w:val="18"/>
                <w:szCs w:val="18"/>
                <w:lang w:val="cs-CZ"/>
              </w:rPr>
              <w:t xml:space="preserve">Předkládací zpráva uvádí dva implementační modely – „model založený na spolupráci NRB a státních fondů“ a „centralizovanější přístup pracující s implementací FN prostřednictvím NRB“ – jako rovnocenná „referenční východiska pro další odbornou diskusi“. Toto formální vyvážení je v přímém rozporu s analytickou částí materiálu, která konzistentně směřuje k centralizovanému modelu (kap. 3.2 klíčové poznatky 1 a 3, kap. 6.3 Fragmentace, </w:t>
            </w:r>
            <w:proofErr w:type="spellStart"/>
            <w:r w:rsidRPr="00294E6C">
              <w:rPr>
                <w:sz w:val="18"/>
                <w:szCs w:val="18"/>
                <w:lang w:val="cs-CZ"/>
              </w:rPr>
              <w:t>pillar</w:t>
            </w:r>
            <w:proofErr w:type="spellEnd"/>
            <w:r w:rsidRPr="00294E6C">
              <w:rPr>
                <w:sz w:val="18"/>
                <w:szCs w:val="18"/>
                <w:lang w:val="cs-CZ"/>
              </w:rPr>
              <w:t xml:space="preserve"> </w:t>
            </w:r>
            <w:proofErr w:type="spellStart"/>
            <w:r w:rsidRPr="00294E6C">
              <w:rPr>
                <w:sz w:val="18"/>
                <w:szCs w:val="18"/>
                <w:lang w:val="cs-CZ"/>
              </w:rPr>
              <w:t>assessment</w:t>
            </w:r>
            <w:proofErr w:type="spellEnd"/>
            <w:r w:rsidRPr="00294E6C">
              <w:rPr>
                <w:sz w:val="18"/>
                <w:szCs w:val="18"/>
                <w:lang w:val="cs-CZ"/>
              </w:rPr>
              <w:t xml:space="preserve"> EK pouze u NRB).</w:t>
            </w:r>
          </w:p>
          <w:p w14:paraId="7DDAF3E7" w14:textId="77777777" w:rsidR="00EA0986" w:rsidRPr="00294E6C" w:rsidRDefault="00925D46">
            <w:pPr>
              <w:spacing w:after="60"/>
              <w:rPr>
                <w:lang w:val="cs-CZ"/>
              </w:rPr>
            </w:pPr>
            <w:r w:rsidRPr="00294E6C">
              <w:rPr>
                <w:sz w:val="18"/>
                <w:szCs w:val="18"/>
                <w:lang w:val="cs-CZ"/>
              </w:rPr>
              <w:t>Předložení dvou alternativ bez rozhodnutí znamená, že usnesení vlády nemá srozumitelný věcný dopad a fakticky odkládá rozhodnutí, které mělo materiál připravit.</w:t>
            </w:r>
          </w:p>
          <w:p w14:paraId="53CBD157" w14:textId="77777777" w:rsidR="00EA0986" w:rsidRPr="00294E6C" w:rsidRDefault="00925D46">
            <w:pPr>
              <w:spacing w:after="60"/>
              <w:rPr>
                <w:lang w:val="cs-CZ"/>
              </w:rPr>
            </w:pPr>
            <w:r w:rsidRPr="00294E6C">
              <w:rPr>
                <w:b/>
                <w:bCs/>
                <w:sz w:val="18"/>
                <w:szCs w:val="18"/>
                <w:lang w:val="cs-CZ"/>
              </w:rPr>
              <w:t>Požadujeme předkládací zprávu přeformulovat tak, aby:</w:t>
            </w:r>
          </w:p>
          <w:p w14:paraId="4D2ACA26" w14:textId="77777777" w:rsidR="00EA0986" w:rsidRPr="00294E6C" w:rsidRDefault="00925D46">
            <w:pPr>
              <w:pStyle w:val="Odstavecseseznamem"/>
              <w:numPr>
                <w:ilvl w:val="0"/>
                <w:numId w:val="2"/>
              </w:numPr>
              <w:spacing w:after="40"/>
              <w:rPr>
                <w:lang w:val="cs-CZ"/>
              </w:rPr>
            </w:pPr>
            <w:r w:rsidRPr="00294E6C">
              <w:rPr>
                <w:sz w:val="18"/>
                <w:szCs w:val="18"/>
                <w:lang w:val="cs-CZ"/>
              </w:rPr>
              <w:t>byl uveden jeden preferovaný implementační model – centralizace finanční implementace u skupiny NRB při zachování věcné gesce a expertního zázemí státních fondů v jejich tematických oblastech,</w:t>
            </w:r>
          </w:p>
          <w:p w14:paraId="7D9A01F2" w14:textId="77777777" w:rsidR="00EA0986" w:rsidRPr="00294E6C" w:rsidRDefault="00925D46">
            <w:pPr>
              <w:pStyle w:val="Odstavecseseznamem"/>
              <w:numPr>
                <w:ilvl w:val="0"/>
                <w:numId w:val="2"/>
              </w:numPr>
              <w:spacing w:after="40"/>
              <w:rPr>
                <w:lang w:val="cs-CZ"/>
              </w:rPr>
            </w:pPr>
            <w:r w:rsidRPr="00294E6C">
              <w:rPr>
                <w:sz w:val="18"/>
                <w:szCs w:val="18"/>
                <w:lang w:val="cs-CZ"/>
              </w:rPr>
              <w:t xml:space="preserve">druhý model byl explicitně označen jako neperspektivní alternativa s uvedením důvodů (fragmentace, absence </w:t>
            </w:r>
            <w:proofErr w:type="spellStart"/>
            <w:r w:rsidRPr="00294E6C">
              <w:rPr>
                <w:sz w:val="18"/>
                <w:szCs w:val="18"/>
                <w:lang w:val="cs-CZ"/>
              </w:rPr>
              <w:t>pillar</w:t>
            </w:r>
            <w:proofErr w:type="spellEnd"/>
            <w:r w:rsidRPr="00294E6C">
              <w:rPr>
                <w:sz w:val="18"/>
                <w:szCs w:val="18"/>
                <w:lang w:val="cs-CZ"/>
              </w:rPr>
              <w:t xml:space="preserve"> </w:t>
            </w:r>
            <w:proofErr w:type="spellStart"/>
            <w:r w:rsidRPr="00294E6C">
              <w:rPr>
                <w:sz w:val="18"/>
                <w:szCs w:val="18"/>
                <w:lang w:val="cs-CZ"/>
              </w:rPr>
              <w:t>assessmentu</w:t>
            </w:r>
            <w:proofErr w:type="spellEnd"/>
            <w:r w:rsidRPr="00294E6C">
              <w:rPr>
                <w:sz w:val="18"/>
                <w:szCs w:val="18"/>
                <w:lang w:val="cs-CZ"/>
              </w:rPr>
              <w:t xml:space="preserve"> u dalších implementátorů, fiskální dopad mimo NRB),</w:t>
            </w:r>
          </w:p>
          <w:p w14:paraId="1849A192" w14:textId="77777777" w:rsidR="00EA0986" w:rsidRPr="00294E6C" w:rsidRDefault="00925D46">
            <w:pPr>
              <w:pStyle w:val="Odstavecseseznamem"/>
              <w:numPr>
                <w:ilvl w:val="0"/>
                <w:numId w:val="2"/>
              </w:numPr>
              <w:spacing w:after="40"/>
              <w:rPr>
                <w:lang w:val="cs-CZ"/>
              </w:rPr>
            </w:pPr>
            <w:r w:rsidRPr="00294E6C">
              <w:rPr>
                <w:sz w:val="18"/>
                <w:szCs w:val="18"/>
                <w:lang w:val="cs-CZ"/>
              </w:rPr>
              <w:t>v souladu s tím byl upraven i text materiálu (zejména kap. V a kap. 10).</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BC80CDE" w14:textId="77777777" w:rsidR="00EA0986" w:rsidRPr="00294E6C" w:rsidRDefault="00EA0986">
            <w:pPr>
              <w:rPr>
                <w:lang w:val="cs-CZ"/>
              </w:rPr>
            </w:pPr>
          </w:p>
        </w:tc>
      </w:tr>
      <w:tr w:rsidR="00EA0986" w:rsidRPr="00294E6C" w14:paraId="23B64F83"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B471C4C" w14:textId="77777777" w:rsidR="00EA0986" w:rsidRPr="00294E6C" w:rsidRDefault="00925D46">
            <w:pPr>
              <w:jc w:val="center"/>
              <w:rPr>
                <w:lang w:val="cs-CZ"/>
              </w:rPr>
            </w:pPr>
            <w:r w:rsidRPr="00294E6C">
              <w:rPr>
                <w:b/>
                <w:bCs/>
                <w:sz w:val="18"/>
                <w:szCs w:val="18"/>
                <w:lang w:val="cs-CZ"/>
              </w:rPr>
              <w:t>5</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215469B" w14:textId="0F49871C"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5428E96"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564E803" w14:textId="77777777" w:rsidR="00EA0986" w:rsidRPr="00294E6C" w:rsidRDefault="00925D46">
            <w:pPr>
              <w:rPr>
                <w:lang w:val="cs-CZ"/>
              </w:rPr>
            </w:pPr>
            <w:r w:rsidRPr="00294E6C">
              <w:rPr>
                <w:sz w:val="18"/>
                <w:szCs w:val="18"/>
                <w:lang w:val="cs-CZ"/>
              </w:rPr>
              <w:t>Materiál (část III.), kap. 6.2 – Zákon č. 211/2000 Sb., o Státním fondu podpory investic</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B257490" w14:textId="77777777" w:rsidR="00EA0986" w:rsidRPr="00294E6C" w:rsidRDefault="00925D46">
            <w:pPr>
              <w:spacing w:after="60"/>
              <w:rPr>
                <w:lang w:val="cs-CZ"/>
              </w:rPr>
            </w:pPr>
            <w:r w:rsidRPr="00294E6C">
              <w:rPr>
                <w:sz w:val="18"/>
                <w:szCs w:val="18"/>
                <w:lang w:val="cs-CZ"/>
              </w:rPr>
              <w:t>Oddíly „Doporučená řešení“ a „Přínosy legislativní úpravy“ jsou u zákona č. 211/2000 Sb. v předloženém znění materiálu prázdné. Materiál tak požaduje novelizaci zákona a v návrhu usnesení vlády ji ukládá MMR k předložení do 31. 12. 2026, aniž by bylo možné posoudit věcný obsah, rozsah a přínosy navrhované úpravy. Tento stav neumožňuje řádné mezirezortní připomínkové řízení k podstatné části materiálu.</w:t>
            </w:r>
          </w:p>
          <w:p w14:paraId="56F57800" w14:textId="77777777" w:rsidR="00EA0986" w:rsidRPr="00294E6C" w:rsidRDefault="00925D46">
            <w:pPr>
              <w:spacing w:after="60"/>
              <w:rPr>
                <w:lang w:val="cs-CZ"/>
              </w:rPr>
            </w:pPr>
            <w:r w:rsidRPr="00294E6C">
              <w:rPr>
                <w:sz w:val="18"/>
                <w:szCs w:val="18"/>
                <w:lang w:val="cs-CZ"/>
              </w:rPr>
              <w:t xml:space="preserve">Z jiných částí materiálu plyne, že navrhované rozšíření mandátu SFPI by mohlo směřovat k duplikaci kapacit již zajištěných skupinou NRB (úvěrové programy pro veřejnou infrastrukturu se splatností až 30 let, </w:t>
            </w:r>
            <w:proofErr w:type="spellStart"/>
            <w:r w:rsidRPr="00294E6C">
              <w:rPr>
                <w:sz w:val="18"/>
                <w:szCs w:val="18"/>
                <w:lang w:val="cs-CZ"/>
              </w:rPr>
              <w:t>blended</w:t>
            </w:r>
            <w:proofErr w:type="spellEnd"/>
            <w:r w:rsidRPr="00294E6C">
              <w:rPr>
                <w:sz w:val="18"/>
                <w:szCs w:val="18"/>
                <w:lang w:val="cs-CZ"/>
              </w:rPr>
              <w:t xml:space="preserve"> finance, on-</w:t>
            </w:r>
            <w:proofErr w:type="spellStart"/>
            <w:r w:rsidRPr="00294E6C">
              <w:rPr>
                <w:sz w:val="18"/>
                <w:szCs w:val="18"/>
                <w:lang w:val="cs-CZ"/>
              </w:rPr>
              <w:t>lending</w:t>
            </w:r>
            <w:proofErr w:type="spellEnd"/>
            <w:r w:rsidRPr="00294E6C">
              <w:rPr>
                <w:sz w:val="18"/>
                <w:szCs w:val="18"/>
                <w:lang w:val="cs-CZ"/>
              </w:rPr>
              <w:t>, kombinované finanční nástroje, příjem vkladů samospráv, emise projektových dluhopisů se státní zárukou).</w:t>
            </w:r>
          </w:p>
          <w:p w14:paraId="220980FA" w14:textId="77777777" w:rsidR="00EA0986" w:rsidRPr="00294E6C" w:rsidRDefault="00925D46">
            <w:pPr>
              <w:spacing w:after="60"/>
              <w:rPr>
                <w:lang w:val="cs-CZ"/>
              </w:rPr>
            </w:pPr>
            <w:r w:rsidRPr="00294E6C">
              <w:rPr>
                <w:b/>
                <w:bCs/>
                <w:sz w:val="18"/>
                <w:szCs w:val="18"/>
                <w:lang w:val="cs-CZ"/>
              </w:rPr>
              <w:lastRenderedPageBreak/>
              <w:t>Požadujeme oddíly „Doporučená řešení“ a „Přínosy legislativní úpravy“ doplnit a jednoznačně doložit:</w:t>
            </w:r>
          </w:p>
          <w:p w14:paraId="61A5BCA7" w14:textId="77777777" w:rsidR="00EA0986" w:rsidRPr="00294E6C" w:rsidRDefault="00925D46">
            <w:pPr>
              <w:pStyle w:val="Odstavecseseznamem"/>
              <w:numPr>
                <w:ilvl w:val="0"/>
                <w:numId w:val="2"/>
              </w:numPr>
              <w:spacing w:after="40"/>
              <w:rPr>
                <w:lang w:val="cs-CZ"/>
              </w:rPr>
            </w:pPr>
            <w:r w:rsidRPr="00294E6C">
              <w:rPr>
                <w:b/>
                <w:bCs/>
                <w:sz w:val="18"/>
                <w:szCs w:val="18"/>
                <w:lang w:val="cs-CZ"/>
              </w:rPr>
              <w:t xml:space="preserve">(i) </w:t>
            </w:r>
            <w:r w:rsidRPr="00294E6C">
              <w:rPr>
                <w:sz w:val="18"/>
                <w:szCs w:val="18"/>
                <w:lang w:val="cs-CZ"/>
              </w:rPr>
              <w:t>které z navrhovaných rozšíření mandátu SFPI nelze pokrýt stávajícím právním rámcem skupiny NRB (zákon č. 34/2025 Sb.) a NRI;</w:t>
            </w:r>
          </w:p>
          <w:p w14:paraId="2E433799" w14:textId="77777777" w:rsidR="00EA0986" w:rsidRPr="00294E6C" w:rsidRDefault="00925D46">
            <w:pPr>
              <w:pStyle w:val="Odstavecseseznamem"/>
              <w:numPr>
                <w:ilvl w:val="0"/>
                <w:numId w:val="2"/>
              </w:numPr>
              <w:spacing w:after="40"/>
              <w:rPr>
                <w:lang w:val="cs-CZ"/>
              </w:rPr>
            </w:pPr>
            <w:r w:rsidRPr="00294E6C">
              <w:rPr>
                <w:b/>
                <w:bCs/>
                <w:sz w:val="18"/>
                <w:szCs w:val="18"/>
                <w:lang w:val="cs-CZ"/>
              </w:rPr>
              <w:t>(</w:t>
            </w:r>
            <w:proofErr w:type="spellStart"/>
            <w:r w:rsidRPr="00294E6C">
              <w:rPr>
                <w:b/>
                <w:bCs/>
                <w:sz w:val="18"/>
                <w:szCs w:val="18"/>
                <w:lang w:val="cs-CZ"/>
              </w:rPr>
              <w:t>ii</w:t>
            </w:r>
            <w:proofErr w:type="spellEnd"/>
            <w:r w:rsidRPr="00294E6C">
              <w:rPr>
                <w:b/>
                <w:bCs/>
                <w:sz w:val="18"/>
                <w:szCs w:val="18"/>
                <w:lang w:val="cs-CZ"/>
              </w:rPr>
              <w:t xml:space="preserve">) </w:t>
            </w:r>
            <w:r w:rsidRPr="00294E6C">
              <w:rPr>
                <w:sz w:val="18"/>
                <w:szCs w:val="18"/>
                <w:lang w:val="cs-CZ"/>
              </w:rPr>
              <w:t>jak rozšíření mandátu SFPI neporušuje deklarovaný cíl omezení institucionální roztříštěnosti;</w:t>
            </w:r>
          </w:p>
          <w:p w14:paraId="63B8B5C2" w14:textId="77777777" w:rsidR="00EA0986" w:rsidRPr="00294E6C" w:rsidRDefault="00925D46">
            <w:pPr>
              <w:pStyle w:val="Odstavecseseznamem"/>
              <w:numPr>
                <w:ilvl w:val="0"/>
                <w:numId w:val="2"/>
              </w:numPr>
              <w:spacing w:after="40"/>
              <w:rPr>
                <w:lang w:val="cs-CZ"/>
              </w:rPr>
            </w:pPr>
            <w:r w:rsidRPr="00294E6C">
              <w:rPr>
                <w:b/>
                <w:bCs/>
                <w:sz w:val="18"/>
                <w:szCs w:val="18"/>
                <w:lang w:val="cs-CZ"/>
              </w:rPr>
              <w:t>(</w:t>
            </w:r>
            <w:proofErr w:type="spellStart"/>
            <w:r w:rsidRPr="00294E6C">
              <w:rPr>
                <w:b/>
                <w:bCs/>
                <w:sz w:val="18"/>
                <w:szCs w:val="18"/>
                <w:lang w:val="cs-CZ"/>
              </w:rPr>
              <w:t>iii</w:t>
            </w:r>
            <w:proofErr w:type="spellEnd"/>
            <w:r w:rsidRPr="00294E6C">
              <w:rPr>
                <w:b/>
                <w:bCs/>
                <w:sz w:val="18"/>
                <w:szCs w:val="18"/>
                <w:lang w:val="cs-CZ"/>
              </w:rPr>
              <w:t xml:space="preserve">) </w:t>
            </w:r>
            <w:r w:rsidRPr="00294E6C">
              <w:rPr>
                <w:sz w:val="18"/>
                <w:szCs w:val="18"/>
                <w:lang w:val="cs-CZ"/>
              </w:rPr>
              <w:t>fiskální dopad rozšíření mandátu SFPI, zejména s ohledem na konstatování v kap. 10, že externí likvidita ze zdrojů EIB/CEB/EBRD pro SFPI navyšuje státní dluh – na rozdíl od ekvivalentního financování přes NRB;</w:t>
            </w:r>
          </w:p>
          <w:p w14:paraId="4021B0C3" w14:textId="77777777" w:rsidR="00EA0986" w:rsidRPr="00294E6C" w:rsidRDefault="00925D46">
            <w:pPr>
              <w:pStyle w:val="Odstavecseseznamem"/>
              <w:numPr>
                <w:ilvl w:val="0"/>
                <w:numId w:val="2"/>
              </w:numPr>
              <w:spacing w:after="40"/>
              <w:rPr>
                <w:lang w:val="cs-CZ"/>
              </w:rPr>
            </w:pPr>
            <w:r w:rsidRPr="00294E6C">
              <w:rPr>
                <w:b/>
                <w:bCs/>
                <w:sz w:val="18"/>
                <w:szCs w:val="18"/>
                <w:lang w:val="cs-CZ"/>
              </w:rPr>
              <w:t>(</w:t>
            </w:r>
            <w:proofErr w:type="spellStart"/>
            <w:r w:rsidRPr="00294E6C">
              <w:rPr>
                <w:b/>
                <w:bCs/>
                <w:sz w:val="18"/>
                <w:szCs w:val="18"/>
                <w:lang w:val="cs-CZ"/>
              </w:rPr>
              <w:t>iv</w:t>
            </w:r>
            <w:proofErr w:type="spellEnd"/>
            <w:r w:rsidRPr="00294E6C">
              <w:rPr>
                <w:b/>
                <w:bCs/>
                <w:sz w:val="18"/>
                <w:szCs w:val="18"/>
                <w:lang w:val="cs-CZ"/>
              </w:rPr>
              <w:t xml:space="preserve">) </w:t>
            </w:r>
            <w:r w:rsidRPr="00294E6C">
              <w:rPr>
                <w:sz w:val="18"/>
                <w:szCs w:val="18"/>
                <w:lang w:val="cs-CZ"/>
              </w:rPr>
              <w:t xml:space="preserve">harmonogram získání </w:t>
            </w:r>
            <w:proofErr w:type="spellStart"/>
            <w:r w:rsidRPr="00294E6C">
              <w:rPr>
                <w:sz w:val="18"/>
                <w:szCs w:val="18"/>
                <w:lang w:val="cs-CZ"/>
              </w:rPr>
              <w:t>pillar</w:t>
            </w:r>
            <w:proofErr w:type="spellEnd"/>
            <w:r w:rsidRPr="00294E6C">
              <w:rPr>
                <w:sz w:val="18"/>
                <w:szCs w:val="18"/>
                <w:lang w:val="cs-CZ"/>
              </w:rPr>
              <w:t xml:space="preserve"> </w:t>
            </w:r>
            <w:proofErr w:type="spellStart"/>
            <w:r w:rsidRPr="00294E6C">
              <w:rPr>
                <w:sz w:val="18"/>
                <w:szCs w:val="18"/>
                <w:lang w:val="cs-CZ"/>
              </w:rPr>
              <w:t>assessmentu</w:t>
            </w:r>
            <w:proofErr w:type="spellEnd"/>
            <w:r w:rsidRPr="00294E6C">
              <w:rPr>
                <w:sz w:val="18"/>
                <w:szCs w:val="18"/>
                <w:lang w:val="cs-CZ"/>
              </w:rPr>
              <w:t xml:space="preserve"> EK pro SFPI v relevantním čase pro NRPP 2028+.</w:t>
            </w:r>
          </w:p>
          <w:p w14:paraId="67870826" w14:textId="77777777" w:rsidR="00EA0986" w:rsidRPr="00294E6C" w:rsidRDefault="00925D46">
            <w:pPr>
              <w:spacing w:after="60"/>
              <w:rPr>
                <w:lang w:val="cs-CZ"/>
              </w:rPr>
            </w:pPr>
            <w:r w:rsidRPr="00294E6C">
              <w:rPr>
                <w:sz w:val="18"/>
                <w:szCs w:val="18"/>
                <w:lang w:val="cs-CZ"/>
              </w:rPr>
              <w:t>Bez doplnění těchto informací požadujeme úkol týkající se novelizace zákona č. 211/2000 Sb. z návrhu usnesení vypustit.</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2507571" w14:textId="77777777" w:rsidR="00EA0986" w:rsidRPr="00294E6C" w:rsidRDefault="00EA0986">
            <w:pPr>
              <w:rPr>
                <w:lang w:val="cs-CZ"/>
              </w:rPr>
            </w:pPr>
          </w:p>
        </w:tc>
      </w:tr>
      <w:tr w:rsidR="00EA0986" w:rsidRPr="00294E6C" w14:paraId="5577C891"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1517CD" w14:textId="77777777" w:rsidR="00EA0986" w:rsidRPr="00294E6C" w:rsidRDefault="00925D46">
            <w:pPr>
              <w:jc w:val="center"/>
              <w:rPr>
                <w:lang w:val="cs-CZ"/>
              </w:rPr>
            </w:pPr>
            <w:r w:rsidRPr="00294E6C">
              <w:rPr>
                <w:b/>
                <w:bCs/>
                <w:sz w:val="18"/>
                <w:szCs w:val="18"/>
                <w:lang w:val="cs-CZ"/>
              </w:rPr>
              <w:t>6</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83EEAB0" w14:textId="12D0FB24"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BE4C44"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F807684" w14:textId="77777777" w:rsidR="00EA0986" w:rsidRPr="00294E6C" w:rsidRDefault="00925D46">
            <w:pPr>
              <w:rPr>
                <w:lang w:val="cs-CZ"/>
              </w:rPr>
            </w:pPr>
            <w:r w:rsidRPr="00294E6C">
              <w:rPr>
                <w:sz w:val="18"/>
                <w:szCs w:val="18"/>
                <w:lang w:val="cs-CZ"/>
              </w:rPr>
              <w:t>Materiál (část III.), kap. 10 – oblast Bydlení a sociální infrastruktura, písm. d) Institucionální uspořádání</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E4F6712" w14:textId="77777777" w:rsidR="00EA0986" w:rsidRPr="00294E6C" w:rsidRDefault="00925D46">
            <w:pPr>
              <w:spacing w:after="60"/>
              <w:rPr>
                <w:lang w:val="cs-CZ"/>
              </w:rPr>
            </w:pPr>
            <w:r w:rsidRPr="00294E6C">
              <w:rPr>
                <w:sz w:val="18"/>
                <w:szCs w:val="18"/>
                <w:lang w:val="cs-CZ"/>
              </w:rPr>
              <w:t>Materiál v písm. a) téže kapitoly výslovně konstatuje, že v České republice „existuje nelogická fragmentace nástrojů k podpoře dostupného nájemního bydlení v programech NRB, NRI a SFPI“. V písm. d) tuto fragmentaci nejen neřeší, ale konzervuje – všem třem subjektům přiřazuje paralelní role bez jednoznačné hierarchie.</w:t>
            </w:r>
          </w:p>
          <w:p w14:paraId="6731D698" w14:textId="77777777" w:rsidR="00EA0986" w:rsidRPr="00294E6C" w:rsidRDefault="00925D46">
            <w:pPr>
              <w:spacing w:after="60"/>
              <w:rPr>
                <w:lang w:val="cs-CZ"/>
              </w:rPr>
            </w:pPr>
            <w:r w:rsidRPr="00294E6C">
              <w:rPr>
                <w:sz w:val="18"/>
                <w:szCs w:val="18"/>
                <w:lang w:val="cs-CZ"/>
              </w:rPr>
              <w:t xml:space="preserve">Materiál sám doložil, že SFPI nemá zkušenosti s mobilizací soukromého kapitálu, neumí vydávat dluhopisy a externí likvidita ze zdrojů EIB/CEB/EBRD navyšuje státní dluh. NRB naproti tomu prokazatelně poskytuje zvýhodněné investiční úvěry pro samosprávy se splatností až 30 let (krytí 50–70 %), kombinované FN s dotační složkou, emise projektových dluhopisů se státní zárukou dle § 8 zák. č. 34/2025 Sb., příjem vkladů ÚSC, a model EPC s </w:t>
            </w:r>
            <w:proofErr w:type="spellStart"/>
            <w:r w:rsidRPr="00294E6C">
              <w:rPr>
                <w:sz w:val="18"/>
                <w:szCs w:val="18"/>
                <w:lang w:val="cs-CZ"/>
              </w:rPr>
              <w:t>blended</w:t>
            </w:r>
            <w:proofErr w:type="spellEnd"/>
            <w:r w:rsidRPr="00294E6C">
              <w:rPr>
                <w:sz w:val="18"/>
                <w:szCs w:val="18"/>
                <w:lang w:val="cs-CZ"/>
              </w:rPr>
              <w:t xml:space="preserve"> finance.</w:t>
            </w:r>
          </w:p>
          <w:p w14:paraId="7E027E7D" w14:textId="77777777" w:rsidR="00EA0986" w:rsidRPr="00294E6C" w:rsidRDefault="00925D46">
            <w:pPr>
              <w:spacing w:after="60"/>
              <w:rPr>
                <w:lang w:val="cs-CZ"/>
              </w:rPr>
            </w:pPr>
            <w:r w:rsidRPr="00294E6C">
              <w:rPr>
                <w:b/>
                <w:bCs/>
                <w:sz w:val="18"/>
                <w:szCs w:val="18"/>
                <w:lang w:val="cs-CZ"/>
              </w:rPr>
              <w:t>Požadujeme písm. d) přeformulovat takto:</w:t>
            </w:r>
          </w:p>
          <w:p w14:paraId="40BB6DE8" w14:textId="77777777" w:rsidR="00EA0986" w:rsidRPr="00294E6C" w:rsidRDefault="00925D46">
            <w:pPr>
              <w:pStyle w:val="Odstavecseseznamem"/>
              <w:numPr>
                <w:ilvl w:val="0"/>
                <w:numId w:val="2"/>
              </w:numPr>
              <w:spacing w:after="40"/>
              <w:rPr>
                <w:lang w:val="cs-CZ"/>
              </w:rPr>
            </w:pPr>
            <w:r w:rsidRPr="00294E6C">
              <w:rPr>
                <w:sz w:val="18"/>
                <w:szCs w:val="18"/>
                <w:lang w:val="cs-CZ"/>
              </w:rPr>
              <w:t xml:space="preserve">primárním implementátorem finančních nástrojů pro dostupné bydlení po roce 2028 je skupina NRB (úvěrové, záruční a </w:t>
            </w:r>
            <w:proofErr w:type="spellStart"/>
            <w:r w:rsidRPr="00294E6C">
              <w:rPr>
                <w:sz w:val="18"/>
                <w:szCs w:val="18"/>
                <w:lang w:val="cs-CZ"/>
              </w:rPr>
              <w:t>blended</w:t>
            </w:r>
            <w:proofErr w:type="spellEnd"/>
            <w:r w:rsidRPr="00294E6C">
              <w:rPr>
                <w:sz w:val="18"/>
                <w:szCs w:val="18"/>
                <w:lang w:val="cs-CZ"/>
              </w:rPr>
              <w:t xml:space="preserve"> nástroje) a NRI (kapitálové vstupy podle slovenského </w:t>
            </w:r>
            <w:proofErr w:type="spellStart"/>
            <w:r w:rsidRPr="00294E6C">
              <w:rPr>
                <w:sz w:val="18"/>
                <w:szCs w:val="18"/>
                <w:lang w:val="cs-CZ"/>
              </w:rPr>
              <w:t>ko</w:t>
            </w:r>
            <w:proofErr w:type="spellEnd"/>
            <w:r w:rsidRPr="00294E6C">
              <w:rPr>
                <w:sz w:val="18"/>
                <w:szCs w:val="18"/>
                <w:lang w:val="cs-CZ"/>
              </w:rPr>
              <w:t>-investičního modelu);</w:t>
            </w:r>
          </w:p>
          <w:p w14:paraId="717437B8" w14:textId="77777777" w:rsidR="00EA0986" w:rsidRPr="00294E6C" w:rsidRDefault="00925D46">
            <w:pPr>
              <w:pStyle w:val="Odstavecseseznamem"/>
              <w:numPr>
                <w:ilvl w:val="0"/>
                <w:numId w:val="2"/>
              </w:numPr>
              <w:spacing w:after="40"/>
              <w:rPr>
                <w:lang w:val="cs-CZ"/>
              </w:rPr>
            </w:pPr>
            <w:r w:rsidRPr="00294E6C">
              <w:rPr>
                <w:sz w:val="18"/>
                <w:szCs w:val="18"/>
                <w:lang w:val="cs-CZ"/>
              </w:rPr>
              <w:t>role SFPI je redukována na věcnou gesci v oblasti regulace nájemného a sociálního cílení, projektovou přípravu a správu dotační složky – obdobně jako SFŽP v oblasti životního prostředí;</w:t>
            </w:r>
          </w:p>
          <w:p w14:paraId="128A70E7" w14:textId="77777777" w:rsidR="00EA0986" w:rsidRPr="00294E6C" w:rsidRDefault="00925D46">
            <w:pPr>
              <w:pStyle w:val="Odstavecseseznamem"/>
              <w:numPr>
                <w:ilvl w:val="0"/>
                <w:numId w:val="2"/>
              </w:numPr>
              <w:spacing w:after="40"/>
              <w:rPr>
                <w:lang w:val="cs-CZ"/>
              </w:rPr>
            </w:pPr>
            <w:r w:rsidRPr="00294E6C">
              <w:rPr>
                <w:sz w:val="18"/>
                <w:szCs w:val="18"/>
                <w:lang w:val="cs-CZ"/>
              </w:rPr>
              <w:t>v rámci úkolu uloženého MMR (viz připomínka č. 3) bude zpracován harmonogram převedení správy existujícího programu Dostupné nájemní bydlení ze SFPI na skupinu NRB při zachování role SFPI v projektové přípravě a metodice sociálního cílení.</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41A067D" w14:textId="77777777" w:rsidR="00EA0986" w:rsidRPr="00294E6C" w:rsidRDefault="00EA0986">
            <w:pPr>
              <w:rPr>
                <w:lang w:val="cs-CZ"/>
              </w:rPr>
            </w:pPr>
          </w:p>
        </w:tc>
      </w:tr>
      <w:tr w:rsidR="00EA0986" w:rsidRPr="00294E6C" w14:paraId="140E338E"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F5656BD" w14:textId="77777777" w:rsidR="00EA0986" w:rsidRPr="00294E6C" w:rsidRDefault="00925D46">
            <w:pPr>
              <w:jc w:val="center"/>
              <w:rPr>
                <w:lang w:val="cs-CZ"/>
              </w:rPr>
            </w:pPr>
            <w:r w:rsidRPr="00294E6C">
              <w:rPr>
                <w:b/>
                <w:bCs/>
                <w:sz w:val="18"/>
                <w:szCs w:val="18"/>
                <w:lang w:val="cs-CZ"/>
              </w:rPr>
              <w:t>7</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E4A785C" w14:textId="763F4FDE"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9F84A3F"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5453125" w14:textId="77777777" w:rsidR="00EA0986" w:rsidRPr="00294E6C" w:rsidRDefault="00925D46">
            <w:pPr>
              <w:rPr>
                <w:lang w:val="cs-CZ"/>
              </w:rPr>
            </w:pPr>
            <w:r w:rsidRPr="00294E6C">
              <w:rPr>
                <w:sz w:val="18"/>
                <w:szCs w:val="18"/>
                <w:lang w:val="cs-CZ"/>
              </w:rPr>
              <w:t>Materiál (část III.), kap. 10 – oblast Regionální finanční nástroje, písm. b) a c)</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A7B459C" w14:textId="77777777" w:rsidR="00EA0986" w:rsidRPr="00294E6C" w:rsidRDefault="00925D46">
            <w:pPr>
              <w:spacing w:after="60"/>
              <w:rPr>
                <w:lang w:val="cs-CZ"/>
              </w:rPr>
            </w:pPr>
            <w:r w:rsidRPr="00294E6C">
              <w:rPr>
                <w:sz w:val="18"/>
                <w:szCs w:val="18"/>
                <w:lang w:val="cs-CZ"/>
              </w:rPr>
              <w:t>Materiál předkládá dva paralelní koncepty regionálních FN – „SFPI – územní obálky“ a „NRB – kombinace zdrojů a mobilizace kapitálu“ – a v písm. d) konstatuje, že volba mezi nimi proběhne až „v rámci předběžného hodnocení FN“. Tento postup odkládá rozhodnutí o klíčové architektuře regionálních FN do fáze, kdy již nebude prostor pro koncepční změnu.</w:t>
            </w:r>
          </w:p>
          <w:p w14:paraId="662A6489" w14:textId="77777777" w:rsidR="00EA0986" w:rsidRPr="00294E6C" w:rsidRDefault="00925D46">
            <w:pPr>
              <w:spacing w:after="60"/>
              <w:rPr>
                <w:lang w:val="cs-CZ"/>
              </w:rPr>
            </w:pPr>
            <w:r w:rsidRPr="00294E6C">
              <w:rPr>
                <w:sz w:val="18"/>
                <w:szCs w:val="18"/>
                <w:lang w:val="cs-CZ"/>
              </w:rPr>
              <w:t xml:space="preserve">Materiál si přitom v písm. b) sám odpovídá na otázku, který z konceptů je vhodnější. U konceptu SFPI explicitně uvádí „nižší pákový efekt“, „omezené zapojení soukromého kapitálu“, „potenciální fragmentaci parametrů mezi kraji“ a „omezený multiplikační efekt veřejných prostředků“. Koncept NRB naproti tomu nabízí vyšší pákový efekt, systematické </w:t>
            </w:r>
            <w:r w:rsidRPr="00294E6C">
              <w:rPr>
                <w:sz w:val="18"/>
                <w:szCs w:val="18"/>
                <w:lang w:val="cs-CZ"/>
              </w:rPr>
              <w:lastRenderedPageBreak/>
              <w:t xml:space="preserve">zapojení komerčních bank, garanci regionálních alokací podle vzoru programu Transformace a poměr </w:t>
            </w:r>
            <w:proofErr w:type="gramStart"/>
            <w:r w:rsidRPr="00294E6C">
              <w:rPr>
                <w:sz w:val="18"/>
                <w:szCs w:val="18"/>
                <w:lang w:val="cs-CZ"/>
              </w:rPr>
              <w:t>50 :</w:t>
            </w:r>
            <w:proofErr w:type="gramEnd"/>
            <w:r w:rsidRPr="00294E6C">
              <w:rPr>
                <w:sz w:val="18"/>
                <w:szCs w:val="18"/>
                <w:lang w:val="cs-CZ"/>
              </w:rPr>
              <w:t xml:space="preserve"> 50 veřejných a soukromých zdrojů.</w:t>
            </w:r>
          </w:p>
          <w:p w14:paraId="035FC725" w14:textId="77777777" w:rsidR="00EA0986" w:rsidRPr="00294E6C" w:rsidRDefault="00925D46">
            <w:pPr>
              <w:spacing w:after="60"/>
              <w:rPr>
                <w:lang w:val="cs-CZ"/>
              </w:rPr>
            </w:pPr>
            <w:r w:rsidRPr="00294E6C">
              <w:rPr>
                <w:b/>
                <w:bCs/>
                <w:sz w:val="18"/>
                <w:szCs w:val="18"/>
                <w:lang w:val="cs-CZ"/>
              </w:rPr>
              <w:t>Požadujeme:</w:t>
            </w:r>
          </w:p>
          <w:p w14:paraId="0C679516" w14:textId="77777777" w:rsidR="00EA0986" w:rsidRPr="00294E6C" w:rsidRDefault="00925D46">
            <w:pPr>
              <w:pStyle w:val="Odstavecseseznamem"/>
              <w:numPr>
                <w:ilvl w:val="0"/>
                <w:numId w:val="2"/>
              </w:numPr>
              <w:spacing w:after="40"/>
              <w:rPr>
                <w:lang w:val="cs-CZ"/>
              </w:rPr>
            </w:pPr>
            <w:r w:rsidRPr="00294E6C">
              <w:rPr>
                <w:sz w:val="18"/>
                <w:szCs w:val="18"/>
                <w:lang w:val="cs-CZ"/>
              </w:rPr>
              <w:t>předložit vládě jeden preferovaný model regionálních FN – model skupiny NRB (Fond měst a obcí + Regionální fond) s povinnou územní participací krajů a metropolitních oblastí na definici investiční strategie,</w:t>
            </w:r>
          </w:p>
          <w:p w14:paraId="7CCF1AC5" w14:textId="77777777" w:rsidR="00EA0986" w:rsidRPr="00294E6C" w:rsidRDefault="00925D46">
            <w:pPr>
              <w:pStyle w:val="Odstavecseseznamem"/>
              <w:numPr>
                <w:ilvl w:val="0"/>
                <w:numId w:val="2"/>
              </w:numPr>
              <w:spacing w:after="40"/>
              <w:rPr>
                <w:lang w:val="cs-CZ"/>
              </w:rPr>
            </w:pPr>
            <w:r w:rsidRPr="00294E6C">
              <w:rPr>
                <w:sz w:val="18"/>
                <w:szCs w:val="18"/>
                <w:lang w:val="cs-CZ"/>
              </w:rPr>
              <w:t>koncept SFPI „územní obálky“ buď opustit, nebo jej včlenit jako podpůrnou poradenskou a projektově-přípravnou složku do modelu NRB.</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042F718" w14:textId="77777777" w:rsidR="00EA0986" w:rsidRPr="00294E6C" w:rsidRDefault="00EA0986">
            <w:pPr>
              <w:rPr>
                <w:lang w:val="cs-CZ"/>
              </w:rPr>
            </w:pPr>
          </w:p>
        </w:tc>
      </w:tr>
      <w:tr w:rsidR="00EA0986" w:rsidRPr="00294E6C" w14:paraId="2818F06B"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FDC8E45" w14:textId="77777777" w:rsidR="00EA0986" w:rsidRPr="00294E6C" w:rsidRDefault="00925D46">
            <w:pPr>
              <w:jc w:val="center"/>
              <w:rPr>
                <w:lang w:val="cs-CZ"/>
              </w:rPr>
            </w:pPr>
            <w:r w:rsidRPr="00294E6C">
              <w:rPr>
                <w:b/>
                <w:bCs/>
                <w:sz w:val="18"/>
                <w:szCs w:val="18"/>
                <w:lang w:val="cs-CZ"/>
              </w:rPr>
              <w:t>8</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4AFC67" w14:textId="3960B77A"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C1E7B1"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7E236D6" w14:textId="77777777" w:rsidR="00EA0986" w:rsidRPr="00294E6C" w:rsidRDefault="00925D46">
            <w:pPr>
              <w:rPr>
                <w:lang w:val="cs-CZ"/>
              </w:rPr>
            </w:pPr>
            <w:r w:rsidRPr="00294E6C">
              <w:rPr>
                <w:sz w:val="18"/>
                <w:szCs w:val="18"/>
                <w:lang w:val="cs-CZ"/>
              </w:rPr>
              <w:t>Materiál (část III.), kap. 3.</w:t>
            </w:r>
            <w:proofErr w:type="gramStart"/>
            <w:r w:rsidRPr="00294E6C">
              <w:rPr>
                <w:sz w:val="18"/>
                <w:szCs w:val="18"/>
                <w:lang w:val="cs-CZ"/>
              </w:rPr>
              <w:t>2 – 4</w:t>
            </w:r>
            <w:proofErr w:type="gramEnd"/>
            <w:r w:rsidRPr="00294E6C">
              <w:rPr>
                <w:sz w:val="18"/>
                <w:szCs w:val="18"/>
                <w:lang w:val="cs-CZ"/>
              </w:rPr>
              <w:t>. klíčový poznatek (vnitřní rozpor)</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C5E78CC" w14:textId="77777777" w:rsidR="00EA0986" w:rsidRPr="00294E6C" w:rsidRDefault="00925D46">
            <w:pPr>
              <w:spacing w:after="60"/>
              <w:rPr>
                <w:lang w:val="cs-CZ"/>
              </w:rPr>
            </w:pPr>
            <w:r w:rsidRPr="00294E6C">
              <w:rPr>
                <w:sz w:val="18"/>
                <w:szCs w:val="18"/>
                <w:lang w:val="cs-CZ"/>
              </w:rPr>
              <w:t>Čtvrtý klíčový poznatek v kap. 3.2 v rámci jediného odstavce obsahuje dvě protichůdné teze:</w:t>
            </w:r>
          </w:p>
          <w:p w14:paraId="3F4D07C5" w14:textId="77777777" w:rsidR="00EA0986" w:rsidRPr="00294E6C" w:rsidRDefault="00925D46">
            <w:pPr>
              <w:pStyle w:val="Odstavecseseznamem"/>
              <w:numPr>
                <w:ilvl w:val="0"/>
                <w:numId w:val="2"/>
              </w:numPr>
              <w:spacing w:after="40"/>
              <w:rPr>
                <w:lang w:val="cs-CZ"/>
              </w:rPr>
            </w:pPr>
            <w:r w:rsidRPr="00294E6C">
              <w:rPr>
                <w:sz w:val="18"/>
                <w:szCs w:val="18"/>
                <w:lang w:val="cs-CZ"/>
              </w:rPr>
              <w:t>první věta: „V českém prostředí tomu odpovídá rozdělení rolí mezi skupinu NRB, SFPI a SFŽP… SFPI je vhodným nositelem finančních nástrojů v oblasti bydlení, sociální infrastruktury a municipálních investic.“</w:t>
            </w:r>
          </w:p>
          <w:p w14:paraId="092FEC5B" w14:textId="77777777" w:rsidR="00EA0986" w:rsidRPr="00294E6C" w:rsidRDefault="00925D46">
            <w:pPr>
              <w:pStyle w:val="Odstavecseseznamem"/>
              <w:numPr>
                <w:ilvl w:val="0"/>
                <w:numId w:val="2"/>
              </w:numPr>
              <w:spacing w:after="40"/>
              <w:rPr>
                <w:lang w:val="cs-CZ"/>
              </w:rPr>
            </w:pPr>
            <w:r w:rsidRPr="00294E6C">
              <w:rPr>
                <w:sz w:val="18"/>
                <w:szCs w:val="18"/>
                <w:lang w:val="cs-CZ"/>
              </w:rPr>
              <w:t>závěrečná věta: „Řešením není prohlubovat tematickou specializaci implementace finančních nástrojů, ale centralizovat finanční rovinu implementace FN do jednoho implementačního subjektu, a ponechat na tematických implementačních partnerech jejich roli odborného nastavení potřeb, poradenství a vyhodnocování programu.“</w:t>
            </w:r>
          </w:p>
          <w:p w14:paraId="0E8B2618" w14:textId="77777777" w:rsidR="00EA0986" w:rsidRPr="00294E6C" w:rsidRDefault="00925D46">
            <w:pPr>
              <w:spacing w:after="60"/>
              <w:rPr>
                <w:lang w:val="cs-CZ"/>
              </w:rPr>
            </w:pPr>
            <w:r w:rsidRPr="00294E6C">
              <w:rPr>
                <w:sz w:val="18"/>
                <w:szCs w:val="18"/>
                <w:lang w:val="cs-CZ"/>
              </w:rPr>
              <w:t>Tento rozpor v rámci jediného odstavce je metodicky neudržitelný a promítá se do nekonzistencí v celém materiálu.</w:t>
            </w:r>
          </w:p>
          <w:p w14:paraId="0B4121B1" w14:textId="77777777" w:rsidR="00EA0986" w:rsidRPr="00294E6C" w:rsidRDefault="00925D46">
            <w:pPr>
              <w:spacing w:after="60"/>
              <w:rPr>
                <w:lang w:val="cs-CZ"/>
              </w:rPr>
            </w:pPr>
            <w:r w:rsidRPr="00294E6C">
              <w:rPr>
                <w:b/>
                <w:bCs/>
                <w:sz w:val="18"/>
                <w:szCs w:val="18"/>
                <w:lang w:val="cs-CZ"/>
              </w:rPr>
              <w:t>Požadujeme:</w:t>
            </w:r>
          </w:p>
          <w:p w14:paraId="5CB634E7" w14:textId="77777777" w:rsidR="00EA0986" w:rsidRPr="00294E6C" w:rsidRDefault="00925D46">
            <w:pPr>
              <w:pStyle w:val="Odstavecseseznamem"/>
              <w:numPr>
                <w:ilvl w:val="0"/>
                <w:numId w:val="2"/>
              </w:numPr>
              <w:spacing w:after="40"/>
              <w:rPr>
                <w:lang w:val="cs-CZ"/>
              </w:rPr>
            </w:pPr>
            <w:r w:rsidRPr="00294E6C">
              <w:rPr>
                <w:sz w:val="18"/>
                <w:szCs w:val="18"/>
                <w:lang w:val="cs-CZ"/>
              </w:rPr>
              <w:t>4. klíčový poznatek přeformulovat jednoznačně ve prospěch centralizace finanční implementace u skupiny NRB, s tím, že státní fondy si zachovávají roli věcného gestora, expertního zázemí, poradenství a správy dotační složky,</w:t>
            </w:r>
          </w:p>
          <w:p w14:paraId="55186532" w14:textId="77777777" w:rsidR="00EA0986" w:rsidRPr="00294E6C" w:rsidRDefault="00925D46">
            <w:pPr>
              <w:pStyle w:val="Odstavecseseznamem"/>
              <w:numPr>
                <w:ilvl w:val="0"/>
                <w:numId w:val="2"/>
              </w:numPr>
              <w:spacing w:after="40"/>
              <w:rPr>
                <w:lang w:val="cs-CZ"/>
              </w:rPr>
            </w:pPr>
            <w:r w:rsidRPr="00294E6C">
              <w:rPr>
                <w:sz w:val="18"/>
                <w:szCs w:val="18"/>
                <w:lang w:val="cs-CZ"/>
              </w:rPr>
              <w:t>zrevidovat v celém materiálu všechna místa, kde je SFPI uváděn jako finanční implementátor, a uvést je do souladu s upraveným zněním 4. klíčového poznatku.</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3EF22DB" w14:textId="77777777" w:rsidR="00EA0986" w:rsidRPr="00294E6C" w:rsidRDefault="00EA0986">
            <w:pPr>
              <w:rPr>
                <w:lang w:val="cs-CZ"/>
              </w:rPr>
            </w:pPr>
          </w:p>
        </w:tc>
      </w:tr>
      <w:tr w:rsidR="00EA0986" w:rsidRPr="00294E6C" w14:paraId="68BDDC41"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FCC0FF0" w14:textId="77777777" w:rsidR="00EA0986" w:rsidRPr="00294E6C" w:rsidRDefault="00925D46">
            <w:pPr>
              <w:jc w:val="center"/>
              <w:rPr>
                <w:lang w:val="cs-CZ"/>
              </w:rPr>
            </w:pPr>
            <w:r w:rsidRPr="00294E6C">
              <w:rPr>
                <w:b/>
                <w:bCs/>
                <w:sz w:val="18"/>
                <w:szCs w:val="18"/>
                <w:lang w:val="cs-CZ"/>
              </w:rPr>
              <w:t>9</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28C4693" w14:textId="44FE6834"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A7C4DD1"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C231A8" w14:textId="77777777" w:rsidR="00EA0986" w:rsidRPr="00294E6C" w:rsidRDefault="00925D46">
            <w:pPr>
              <w:rPr>
                <w:lang w:val="cs-CZ"/>
              </w:rPr>
            </w:pPr>
            <w:r w:rsidRPr="00294E6C">
              <w:rPr>
                <w:sz w:val="18"/>
                <w:szCs w:val="18"/>
                <w:lang w:val="cs-CZ"/>
              </w:rPr>
              <w:t>Materiál (část III.), kap. V – Národní rozvojová banka, pasáž týkající se pilířového hodnocení</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DF7AEA2" w14:textId="77777777" w:rsidR="00EA0986" w:rsidRPr="00294E6C" w:rsidRDefault="00925D46">
            <w:pPr>
              <w:spacing w:after="60"/>
              <w:rPr>
                <w:lang w:val="cs-CZ"/>
              </w:rPr>
            </w:pPr>
            <w:r w:rsidRPr="00294E6C">
              <w:rPr>
                <w:sz w:val="18"/>
                <w:szCs w:val="18"/>
                <w:lang w:val="cs-CZ"/>
              </w:rPr>
              <w:t>Materiál uvádí, že NRB úspěšně dokončila pilířové hodnocení (</w:t>
            </w:r>
            <w:proofErr w:type="spellStart"/>
            <w:r w:rsidRPr="00294E6C">
              <w:rPr>
                <w:sz w:val="18"/>
                <w:szCs w:val="18"/>
                <w:lang w:val="cs-CZ"/>
              </w:rPr>
              <w:t>Pillar</w:t>
            </w:r>
            <w:proofErr w:type="spellEnd"/>
            <w:r w:rsidRPr="00294E6C">
              <w:rPr>
                <w:sz w:val="18"/>
                <w:szCs w:val="18"/>
                <w:lang w:val="cs-CZ"/>
              </w:rPr>
              <w:t xml:space="preserve"> </w:t>
            </w:r>
            <w:proofErr w:type="spellStart"/>
            <w:r w:rsidRPr="00294E6C">
              <w:rPr>
                <w:sz w:val="18"/>
                <w:szCs w:val="18"/>
                <w:lang w:val="cs-CZ"/>
              </w:rPr>
              <w:t>Assessment</w:t>
            </w:r>
            <w:proofErr w:type="spellEnd"/>
            <w:r w:rsidRPr="00294E6C">
              <w:rPr>
                <w:sz w:val="18"/>
                <w:szCs w:val="18"/>
                <w:lang w:val="cs-CZ"/>
              </w:rPr>
              <w:t>) v roce 2023 a že představuje „nejvyšší možné vyhodnocení i z hlediska Evropské komise, že NRB splňuje přísné standardy pro přímou správu evropských peněz“. Z tohoto významného zjištění však materiál nevyvozuje praktické implikace pro implementační architekturu FN 2028+.</w:t>
            </w:r>
          </w:p>
          <w:p w14:paraId="61F343F5" w14:textId="77777777" w:rsidR="00EA0986" w:rsidRPr="00294E6C" w:rsidRDefault="00925D46">
            <w:pPr>
              <w:spacing w:after="60"/>
              <w:rPr>
                <w:lang w:val="cs-CZ"/>
              </w:rPr>
            </w:pPr>
            <w:r w:rsidRPr="00294E6C">
              <w:rPr>
                <w:b/>
                <w:bCs/>
                <w:sz w:val="18"/>
                <w:szCs w:val="18"/>
                <w:lang w:val="cs-CZ"/>
              </w:rPr>
              <w:t>Doporučujeme doplnit:</w:t>
            </w:r>
          </w:p>
          <w:p w14:paraId="4C82F64E" w14:textId="77777777" w:rsidR="00EA0986" w:rsidRPr="00294E6C" w:rsidRDefault="00925D46">
            <w:pPr>
              <w:pStyle w:val="Odstavecseseznamem"/>
              <w:numPr>
                <w:ilvl w:val="0"/>
                <w:numId w:val="2"/>
              </w:numPr>
              <w:spacing w:after="40"/>
              <w:rPr>
                <w:lang w:val="cs-CZ"/>
              </w:rPr>
            </w:pPr>
            <w:r w:rsidRPr="00294E6C">
              <w:rPr>
                <w:sz w:val="18"/>
                <w:szCs w:val="18"/>
                <w:lang w:val="cs-CZ"/>
              </w:rPr>
              <w:t>explicitní konstatování, že pilířové hodnocení EK pro SFPI a další státní fondy v roli finančních implementátorů v současnosti neexistuje,</w:t>
            </w:r>
          </w:p>
          <w:p w14:paraId="572FE22E" w14:textId="77777777" w:rsidR="00EA0986" w:rsidRPr="00294E6C" w:rsidRDefault="00925D46">
            <w:pPr>
              <w:pStyle w:val="Odstavecseseznamem"/>
              <w:numPr>
                <w:ilvl w:val="0"/>
                <w:numId w:val="2"/>
              </w:numPr>
              <w:spacing w:after="40"/>
              <w:rPr>
                <w:lang w:val="cs-CZ"/>
              </w:rPr>
            </w:pPr>
            <w:r w:rsidRPr="00294E6C">
              <w:rPr>
                <w:sz w:val="18"/>
                <w:szCs w:val="18"/>
                <w:lang w:val="cs-CZ"/>
              </w:rPr>
              <w:t>doložení, že získání pilířového hodnocení trvá v praxi řadu let a v relevantním čase pro spuštění NRPP 2028+ je u SFPI fakticky nedosažitelné,</w:t>
            </w:r>
          </w:p>
          <w:p w14:paraId="6304E25D" w14:textId="77777777" w:rsidR="00EA0986" w:rsidRPr="00294E6C" w:rsidRDefault="00925D46">
            <w:pPr>
              <w:pStyle w:val="Odstavecseseznamem"/>
              <w:numPr>
                <w:ilvl w:val="0"/>
                <w:numId w:val="2"/>
              </w:numPr>
              <w:spacing w:after="40"/>
              <w:rPr>
                <w:lang w:val="cs-CZ"/>
              </w:rPr>
            </w:pPr>
            <w:r w:rsidRPr="00294E6C">
              <w:rPr>
                <w:sz w:val="18"/>
                <w:szCs w:val="18"/>
                <w:lang w:val="cs-CZ"/>
              </w:rPr>
              <w:t>závěr, že z hlediska požadavků Nařízení o výkonnosti a NRPP je přímá správa větších objemů FN financovaných z fondů EU mimo skupinu NRB pro období 2028+ nerealistická a vystavuje ČR riziku korekcí.</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6CF9F4" w14:textId="77777777" w:rsidR="00EA0986" w:rsidRPr="00294E6C" w:rsidRDefault="00EA0986">
            <w:pPr>
              <w:rPr>
                <w:lang w:val="cs-CZ"/>
              </w:rPr>
            </w:pPr>
          </w:p>
        </w:tc>
      </w:tr>
      <w:tr w:rsidR="00EA0986" w:rsidRPr="00294E6C" w14:paraId="28D933FD"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6B7A8EA" w14:textId="77777777" w:rsidR="00EA0986" w:rsidRPr="00294E6C" w:rsidRDefault="00925D46">
            <w:pPr>
              <w:jc w:val="center"/>
              <w:rPr>
                <w:lang w:val="cs-CZ"/>
              </w:rPr>
            </w:pPr>
            <w:r w:rsidRPr="00294E6C">
              <w:rPr>
                <w:b/>
                <w:bCs/>
                <w:sz w:val="18"/>
                <w:szCs w:val="18"/>
                <w:lang w:val="cs-CZ"/>
              </w:rPr>
              <w:lastRenderedPageBreak/>
              <w:t>10</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ED80A26" w14:textId="4E6B8ED9"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10A3849"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1E1240" w14:textId="77777777" w:rsidR="00EA0986" w:rsidRPr="00294E6C" w:rsidRDefault="00925D46">
            <w:pPr>
              <w:rPr>
                <w:lang w:val="cs-CZ"/>
              </w:rPr>
            </w:pPr>
            <w:r w:rsidRPr="00294E6C">
              <w:rPr>
                <w:sz w:val="18"/>
                <w:szCs w:val="18"/>
                <w:lang w:val="cs-CZ"/>
              </w:rPr>
              <w:t>Materiál (část III.), kap. 6.2 – Zákon č. 23/2017 Sb., o pravidlech rozpočtové odpovědnosti</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CAEF0E6" w14:textId="77777777" w:rsidR="00EA0986" w:rsidRPr="00294E6C" w:rsidRDefault="00925D46">
            <w:pPr>
              <w:spacing w:after="60"/>
              <w:rPr>
                <w:lang w:val="cs-CZ"/>
              </w:rPr>
            </w:pPr>
            <w:r w:rsidRPr="00294E6C">
              <w:rPr>
                <w:sz w:val="18"/>
                <w:szCs w:val="18"/>
                <w:lang w:val="cs-CZ"/>
              </w:rPr>
              <w:t>Materiál správně identifikuje, že závazky z FN mají být klasifikovány podle ekonomické podstaty (přenos rizika, dlouhodobý investiční horizont, krytí příjmy projektu), nikoli podle formální právní konstrukce.</w:t>
            </w:r>
          </w:p>
          <w:p w14:paraId="1E5C849E" w14:textId="77777777" w:rsidR="00EA0986" w:rsidRPr="00294E6C" w:rsidRDefault="00925D46">
            <w:pPr>
              <w:spacing w:after="60"/>
              <w:rPr>
                <w:lang w:val="cs-CZ"/>
              </w:rPr>
            </w:pPr>
            <w:r w:rsidRPr="00294E6C">
              <w:rPr>
                <w:b/>
                <w:bCs/>
                <w:sz w:val="18"/>
                <w:szCs w:val="18"/>
                <w:lang w:val="cs-CZ"/>
              </w:rPr>
              <w:t>Doporučujeme tuto logiku promítnout do hodnocení implementačních partnerů:</w:t>
            </w:r>
          </w:p>
          <w:p w14:paraId="5E586BCD" w14:textId="77777777" w:rsidR="00EA0986" w:rsidRPr="00294E6C" w:rsidRDefault="00925D46">
            <w:pPr>
              <w:pStyle w:val="Odstavecseseznamem"/>
              <w:numPr>
                <w:ilvl w:val="0"/>
                <w:numId w:val="2"/>
              </w:numPr>
              <w:spacing w:after="40"/>
              <w:rPr>
                <w:lang w:val="cs-CZ"/>
              </w:rPr>
            </w:pPr>
            <w:r w:rsidRPr="00294E6C">
              <w:rPr>
                <w:sz w:val="18"/>
                <w:szCs w:val="18"/>
                <w:lang w:val="cs-CZ"/>
              </w:rPr>
              <w:t>financování přes specializovanou banku vyňatou ze sektoru S.13 (NRB po vynětí z rámce CRD a integraci s ČEB) má při shodné ekonomické podstatě jiný fiskální dopad než ekvivalentní financování přes státní fond v S.13,</w:t>
            </w:r>
          </w:p>
          <w:p w14:paraId="012C7F7A" w14:textId="77777777" w:rsidR="00EA0986" w:rsidRPr="00294E6C" w:rsidRDefault="00925D46">
            <w:pPr>
              <w:pStyle w:val="Odstavecseseznamem"/>
              <w:numPr>
                <w:ilvl w:val="0"/>
                <w:numId w:val="2"/>
              </w:numPr>
              <w:spacing w:after="40"/>
              <w:rPr>
                <w:lang w:val="cs-CZ"/>
              </w:rPr>
            </w:pPr>
            <w:r w:rsidRPr="00294E6C">
              <w:rPr>
                <w:sz w:val="18"/>
                <w:szCs w:val="18"/>
                <w:lang w:val="cs-CZ"/>
              </w:rPr>
              <w:t>tento rozdíl má být v rozhodnutí o implementační architektuře explicitně zohledněn, nikoli zmíněn pouze okrajově,</w:t>
            </w:r>
          </w:p>
          <w:p w14:paraId="2323234B" w14:textId="77777777" w:rsidR="00EA0986" w:rsidRPr="00294E6C" w:rsidRDefault="00925D46">
            <w:pPr>
              <w:pStyle w:val="Odstavecseseznamem"/>
              <w:numPr>
                <w:ilvl w:val="0"/>
                <w:numId w:val="2"/>
              </w:numPr>
              <w:spacing w:after="40"/>
              <w:rPr>
                <w:lang w:val="cs-CZ"/>
              </w:rPr>
            </w:pPr>
            <w:r w:rsidRPr="00294E6C">
              <w:rPr>
                <w:sz w:val="18"/>
                <w:szCs w:val="18"/>
                <w:lang w:val="cs-CZ"/>
              </w:rPr>
              <w:t>u SFPI je nutné dopady na vládní dluh vyčíslit – zejména s ohledem na konstatování, že externí likvidita ze zdrojů EIB/CEB/EBRD u SFPI navyšuje státní dluh přímo.</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0DC207" w14:textId="77777777" w:rsidR="00EA0986" w:rsidRPr="00294E6C" w:rsidRDefault="00EA0986">
            <w:pPr>
              <w:rPr>
                <w:lang w:val="cs-CZ"/>
              </w:rPr>
            </w:pPr>
          </w:p>
        </w:tc>
      </w:tr>
      <w:tr w:rsidR="00EA0986" w:rsidRPr="00294E6C" w14:paraId="572EF660"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FAC3DE6" w14:textId="77777777" w:rsidR="00EA0986" w:rsidRPr="00294E6C" w:rsidRDefault="00925D46">
            <w:pPr>
              <w:jc w:val="center"/>
              <w:rPr>
                <w:lang w:val="cs-CZ"/>
              </w:rPr>
            </w:pPr>
            <w:r w:rsidRPr="00294E6C">
              <w:rPr>
                <w:b/>
                <w:bCs/>
                <w:sz w:val="18"/>
                <w:szCs w:val="18"/>
                <w:lang w:val="cs-CZ"/>
              </w:rPr>
              <w:t>11</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DCF7F99" w14:textId="0F53F845"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C5F0D61"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590F69E" w14:textId="77777777" w:rsidR="00EA0986" w:rsidRPr="00294E6C" w:rsidRDefault="00925D46">
            <w:pPr>
              <w:rPr>
                <w:lang w:val="cs-CZ"/>
              </w:rPr>
            </w:pPr>
            <w:r w:rsidRPr="00294E6C">
              <w:rPr>
                <w:sz w:val="18"/>
                <w:szCs w:val="18"/>
                <w:lang w:val="cs-CZ"/>
              </w:rPr>
              <w:t>Předkládací zpráva (část II.), odst. 4 – nelegislativní bariéry</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551BD9A" w14:textId="77777777" w:rsidR="00EA0986" w:rsidRPr="00294E6C" w:rsidRDefault="00925D46">
            <w:pPr>
              <w:spacing w:after="60"/>
              <w:rPr>
                <w:lang w:val="cs-CZ"/>
              </w:rPr>
            </w:pPr>
            <w:r w:rsidRPr="00294E6C">
              <w:rPr>
                <w:sz w:val="18"/>
                <w:szCs w:val="18"/>
                <w:lang w:val="cs-CZ"/>
              </w:rPr>
              <w:t>Mezi identifikované nelegislativní bariéry doporučujeme explicitně doplnit jednu konkrétní bariéru, která se v materiálu opakovaně objevuje, ale není v shrnutí pojmenována:</w:t>
            </w:r>
          </w:p>
          <w:p w14:paraId="4BE38B3F" w14:textId="2311B475" w:rsidR="00EA0986" w:rsidRPr="00294E6C" w:rsidRDefault="00925D46">
            <w:pPr>
              <w:pStyle w:val="Odstavecseseznamem"/>
              <w:numPr>
                <w:ilvl w:val="0"/>
                <w:numId w:val="2"/>
              </w:numPr>
              <w:spacing w:after="40"/>
              <w:rPr>
                <w:lang w:val="cs-CZ"/>
              </w:rPr>
            </w:pPr>
            <w:r w:rsidRPr="00294E6C">
              <w:rPr>
                <w:b/>
                <w:bCs/>
                <w:sz w:val="18"/>
                <w:szCs w:val="18"/>
                <w:lang w:val="cs-CZ"/>
              </w:rPr>
              <w:t>paralelní existenci konkurenčních produktových řad u skupiny NRB, NRI</w:t>
            </w:r>
            <w:r w:rsidR="00294E6C" w:rsidRPr="00294E6C">
              <w:rPr>
                <w:b/>
                <w:bCs/>
                <w:sz w:val="18"/>
                <w:szCs w:val="18"/>
                <w:lang w:val="cs-CZ"/>
              </w:rPr>
              <w:t>, SFŽP</w:t>
            </w:r>
            <w:r w:rsidRPr="00294E6C">
              <w:rPr>
                <w:b/>
                <w:bCs/>
                <w:sz w:val="18"/>
                <w:szCs w:val="18"/>
                <w:lang w:val="cs-CZ"/>
              </w:rPr>
              <w:t xml:space="preserve"> a SFPI v jednom tematickém okruhu</w:t>
            </w:r>
            <w:r w:rsidRPr="00294E6C">
              <w:rPr>
                <w:sz w:val="18"/>
                <w:szCs w:val="18"/>
                <w:lang w:val="cs-CZ"/>
              </w:rPr>
              <w:t xml:space="preserve"> (typicky dostupné bydlení, municipální infrastruktura, regenerace </w:t>
            </w:r>
            <w:proofErr w:type="spellStart"/>
            <w:r w:rsidRPr="00294E6C">
              <w:rPr>
                <w:sz w:val="18"/>
                <w:szCs w:val="18"/>
                <w:lang w:val="cs-CZ"/>
              </w:rPr>
              <w:t>brownfields</w:t>
            </w:r>
            <w:proofErr w:type="spellEnd"/>
            <w:r w:rsidRPr="00294E6C">
              <w:rPr>
                <w:sz w:val="18"/>
                <w:szCs w:val="18"/>
                <w:lang w:val="cs-CZ"/>
              </w:rPr>
              <w:t>), což snižuje přehlednost pro konečné příjemce, znesnadňuje komunikaci finančních nástrojů vůči EK v rámci ex-ante posouzení a vede k duplicitě nákladů na metodiku, IT systémy a odborné kapacity.</w:t>
            </w:r>
          </w:p>
          <w:p w14:paraId="7361C29B" w14:textId="77777777" w:rsidR="00EA0986" w:rsidRPr="00294E6C" w:rsidRDefault="00925D46">
            <w:pPr>
              <w:spacing w:after="60"/>
              <w:rPr>
                <w:lang w:val="cs-CZ"/>
              </w:rPr>
            </w:pPr>
            <w:r w:rsidRPr="00294E6C">
              <w:rPr>
                <w:sz w:val="18"/>
                <w:szCs w:val="18"/>
                <w:lang w:val="cs-CZ"/>
              </w:rPr>
              <w:t>Explicitní pojmenování této bariéry je předpokladem pro to, aby na ni materiál mohl v doporučeních a v návrhu usnesení také odpovídajícím způsobem reagovat.</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73A288" w14:textId="77777777" w:rsidR="00EA0986" w:rsidRPr="00294E6C" w:rsidRDefault="00EA0986">
            <w:pPr>
              <w:rPr>
                <w:lang w:val="cs-CZ"/>
              </w:rPr>
            </w:pPr>
          </w:p>
        </w:tc>
      </w:tr>
      <w:tr w:rsidR="00EA0986" w:rsidRPr="00294E6C" w14:paraId="0CD583E6"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FAE98D7" w14:textId="77777777" w:rsidR="00EA0986" w:rsidRPr="00294E6C" w:rsidRDefault="00925D46">
            <w:pPr>
              <w:jc w:val="center"/>
              <w:rPr>
                <w:lang w:val="cs-CZ"/>
              </w:rPr>
            </w:pPr>
            <w:r w:rsidRPr="00294E6C">
              <w:rPr>
                <w:b/>
                <w:bCs/>
                <w:sz w:val="18"/>
                <w:szCs w:val="18"/>
                <w:lang w:val="cs-CZ"/>
              </w:rPr>
              <w:t>12</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82A5363" w14:textId="684D470C"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ACDCA4A"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3D6641B" w14:textId="77777777" w:rsidR="00EA0986" w:rsidRPr="00294E6C" w:rsidRDefault="00925D46">
            <w:pPr>
              <w:rPr>
                <w:lang w:val="cs-CZ"/>
              </w:rPr>
            </w:pPr>
            <w:r w:rsidRPr="00294E6C">
              <w:rPr>
                <w:sz w:val="18"/>
                <w:szCs w:val="18"/>
                <w:lang w:val="cs-CZ"/>
              </w:rPr>
              <w:t>Materiál (část III.), kap. 6.2 – Zákon č. 211/2000 Sb., rozšíření mandátu SFPI; návazně bod 6.5</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6FD540" w14:textId="77777777" w:rsidR="00433FE3" w:rsidRPr="00294E6C" w:rsidRDefault="00433FE3" w:rsidP="00433FE3">
            <w:pPr>
              <w:spacing w:after="60"/>
              <w:rPr>
                <w:lang w:val="cs-CZ"/>
              </w:rPr>
            </w:pPr>
            <w:r w:rsidRPr="00294E6C">
              <w:rPr>
                <w:b/>
                <w:bCs/>
                <w:sz w:val="18"/>
                <w:szCs w:val="18"/>
                <w:lang w:val="cs-CZ"/>
              </w:rPr>
              <w:t xml:space="preserve">Komentář Mgr. et Mgr. Vilém Řehák, Ph.D. </w:t>
            </w:r>
          </w:p>
          <w:p w14:paraId="1907EBA3" w14:textId="729C39A0" w:rsidR="00EA0986" w:rsidRPr="00661DDA" w:rsidRDefault="00925D46" w:rsidP="00CF3128">
            <w:pPr>
              <w:spacing w:after="60"/>
              <w:rPr>
                <w:lang w:val="cs-CZ"/>
              </w:rPr>
            </w:pPr>
            <w:r w:rsidRPr="00661DDA">
              <w:rPr>
                <w:color w:val="444444"/>
                <w:sz w:val="18"/>
                <w:szCs w:val="18"/>
                <w:lang w:val="cs-CZ"/>
              </w:rPr>
              <w:t>Tento bod si protiřečí s tím, že jedním ze slabých míst současného stavu je fragmentovaná implementační struktura, stejně jako s doporučením v bodě 6.5, že je nezbytné jasně vymezit kompetence všech subjektů zapojených do přípravy a implementace FN. Pokud se bude rozšiřovat mandát státních fondů, tak se stane přesný opak, tedy struktura zůstane roztříštěná a kompetence jednotlivých subjektů se budou překrývat a budou si vzájemně konkurovat. Řešením je ve skutečnosti přesný opak, tedy aby státní fondy nedupl</w:t>
            </w:r>
            <w:r w:rsidRPr="00661DDA">
              <w:rPr>
                <w:color w:val="444444"/>
                <w:sz w:val="18"/>
                <w:szCs w:val="18"/>
                <w:lang w:val="cs-CZ"/>
              </w:rPr>
              <w:t>ikovaly činnost NRB a neposkytovaly bankovní produkty. Uvážíme-li, že v českém prostředí máme instituce na dotační podporu (CRR, API apod.), dluhové financování (NRB) i kapitálové financování (NRI), pak je evidentní, že státní fondy jsou přežitkem hluboce zakořeněného resortismu spíše než důsledkem promyšlené investiční politiky státu.“</w:t>
            </w:r>
          </w:p>
          <w:p w14:paraId="5FE77A25" w14:textId="77777777" w:rsidR="00EA0986" w:rsidRPr="00661DDA" w:rsidRDefault="00925D46">
            <w:pPr>
              <w:spacing w:after="60"/>
              <w:rPr>
                <w:lang w:val="cs-CZ"/>
              </w:rPr>
            </w:pPr>
            <w:r w:rsidRPr="00661DDA">
              <w:rPr>
                <w:b/>
                <w:bCs/>
                <w:sz w:val="18"/>
                <w:szCs w:val="18"/>
                <w:lang w:val="cs-CZ"/>
              </w:rPr>
              <w:t>Požadujeme:</w:t>
            </w:r>
          </w:p>
          <w:p w14:paraId="221705FC" w14:textId="77777777" w:rsidR="00661DDA" w:rsidRPr="00661DDA" w:rsidRDefault="00925D46" w:rsidP="00661DDA">
            <w:pPr>
              <w:pStyle w:val="Odstavecseseznamem"/>
              <w:numPr>
                <w:ilvl w:val="0"/>
                <w:numId w:val="2"/>
              </w:numPr>
              <w:spacing w:after="40"/>
              <w:rPr>
                <w:lang w:val="cs-CZ"/>
              </w:rPr>
            </w:pPr>
            <w:r w:rsidRPr="00661DDA">
              <w:rPr>
                <w:sz w:val="18"/>
                <w:szCs w:val="18"/>
                <w:lang w:val="cs-CZ"/>
              </w:rPr>
              <w:t>vypustit z materiálu i z návrhu usnesení jakékoli navrhované rozšíření mandátu SFPI;</w:t>
            </w:r>
          </w:p>
          <w:p w14:paraId="6591DFEF" w14:textId="2C35AC12" w:rsidR="00EA0986" w:rsidRPr="00661DDA" w:rsidRDefault="00925D46" w:rsidP="00661DDA">
            <w:pPr>
              <w:pStyle w:val="Odstavecseseznamem"/>
              <w:numPr>
                <w:ilvl w:val="0"/>
                <w:numId w:val="2"/>
              </w:numPr>
              <w:spacing w:after="40"/>
              <w:rPr>
                <w:lang w:val="cs-CZ"/>
              </w:rPr>
            </w:pPr>
            <w:r w:rsidRPr="00661DDA">
              <w:rPr>
                <w:sz w:val="18"/>
                <w:szCs w:val="18"/>
                <w:lang w:val="cs-CZ"/>
              </w:rPr>
              <w:t>doporučení v bodě 6.5 (jasné vymezení kompetencí) uvést do souladu s funkčním rozdělením rolí, které již v ČR existuje: dotační podpora (CRR, API), dluhové financování (NRB), kapitálové financování (NRI). Státní fondy v roli věcného gestora, nikoli paralelního finančního implementátora.</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848D30E" w14:textId="77777777" w:rsidR="00EA0986" w:rsidRPr="00294E6C" w:rsidRDefault="00EA0986">
            <w:pPr>
              <w:rPr>
                <w:lang w:val="cs-CZ"/>
              </w:rPr>
            </w:pPr>
          </w:p>
        </w:tc>
      </w:tr>
      <w:tr w:rsidR="00EA0986" w:rsidRPr="00294E6C" w14:paraId="723F9950"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31D0CA" w14:textId="77777777" w:rsidR="00EA0986" w:rsidRPr="00294E6C" w:rsidRDefault="00925D46">
            <w:pPr>
              <w:jc w:val="center"/>
              <w:rPr>
                <w:lang w:val="cs-CZ"/>
              </w:rPr>
            </w:pPr>
            <w:r w:rsidRPr="00294E6C">
              <w:rPr>
                <w:b/>
                <w:bCs/>
                <w:sz w:val="18"/>
                <w:szCs w:val="18"/>
                <w:lang w:val="cs-CZ"/>
              </w:rPr>
              <w:t>13</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023C519" w14:textId="77AB8188"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74D49B1"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B10DDA5" w14:textId="77777777" w:rsidR="00EA0986" w:rsidRPr="00294E6C" w:rsidRDefault="00925D46">
            <w:pPr>
              <w:rPr>
                <w:lang w:val="cs-CZ"/>
              </w:rPr>
            </w:pPr>
            <w:r w:rsidRPr="00294E6C">
              <w:rPr>
                <w:sz w:val="18"/>
                <w:szCs w:val="18"/>
                <w:lang w:val="cs-CZ"/>
              </w:rPr>
              <w:t>Materiál (část III.), kap. 6.2 – Doporučení k rozšíření mandátu SFPI</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59EAD12" w14:textId="428D9156" w:rsidR="00EA0986" w:rsidRPr="00661DDA" w:rsidRDefault="00925D46" w:rsidP="00CF3128">
            <w:pPr>
              <w:spacing w:after="60"/>
              <w:rPr>
                <w:lang w:val="cs-CZ"/>
              </w:rPr>
            </w:pPr>
            <w:r w:rsidRPr="00661DDA">
              <w:rPr>
                <w:color w:val="444444"/>
                <w:sz w:val="18"/>
                <w:szCs w:val="18"/>
                <w:lang w:val="cs-CZ"/>
              </w:rPr>
              <w:t>Navrhovaná doporučení jsou v plném rozporu s celým dokumentem – posílení role FN vs. fragmentace implementačních partnerů, jelikož není cílem vytvářet „duplicitu“ k NRB. ČR je malá ekonomika na to, aby měla luxus 2 stejných institucí.</w:t>
            </w:r>
          </w:p>
          <w:p w14:paraId="13628108" w14:textId="77777777" w:rsidR="00EA0986" w:rsidRPr="00661DDA" w:rsidRDefault="00925D46">
            <w:pPr>
              <w:spacing w:after="60"/>
              <w:rPr>
                <w:lang w:val="cs-CZ"/>
              </w:rPr>
            </w:pPr>
            <w:r w:rsidRPr="00661DDA">
              <w:rPr>
                <w:sz w:val="18"/>
                <w:szCs w:val="18"/>
                <w:lang w:val="cs-CZ"/>
              </w:rPr>
              <w:lastRenderedPageBreak/>
              <w:t>Tento názor je v souladu s analytickou částí materiálu a se zahraniční dobrou praxí (</w:t>
            </w:r>
            <w:proofErr w:type="spellStart"/>
            <w:r w:rsidRPr="00661DDA">
              <w:rPr>
                <w:sz w:val="18"/>
                <w:szCs w:val="18"/>
                <w:lang w:val="cs-CZ"/>
              </w:rPr>
              <w:t>KfW</w:t>
            </w:r>
            <w:proofErr w:type="spellEnd"/>
            <w:r w:rsidRPr="00661DDA">
              <w:rPr>
                <w:sz w:val="18"/>
                <w:szCs w:val="18"/>
                <w:lang w:val="cs-CZ"/>
              </w:rPr>
              <w:t>, BGK, EIB), kde každý segment finančního trhu obsluhuje jedna specializovaná instituce s jasným mandátem, nikoli paralelní fondy.</w:t>
            </w:r>
          </w:p>
          <w:p w14:paraId="44FCBC30" w14:textId="77777777" w:rsidR="00EA0986" w:rsidRPr="00294E6C" w:rsidRDefault="00925D46">
            <w:pPr>
              <w:spacing w:after="60"/>
              <w:rPr>
                <w:highlight w:val="green"/>
                <w:lang w:val="cs-CZ"/>
              </w:rPr>
            </w:pPr>
            <w:r w:rsidRPr="00661DDA">
              <w:rPr>
                <w:b/>
                <w:bCs/>
                <w:sz w:val="18"/>
                <w:szCs w:val="18"/>
                <w:lang w:val="cs-CZ"/>
              </w:rPr>
              <w:t xml:space="preserve">Požadujeme veškerá doporučení směřující k rozšíření mandátu SFPI a posílení jeho role jako finančního implementátora z materiálu vypustit. </w:t>
            </w:r>
            <w:r w:rsidRPr="00661DDA">
              <w:rPr>
                <w:sz w:val="18"/>
                <w:szCs w:val="18"/>
                <w:lang w:val="cs-CZ"/>
              </w:rPr>
              <w:t>Konkrétně se to týká oddílů „Doporučená řešení“ a „Přínosy legislativní úpravy“ v kap. 6.2 (zákon č. 211/2000 Sb.), které byly v interní verzi materiálu připravené NRB již navrženy ke smazání v plném rozsahu.</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ECC64B1" w14:textId="77777777" w:rsidR="00EA0986" w:rsidRPr="00294E6C" w:rsidRDefault="00EA0986">
            <w:pPr>
              <w:rPr>
                <w:lang w:val="cs-CZ"/>
              </w:rPr>
            </w:pPr>
          </w:p>
        </w:tc>
      </w:tr>
      <w:tr w:rsidR="00EA0986" w:rsidRPr="00294E6C" w14:paraId="13202A90"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CE9890D" w14:textId="77777777" w:rsidR="00EA0986" w:rsidRPr="00294E6C" w:rsidRDefault="00925D46">
            <w:pPr>
              <w:jc w:val="center"/>
              <w:rPr>
                <w:lang w:val="cs-CZ"/>
              </w:rPr>
            </w:pPr>
            <w:r w:rsidRPr="00294E6C">
              <w:rPr>
                <w:b/>
                <w:bCs/>
                <w:sz w:val="18"/>
                <w:szCs w:val="18"/>
                <w:lang w:val="cs-CZ"/>
              </w:rPr>
              <w:t>14</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3B7C47" w14:textId="09952703"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31BB7B6"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963AE23" w14:textId="77777777" w:rsidR="00EA0986" w:rsidRPr="00294E6C" w:rsidRDefault="00925D46">
            <w:pPr>
              <w:rPr>
                <w:lang w:val="cs-CZ"/>
              </w:rPr>
            </w:pPr>
            <w:r w:rsidRPr="00294E6C">
              <w:rPr>
                <w:sz w:val="18"/>
                <w:szCs w:val="18"/>
                <w:lang w:val="cs-CZ"/>
              </w:rPr>
              <w:t>Materiál (část III.), kap. V – Implementační architektura, využití SFPI a CRR pro územní poradenství</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FF5C22D" w14:textId="39093544" w:rsidR="00EA0986" w:rsidRPr="00294E6C" w:rsidRDefault="00925D46" w:rsidP="00CF3128">
            <w:pPr>
              <w:spacing w:after="60"/>
              <w:rPr>
                <w:lang w:val="cs-CZ"/>
              </w:rPr>
            </w:pPr>
            <w:r w:rsidRPr="00661DDA">
              <w:rPr>
                <w:color w:val="444444"/>
                <w:sz w:val="18"/>
                <w:szCs w:val="18"/>
                <w:lang w:val="cs-CZ"/>
              </w:rPr>
              <w:t>Vzhledem k tomu, že CRR není subjektem, který by realizoval finanční nástroje, tak opět bude docházet k fragmentaci struktury, kdy jeden subjekt bude poskytovat poradenství (CRR) a druhý subjekt bude poskytovat financování (NRB). Vhodnější by bylo koncentrovat obojí do jednoho balíčku poskytovaného jedním subjektem.</w:t>
            </w:r>
          </w:p>
          <w:p w14:paraId="12273DDF" w14:textId="77777777" w:rsidR="00EA0986" w:rsidRPr="00294E6C" w:rsidRDefault="00925D46">
            <w:pPr>
              <w:spacing w:after="60"/>
              <w:rPr>
                <w:lang w:val="cs-CZ"/>
              </w:rPr>
            </w:pPr>
            <w:r w:rsidRPr="00294E6C">
              <w:rPr>
                <w:b/>
                <w:bCs/>
                <w:sz w:val="18"/>
                <w:szCs w:val="18"/>
                <w:lang w:val="cs-CZ"/>
              </w:rPr>
              <w:t xml:space="preserve">Požadujeme z pasáže o využití „stávajících sítí, institucionálních kapacit a územní působnosti existujících subjektů“ vypustit jmenovité odkazy na SFPI a CRR jako poradenské subjekty pro FN. </w:t>
            </w:r>
            <w:r w:rsidRPr="00294E6C">
              <w:rPr>
                <w:sz w:val="18"/>
                <w:szCs w:val="18"/>
                <w:lang w:val="cs-CZ"/>
              </w:rPr>
              <w:t xml:space="preserve">Poradenství k finančním nástrojům a samotné financování mají být poskytovány jedním subjektem (NRB jako </w:t>
            </w:r>
            <w:proofErr w:type="spellStart"/>
            <w:r w:rsidRPr="00294E6C">
              <w:rPr>
                <w:sz w:val="18"/>
                <w:szCs w:val="18"/>
                <w:lang w:val="cs-CZ"/>
              </w:rPr>
              <w:t>InvestEU</w:t>
            </w:r>
            <w:proofErr w:type="spellEnd"/>
            <w:r w:rsidRPr="00294E6C">
              <w:rPr>
                <w:sz w:val="18"/>
                <w:szCs w:val="18"/>
                <w:lang w:val="cs-CZ"/>
              </w:rPr>
              <w:t xml:space="preserve"> Advisory Partner od Q2/2026), nikoli rozdělené mezi další instituce, které by vytvářely další administrativní vrstvu mezi konečným příjemcem a financujícím partnerem.</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67D61DE" w14:textId="77777777" w:rsidR="00EA0986" w:rsidRPr="00294E6C" w:rsidRDefault="00EA0986">
            <w:pPr>
              <w:rPr>
                <w:lang w:val="cs-CZ"/>
              </w:rPr>
            </w:pPr>
          </w:p>
        </w:tc>
      </w:tr>
      <w:tr w:rsidR="00EA0986" w:rsidRPr="00294E6C" w14:paraId="1AFE6F19"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40D9088" w14:textId="77777777" w:rsidR="00EA0986" w:rsidRPr="00294E6C" w:rsidRDefault="00925D46">
            <w:pPr>
              <w:jc w:val="center"/>
              <w:rPr>
                <w:lang w:val="cs-CZ"/>
              </w:rPr>
            </w:pPr>
            <w:r w:rsidRPr="00294E6C">
              <w:rPr>
                <w:b/>
                <w:bCs/>
                <w:sz w:val="18"/>
                <w:szCs w:val="18"/>
                <w:lang w:val="cs-CZ"/>
              </w:rPr>
              <w:t>15</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76E906B" w14:textId="0DBBA456"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7A718A2"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068EECB" w14:textId="77777777" w:rsidR="00EA0986" w:rsidRPr="00294E6C" w:rsidRDefault="00925D46">
            <w:pPr>
              <w:rPr>
                <w:lang w:val="cs-CZ"/>
              </w:rPr>
            </w:pPr>
            <w:r w:rsidRPr="00294E6C">
              <w:rPr>
                <w:sz w:val="18"/>
                <w:szCs w:val="18"/>
                <w:lang w:val="cs-CZ"/>
              </w:rPr>
              <w:t>Materiál (část III.), kap. V – „NRB jako finanční integrátor a partner pro trh“</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4572AE0" w14:textId="77777777" w:rsidR="00EA0986" w:rsidRPr="00294E6C" w:rsidRDefault="00925D46">
            <w:pPr>
              <w:spacing w:after="60"/>
              <w:rPr>
                <w:lang w:val="cs-CZ"/>
              </w:rPr>
            </w:pPr>
            <w:r w:rsidRPr="00294E6C">
              <w:rPr>
                <w:sz w:val="18"/>
                <w:szCs w:val="18"/>
                <w:lang w:val="cs-CZ"/>
              </w:rPr>
              <w:t>Konstrukce, ve které jiné subjekty (SFŽP, SFPI, SFDI, PGRLF) implementují finanční nástroje a NRB má pro ně „zajišťovat mobilizaci soukromého kapitálu“, je věcně nekoherentní. Mobilizace soukromého kapitálu je neoddělitelná od strukturování konkrétního nástroje, řízení rizik a vztahu s finančními partnery; nelze ji „outsourcovat“ na jiný subjekt mimo implementaci.</w:t>
            </w:r>
          </w:p>
          <w:p w14:paraId="0F149C0F" w14:textId="77777777" w:rsidR="00EA0986" w:rsidRPr="00294E6C" w:rsidRDefault="00925D46">
            <w:pPr>
              <w:spacing w:after="60"/>
              <w:rPr>
                <w:lang w:val="cs-CZ"/>
              </w:rPr>
            </w:pPr>
            <w:r w:rsidRPr="00294E6C">
              <w:rPr>
                <w:b/>
                <w:bCs/>
                <w:sz w:val="18"/>
                <w:szCs w:val="18"/>
                <w:lang w:val="cs-CZ"/>
              </w:rPr>
              <w:t xml:space="preserve">Požadujeme tuto pasáž vypustit nebo zásadně přeformulovat tak, aby reflektovala, že mobilizaci soukromého kapitálu zajišťuje ten subjekt, který nástroj implementuje. </w:t>
            </w:r>
            <w:r w:rsidRPr="00294E6C">
              <w:rPr>
                <w:sz w:val="18"/>
                <w:szCs w:val="18"/>
                <w:lang w:val="cs-CZ"/>
              </w:rPr>
              <w:t>Z toho přirozeně plyne, že implementace nástrojů, u nichž je mobilizace soukromého kapitálu klíčová, má příslušet skupině NRB jako jedinému subjektu s prokázanou schopností tuto funkci plnit.</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B3A645" w14:textId="77777777" w:rsidR="00EA0986" w:rsidRPr="00294E6C" w:rsidRDefault="00EA0986">
            <w:pPr>
              <w:rPr>
                <w:lang w:val="cs-CZ"/>
              </w:rPr>
            </w:pPr>
          </w:p>
        </w:tc>
      </w:tr>
      <w:tr w:rsidR="00EA0986" w:rsidRPr="00294E6C" w14:paraId="522F9D96"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DF8D73E" w14:textId="77777777" w:rsidR="00EA0986" w:rsidRPr="00294E6C" w:rsidRDefault="00925D46">
            <w:pPr>
              <w:jc w:val="center"/>
              <w:rPr>
                <w:lang w:val="cs-CZ"/>
              </w:rPr>
            </w:pPr>
            <w:r w:rsidRPr="00294E6C">
              <w:rPr>
                <w:b/>
                <w:bCs/>
                <w:sz w:val="18"/>
                <w:szCs w:val="18"/>
                <w:lang w:val="cs-CZ"/>
              </w:rPr>
              <w:t>16</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E66321A" w14:textId="474A701B"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19CDB58"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997BF3F" w14:textId="77777777" w:rsidR="00EA0986" w:rsidRPr="00294E6C" w:rsidRDefault="00925D46">
            <w:pPr>
              <w:rPr>
                <w:lang w:val="cs-CZ"/>
              </w:rPr>
            </w:pPr>
            <w:r w:rsidRPr="00294E6C">
              <w:rPr>
                <w:sz w:val="18"/>
                <w:szCs w:val="18"/>
                <w:lang w:val="cs-CZ"/>
              </w:rPr>
              <w:t>Materiál (část III.), kap. V – Decentralizovaný model implementace, údajné synergie mezi NRB a státními fondy</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80EA7A9" w14:textId="77777777" w:rsidR="00EA0986" w:rsidRPr="00294E6C" w:rsidRDefault="00925D46">
            <w:pPr>
              <w:spacing w:after="60"/>
              <w:rPr>
                <w:lang w:val="cs-CZ"/>
              </w:rPr>
            </w:pPr>
            <w:r w:rsidRPr="00294E6C">
              <w:rPr>
                <w:sz w:val="18"/>
                <w:szCs w:val="18"/>
                <w:lang w:val="cs-CZ"/>
              </w:rPr>
              <w:t>Tvrzení o synergiích mezi NRB a státními fondy v decentralizovaném modelu není v materiálu ničím doloženo. V aktuální praxi (období 2021–2027) jsou finanční nástroje NRB, SFŽP a SFPI připravovány samostatně, bez sdílených metodik, společných IT systémů či koordinovaného přístupu na trh.</w:t>
            </w:r>
          </w:p>
          <w:p w14:paraId="4542ED10" w14:textId="77777777" w:rsidR="00EA0986" w:rsidRPr="00294E6C" w:rsidRDefault="00925D46">
            <w:pPr>
              <w:spacing w:after="60"/>
              <w:rPr>
                <w:lang w:val="cs-CZ"/>
              </w:rPr>
            </w:pPr>
            <w:r w:rsidRPr="00294E6C">
              <w:rPr>
                <w:b/>
                <w:bCs/>
                <w:sz w:val="18"/>
                <w:szCs w:val="18"/>
                <w:lang w:val="cs-CZ"/>
              </w:rPr>
              <w:t xml:space="preserve">Požadujeme doložit, v čem konkrétně mají údajné synergie spočívat, případně toto tvrzení z materiálu vypustit. </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38D6384" w14:textId="77777777" w:rsidR="00EA0986" w:rsidRPr="00294E6C" w:rsidRDefault="00EA0986">
            <w:pPr>
              <w:rPr>
                <w:lang w:val="cs-CZ"/>
              </w:rPr>
            </w:pPr>
          </w:p>
        </w:tc>
      </w:tr>
      <w:tr w:rsidR="00EA0986" w:rsidRPr="00294E6C" w14:paraId="33F707E3"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7BD6D25" w14:textId="77777777" w:rsidR="00EA0986" w:rsidRPr="00294E6C" w:rsidRDefault="00925D46">
            <w:pPr>
              <w:jc w:val="center"/>
              <w:rPr>
                <w:lang w:val="cs-CZ"/>
              </w:rPr>
            </w:pPr>
            <w:r w:rsidRPr="00294E6C">
              <w:rPr>
                <w:b/>
                <w:bCs/>
                <w:sz w:val="18"/>
                <w:szCs w:val="18"/>
                <w:lang w:val="cs-CZ"/>
              </w:rPr>
              <w:t>17</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10DC44" w14:textId="04658FCD"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6DEDC8A"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EBF910C" w14:textId="77777777" w:rsidR="00EA0986" w:rsidRPr="00294E6C" w:rsidRDefault="00925D46">
            <w:pPr>
              <w:rPr>
                <w:lang w:val="cs-CZ"/>
              </w:rPr>
            </w:pPr>
            <w:r w:rsidRPr="00294E6C">
              <w:rPr>
                <w:sz w:val="18"/>
                <w:szCs w:val="18"/>
                <w:lang w:val="cs-CZ"/>
              </w:rPr>
              <w:t>Materiál (část III.), kap. V – Decentralizovaný model, chybějící náklady fragmentace</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944EDF4" w14:textId="72C7DDFB" w:rsidR="00EA0986" w:rsidRPr="00294E6C" w:rsidRDefault="00925D46" w:rsidP="00CF3128">
            <w:pPr>
              <w:spacing w:after="60"/>
              <w:rPr>
                <w:lang w:val="cs-CZ"/>
              </w:rPr>
            </w:pPr>
            <w:r w:rsidRPr="00661DDA">
              <w:rPr>
                <w:color w:val="444444"/>
                <w:sz w:val="18"/>
                <w:szCs w:val="18"/>
                <w:lang w:val="cs-CZ"/>
              </w:rPr>
              <w:t>Mezi slabými stránkami a riziky chybí celkově vyšší náklady na realizaci finančních nástrojů. Každý FN má v podstatě bez ohledu na velikost fixní náklady, stejně tak každá instituce má fixní náklady (zejména v rovině obslužných procesů), které se tedy v tomto modelu budou platit několikrát.</w:t>
            </w:r>
          </w:p>
          <w:p w14:paraId="74699622" w14:textId="77777777" w:rsidR="00EA0986" w:rsidRPr="00294E6C" w:rsidRDefault="00925D46">
            <w:pPr>
              <w:spacing w:after="60"/>
              <w:rPr>
                <w:lang w:val="cs-CZ"/>
              </w:rPr>
            </w:pPr>
            <w:r w:rsidRPr="00294E6C">
              <w:rPr>
                <w:b/>
                <w:bCs/>
                <w:sz w:val="18"/>
                <w:szCs w:val="18"/>
                <w:lang w:val="cs-CZ"/>
              </w:rPr>
              <w:t>Požadujeme do hodnocení decentralizovaného modelu (slabé stránky a rizika) doplnit:</w:t>
            </w:r>
          </w:p>
          <w:p w14:paraId="11B19728" w14:textId="77777777" w:rsidR="00EA0986" w:rsidRPr="00294E6C" w:rsidRDefault="00925D46">
            <w:pPr>
              <w:pStyle w:val="Odstavecseseznamem"/>
              <w:numPr>
                <w:ilvl w:val="0"/>
                <w:numId w:val="2"/>
              </w:numPr>
              <w:spacing w:after="40"/>
              <w:rPr>
                <w:lang w:val="cs-CZ"/>
              </w:rPr>
            </w:pPr>
            <w:r w:rsidRPr="00294E6C">
              <w:rPr>
                <w:sz w:val="18"/>
                <w:szCs w:val="18"/>
                <w:lang w:val="cs-CZ"/>
              </w:rPr>
              <w:lastRenderedPageBreak/>
              <w:t>dvojí fixní náklady – na úrovni každého jednotlivého finančního nástroje a na úrovni každé implementační instituce (IT systémy, riziková politika, právní zázemí, audit, reporting);</w:t>
            </w:r>
          </w:p>
          <w:p w14:paraId="6500964C" w14:textId="77777777" w:rsidR="00EA0986" w:rsidRPr="00294E6C" w:rsidRDefault="00925D46">
            <w:pPr>
              <w:pStyle w:val="Odstavecseseznamem"/>
              <w:numPr>
                <w:ilvl w:val="0"/>
                <w:numId w:val="2"/>
              </w:numPr>
              <w:spacing w:after="40"/>
              <w:rPr>
                <w:lang w:val="cs-CZ"/>
              </w:rPr>
            </w:pPr>
            <w:r w:rsidRPr="00294E6C">
              <w:rPr>
                <w:sz w:val="18"/>
                <w:szCs w:val="18"/>
                <w:lang w:val="cs-CZ"/>
              </w:rPr>
              <w:t>kvantifikaci nebo alespoň rámcový odhad těchto vícenákladů na konkrétních příkladech z období 2021–2027 (paralelní implementace u NRB, SFŽP a SFPI).</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292C75C" w14:textId="77777777" w:rsidR="00EA0986" w:rsidRPr="00294E6C" w:rsidRDefault="00EA0986">
            <w:pPr>
              <w:rPr>
                <w:lang w:val="cs-CZ"/>
              </w:rPr>
            </w:pPr>
          </w:p>
        </w:tc>
      </w:tr>
      <w:tr w:rsidR="00661DDA" w:rsidRPr="00294E6C" w14:paraId="75165374"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F36AD6D" w14:textId="4F3E5E20" w:rsidR="00661DDA" w:rsidRPr="00294E6C" w:rsidRDefault="00661DDA">
            <w:pPr>
              <w:jc w:val="center"/>
              <w:rPr>
                <w:b/>
                <w:bCs/>
                <w:sz w:val="18"/>
                <w:szCs w:val="18"/>
                <w:lang w:val="cs-CZ"/>
              </w:rPr>
            </w:pPr>
            <w:r>
              <w:rPr>
                <w:b/>
                <w:bCs/>
                <w:sz w:val="18"/>
                <w:szCs w:val="18"/>
                <w:lang w:val="cs-CZ"/>
              </w:rPr>
              <w:t>18</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FA80239" w14:textId="77777777" w:rsidR="00661DDA" w:rsidRPr="00294E6C" w:rsidRDefault="00661DDA">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B69ED18" w14:textId="47EAFBF8" w:rsidR="00661DDA" w:rsidRPr="00294E6C" w:rsidRDefault="00661DDA">
            <w:pPr>
              <w:rPr>
                <w:b/>
                <w:bCs/>
                <w:color w:val="C00000"/>
                <w:sz w:val="18"/>
                <w:szCs w:val="18"/>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FC167F1" w14:textId="2AC43A54" w:rsidR="005E0170" w:rsidRDefault="005E0170">
            <w:pPr>
              <w:rPr>
                <w:sz w:val="18"/>
                <w:szCs w:val="18"/>
                <w:lang w:val="cs-CZ"/>
              </w:rPr>
            </w:pPr>
            <w:r w:rsidRPr="00294E6C">
              <w:rPr>
                <w:sz w:val="18"/>
                <w:szCs w:val="18"/>
                <w:lang w:val="cs-CZ"/>
              </w:rPr>
              <w:t xml:space="preserve">Materiál </w:t>
            </w:r>
            <w:r>
              <w:rPr>
                <w:sz w:val="18"/>
                <w:szCs w:val="18"/>
                <w:lang w:val="cs-CZ"/>
              </w:rPr>
              <w:t xml:space="preserve">– část manažerské shrnutí a závěr </w:t>
            </w:r>
          </w:p>
          <w:p w14:paraId="69B987E2" w14:textId="2BAE6B1F" w:rsidR="00661DDA" w:rsidRPr="00294E6C" w:rsidRDefault="00661DDA">
            <w:pPr>
              <w:rPr>
                <w:sz w:val="18"/>
                <w:szCs w:val="18"/>
                <w:lang w:val="cs-CZ"/>
              </w:rPr>
            </w:pP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225695E" w14:textId="0EAFE90E" w:rsidR="00DE7EE1" w:rsidRPr="00DE7EE1" w:rsidRDefault="00DE7EE1" w:rsidP="005E0170">
            <w:pPr>
              <w:spacing w:after="60"/>
              <w:jc w:val="both"/>
              <w:rPr>
                <w:sz w:val="18"/>
                <w:szCs w:val="18"/>
                <w:lang w:val="cs-CZ"/>
              </w:rPr>
            </w:pPr>
            <w:r w:rsidRPr="00DE7EE1">
              <w:rPr>
                <w:sz w:val="18"/>
                <w:szCs w:val="18"/>
                <w:lang w:val="cs-CZ"/>
              </w:rPr>
              <w:t>Pro účinnější využívání finančních nástrojů v ČR je nezbytné přijmout systematickou změnu založenou na principu finanční kaskády mezi finančními nástroji a dotacemi, která v podmínkách fiskálních omezení povede ke zvýšení podílu návratných nástrojů (ČR využívá jenom cca 2,</w:t>
            </w:r>
            <w:r>
              <w:rPr>
                <w:sz w:val="18"/>
                <w:szCs w:val="18"/>
                <w:lang w:val="cs-CZ"/>
              </w:rPr>
              <w:t>4</w:t>
            </w:r>
            <w:r w:rsidRPr="00DE7EE1">
              <w:rPr>
                <w:sz w:val="18"/>
                <w:szCs w:val="18"/>
                <w:lang w:val="cs-CZ"/>
              </w:rPr>
              <w:t xml:space="preserve"> % v oproti přibližně 9 % v EU FN z podílu programu EU).</w:t>
            </w:r>
          </w:p>
          <w:p w14:paraId="6C7CEE3B" w14:textId="1A583AF0" w:rsidR="00DE7EE1" w:rsidRDefault="00DE7EE1" w:rsidP="005E0170">
            <w:pPr>
              <w:spacing w:after="60"/>
              <w:jc w:val="both"/>
              <w:rPr>
                <w:sz w:val="18"/>
                <w:szCs w:val="18"/>
                <w:lang w:val="cs-CZ"/>
              </w:rPr>
            </w:pPr>
            <w:r w:rsidRPr="00DE7EE1">
              <w:rPr>
                <w:sz w:val="18"/>
                <w:szCs w:val="18"/>
                <w:lang w:val="cs-CZ"/>
              </w:rPr>
              <w:t>Trendem v architektuře evropských investičních programů je vytváření jednotného a zastřešujícího rámce pro programy podporující investice, tj finanční nástroje (</w:t>
            </w:r>
            <w:proofErr w:type="spellStart"/>
            <w:r w:rsidRPr="00DE7EE1">
              <w:rPr>
                <w:sz w:val="18"/>
                <w:szCs w:val="18"/>
                <w:lang w:val="cs-CZ"/>
              </w:rPr>
              <w:t>InvestEU</w:t>
            </w:r>
            <w:proofErr w:type="spellEnd"/>
            <w:r w:rsidRPr="00DE7EE1">
              <w:rPr>
                <w:sz w:val="18"/>
                <w:szCs w:val="18"/>
                <w:lang w:val="cs-CZ"/>
              </w:rPr>
              <w:t xml:space="preserve"> nebo Evropský fond pro konkurenceschopnost), a i proto je vhodné nastavit architekturu FN v ČR v jednotném rámci programu/komponenty.</w:t>
            </w:r>
          </w:p>
          <w:p w14:paraId="5C29A6D9" w14:textId="36A2D6FB" w:rsidR="00DE7EE1" w:rsidRDefault="00DE7EE1" w:rsidP="005E0170">
            <w:pPr>
              <w:spacing w:after="60"/>
              <w:jc w:val="both"/>
              <w:rPr>
                <w:sz w:val="18"/>
                <w:szCs w:val="18"/>
                <w:lang w:val="cs-CZ"/>
              </w:rPr>
            </w:pPr>
            <w:r w:rsidRPr="00DE7EE1">
              <w:rPr>
                <w:sz w:val="18"/>
                <w:szCs w:val="18"/>
                <w:lang w:val="cs-CZ"/>
              </w:rPr>
              <w:t>Posílením centralizovaného modelu s primárním implementačním partnerem podléhajícím regulaci, který systematicky posuzuje vhodnost jednotlivých typů finančních nástrojů pro realizaci s ohledem na míru rizika, návratnost, investiční horizont a věcné zaměření podpory, lze dosáhnout vyšší efektivity a kvalitnější alokace veřejných prostředků.</w:t>
            </w:r>
          </w:p>
          <w:p w14:paraId="4DCB700F" w14:textId="77777777" w:rsidR="00DE7EE1" w:rsidRDefault="00DE7EE1" w:rsidP="00DE7EE1">
            <w:pPr>
              <w:spacing w:after="60"/>
              <w:rPr>
                <w:sz w:val="18"/>
                <w:szCs w:val="18"/>
                <w:lang w:val="cs-CZ"/>
              </w:rPr>
            </w:pPr>
          </w:p>
          <w:p w14:paraId="4C245AD7" w14:textId="571F2F1E" w:rsidR="00661DDA" w:rsidRDefault="00DE7EE1" w:rsidP="00661DDA">
            <w:pPr>
              <w:spacing w:after="60"/>
              <w:rPr>
                <w:b/>
                <w:bCs/>
                <w:sz w:val="18"/>
                <w:szCs w:val="18"/>
                <w:lang w:val="cs-CZ"/>
              </w:rPr>
            </w:pPr>
            <w:r>
              <w:rPr>
                <w:sz w:val="18"/>
                <w:szCs w:val="18"/>
                <w:lang w:val="cs-CZ"/>
              </w:rPr>
              <w:t xml:space="preserve"> </w:t>
            </w:r>
            <w:r w:rsidRPr="00294E6C">
              <w:rPr>
                <w:b/>
                <w:bCs/>
                <w:sz w:val="18"/>
                <w:szCs w:val="18"/>
                <w:lang w:val="cs-CZ"/>
              </w:rPr>
              <w:t xml:space="preserve">Požadujeme </w:t>
            </w:r>
            <w:r w:rsidR="00661DDA" w:rsidRPr="00294E6C">
              <w:rPr>
                <w:b/>
                <w:bCs/>
                <w:sz w:val="18"/>
                <w:szCs w:val="18"/>
                <w:lang w:val="cs-CZ"/>
              </w:rPr>
              <w:t xml:space="preserve">tuto logiku promítnout do </w:t>
            </w:r>
            <w:r>
              <w:rPr>
                <w:b/>
                <w:bCs/>
                <w:sz w:val="18"/>
                <w:szCs w:val="18"/>
                <w:lang w:val="cs-CZ"/>
              </w:rPr>
              <w:t>nastavení programu:</w:t>
            </w:r>
          </w:p>
          <w:p w14:paraId="3E22D0FA" w14:textId="3C8853C6" w:rsidR="00DE7EE1" w:rsidRDefault="00DE7EE1" w:rsidP="00DE7EE1">
            <w:pPr>
              <w:pStyle w:val="Odstavecseseznamem"/>
              <w:numPr>
                <w:ilvl w:val="0"/>
                <w:numId w:val="4"/>
              </w:numPr>
              <w:spacing w:after="60"/>
              <w:rPr>
                <w:sz w:val="18"/>
                <w:szCs w:val="18"/>
                <w:lang w:val="cs-CZ"/>
              </w:rPr>
            </w:pPr>
            <w:r>
              <w:rPr>
                <w:sz w:val="18"/>
                <w:szCs w:val="18"/>
                <w:lang w:val="cs-CZ"/>
              </w:rPr>
              <w:t>poměr FN na NRPP implementovaný skupinou NRB v období 2028+ představuje min 20% alokace zdrojů (tj cca 20mld Kč), které umožní realizaci Dlouhodobé Strategie NRB schválen</w:t>
            </w:r>
            <w:r w:rsidR="005E0170">
              <w:rPr>
                <w:sz w:val="18"/>
                <w:szCs w:val="18"/>
                <w:lang w:val="cs-CZ"/>
              </w:rPr>
              <w:t>ou</w:t>
            </w:r>
            <w:r>
              <w:rPr>
                <w:sz w:val="18"/>
                <w:szCs w:val="18"/>
                <w:lang w:val="cs-CZ"/>
              </w:rPr>
              <w:t xml:space="preserve"> vládou, pro dosáhnutí</w:t>
            </w:r>
            <w:r w:rsidR="005E0170">
              <w:rPr>
                <w:sz w:val="18"/>
                <w:szCs w:val="18"/>
                <w:lang w:val="cs-CZ"/>
              </w:rPr>
              <w:t xml:space="preserve"> milníku</w:t>
            </w:r>
            <w:r>
              <w:rPr>
                <w:sz w:val="18"/>
                <w:szCs w:val="18"/>
                <w:lang w:val="cs-CZ"/>
              </w:rPr>
              <w:t xml:space="preserve"> financování investic v ČR v objemu </w:t>
            </w:r>
            <w:proofErr w:type="gramStart"/>
            <w:r>
              <w:rPr>
                <w:sz w:val="18"/>
                <w:szCs w:val="18"/>
                <w:lang w:val="cs-CZ"/>
              </w:rPr>
              <w:t>1%</w:t>
            </w:r>
            <w:proofErr w:type="gramEnd"/>
            <w:r>
              <w:rPr>
                <w:sz w:val="18"/>
                <w:szCs w:val="18"/>
                <w:lang w:val="cs-CZ"/>
              </w:rPr>
              <w:t xml:space="preserve"> HDP,</w:t>
            </w:r>
          </w:p>
          <w:p w14:paraId="0C644118" w14:textId="228F80EC" w:rsidR="00DE7EE1" w:rsidRPr="00DE7EE1" w:rsidRDefault="00DE7EE1" w:rsidP="00DE7EE1">
            <w:pPr>
              <w:pStyle w:val="Odstavecseseznamem"/>
              <w:numPr>
                <w:ilvl w:val="0"/>
                <w:numId w:val="4"/>
              </w:numPr>
              <w:spacing w:after="60"/>
              <w:rPr>
                <w:sz w:val="18"/>
                <w:szCs w:val="18"/>
                <w:lang w:val="cs-CZ"/>
              </w:rPr>
            </w:pPr>
            <w:r>
              <w:rPr>
                <w:sz w:val="18"/>
                <w:szCs w:val="18"/>
                <w:lang w:val="cs-CZ"/>
              </w:rPr>
              <w:t>vytvořením architektury jednoho, centralizovaného operačního programu (komponenty) pro FN</w:t>
            </w:r>
            <w:r w:rsidR="005E0170">
              <w:rPr>
                <w:sz w:val="18"/>
                <w:szCs w:val="18"/>
                <w:lang w:val="cs-CZ"/>
              </w:rPr>
              <w:t xml:space="preserve"> napříč věcnými gescemi re</w:t>
            </w:r>
            <w:r w:rsidR="002F4E8A">
              <w:rPr>
                <w:sz w:val="18"/>
                <w:szCs w:val="18"/>
                <w:lang w:val="cs-CZ"/>
              </w:rPr>
              <w:t>s</w:t>
            </w:r>
            <w:r w:rsidR="005E0170">
              <w:rPr>
                <w:sz w:val="18"/>
                <w:szCs w:val="18"/>
                <w:lang w:val="cs-CZ"/>
              </w:rPr>
              <w:t>ortů, pro naplnění investičních strategií veřejných politik státu (re</w:t>
            </w:r>
            <w:r w:rsidR="002F4E8A">
              <w:rPr>
                <w:sz w:val="18"/>
                <w:szCs w:val="18"/>
                <w:lang w:val="cs-CZ"/>
              </w:rPr>
              <w:t>s</w:t>
            </w:r>
            <w:r w:rsidR="005E0170">
              <w:rPr>
                <w:sz w:val="18"/>
                <w:szCs w:val="18"/>
                <w:lang w:val="cs-CZ"/>
              </w:rPr>
              <w:t xml:space="preserve">orty nadále určují priority a strategie) </w:t>
            </w:r>
          </w:p>
          <w:p w14:paraId="0D9EE4F6" w14:textId="0947C1BE" w:rsidR="00661DDA" w:rsidRPr="00661DDA" w:rsidRDefault="00661DDA" w:rsidP="005E0170">
            <w:pPr>
              <w:spacing w:after="60"/>
              <w:rPr>
                <w:color w:val="444444"/>
                <w:sz w:val="18"/>
                <w:szCs w:val="18"/>
                <w:lang w:val="cs-CZ"/>
              </w:rPr>
            </w:pP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3C26E83" w14:textId="77777777" w:rsidR="00661DDA" w:rsidRPr="00294E6C" w:rsidRDefault="00661DDA">
            <w:pPr>
              <w:rPr>
                <w:lang w:val="cs-CZ"/>
              </w:rPr>
            </w:pPr>
          </w:p>
        </w:tc>
      </w:tr>
      <w:tr w:rsidR="00EA0986" w:rsidRPr="00294E6C" w14:paraId="0D8DF7FF"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62EB5ED" w14:textId="05AB8DC9" w:rsidR="00EA0986" w:rsidRPr="00294E6C" w:rsidRDefault="00925D46">
            <w:pPr>
              <w:jc w:val="center"/>
              <w:rPr>
                <w:lang w:val="cs-CZ"/>
              </w:rPr>
            </w:pPr>
            <w:r w:rsidRPr="00294E6C">
              <w:rPr>
                <w:b/>
                <w:bCs/>
                <w:sz w:val="18"/>
                <w:szCs w:val="18"/>
                <w:lang w:val="cs-CZ"/>
              </w:rPr>
              <w:t>1</w:t>
            </w:r>
            <w:r w:rsidR="005E0170">
              <w:rPr>
                <w:b/>
                <w:bCs/>
                <w:sz w:val="18"/>
                <w:szCs w:val="18"/>
                <w:lang w:val="cs-CZ"/>
              </w:rPr>
              <w:t>9</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905EDC9" w14:textId="2FAFC000"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8003B3"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11AAF09" w14:textId="77777777" w:rsidR="00EA0986" w:rsidRPr="00294E6C" w:rsidRDefault="00925D46">
            <w:pPr>
              <w:rPr>
                <w:lang w:val="cs-CZ"/>
              </w:rPr>
            </w:pPr>
            <w:r w:rsidRPr="00294E6C">
              <w:rPr>
                <w:sz w:val="18"/>
                <w:szCs w:val="18"/>
                <w:lang w:val="cs-CZ"/>
              </w:rPr>
              <w:t xml:space="preserve">Materiál (část III.), kap. V – Level </w:t>
            </w:r>
            <w:proofErr w:type="spellStart"/>
            <w:r w:rsidRPr="00294E6C">
              <w:rPr>
                <w:sz w:val="18"/>
                <w:szCs w:val="18"/>
                <w:lang w:val="cs-CZ"/>
              </w:rPr>
              <w:t>playing</w:t>
            </w:r>
            <w:proofErr w:type="spellEnd"/>
            <w:r w:rsidRPr="00294E6C">
              <w:rPr>
                <w:sz w:val="18"/>
                <w:szCs w:val="18"/>
                <w:lang w:val="cs-CZ"/>
              </w:rPr>
              <w:t xml:space="preserve"> </w:t>
            </w:r>
            <w:proofErr w:type="spellStart"/>
            <w:r w:rsidRPr="00294E6C">
              <w:rPr>
                <w:sz w:val="18"/>
                <w:szCs w:val="18"/>
                <w:lang w:val="cs-CZ"/>
              </w:rPr>
              <w:t>field</w:t>
            </w:r>
            <w:proofErr w:type="spellEnd"/>
            <w:r w:rsidRPr="00294E6C">
              <w:rPr>
                <w:sz w:val="18"/>
                <w:szCs w:val="18"/>
                <w:lang w:val="cs-CZ"/>
              </w:rPr>
              <w:t xml:space="preserve"> mezi EIB/EIF a NRB</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7D36691" w14:textId="77777777" w:rsidR="00EA0986" w:rsidRPr="00294E6C" w:rsidRDefault="00925D46">
            <w:pPr>
              <w:spacing w:after="60"/>
              <w:rPr>
                <w:lang w:val="cs-CZ"/>
              </w:rPr>
            </w:pPr>
            <w:r w:rsidRPr="00294E6C">
              <w:rPr>
                <w:b/>
                <w:bCs/>
                <w:sz w:val="18"/>
                <w:szCs w:val="18"/>
                <w:lang w:val="cs-CZ"/>
              </w:rPr>
              <w:t>Požadujeme:</w:t>
            </w:r>
          </w:p>
          <w:p w14:paraId="3412A85C" w14:textId="77777777" w:rsidR="00EA0986" w:rsidRPr="00294E6C" w:rsidRDefault="00925D46">
            <w:pPr>
              <w:pStyle w:val="Odstavecseseznamem"/>
              <w:numPr>
                <w:ilvl w:val="0"/>
                <w:numId w:val="2"/>
              </w:numPr>
              <w:spacing w:after="40"/>
              <w:rPr>
                <w:lang w:val="cs-CZ"/>
              </w:rPr>
            </w:pPr>
            <w:r w:rsidRPr="00294E6C">
              <w:rPr>
                <w:sz w:val="18"/>
                <w:szCs w:val="18"/>
                <w:lang w:val="cs-CZ"/>
              </w:rPr>
              <w:t>do materiálu (kap. V nebo VI) doplnit explicitní pojednání o narušení level-</w:t>
            </w:r>
            <w:proofErr w:type="spellStart"/>
            <w:r w:rsidRPr="00294E6C">
              <w:rPr>
                <w:sz w:val="18"/>
                <w:szCs w:val="18"/>
                <w:lang w:val="cs-CZ"/>
              </w:rPr>
              <w:t>playing</w:t>
            </w:r>
            <w:proofErr w:type="spellEnd"/>
            <w:r w:rsidRPr="00294E6C">
              <w:rPr>
                <w:sz w:val="18"/>
                <w:szCs w:val="18"/>
                <w:lang w:val="cs-CZ"/>
              </w:rPr>
              <w:t xml:space="preserve"> </w:t>
            </w:r>
            <w:proofErr w:type="spellStart"/>
            <w:r w:rsidRPr="00294E6C">
              <w:rPr>
                <w:sz w:val="18"/>
                <w:szCs w:val="18"/>
                <w:lang w:val="cs-CZ"/>
              </w:rPr>
              <w:t>field</w:t>
            </w:r>
            <w:proofErr w:type="spellEnd"/>
            <w:r w:rsidRPr="00294E6C">
              <w:rPr>
                <w:sz w:val="18"/>
                <w:szCs w:val="18"/>
                <w:lang w:val="cs-CZ"/>
              </w:rPr>
              <w:t xml:space="preserve"> mezi EIB/EIF a národními rozvojovými bankami a jeho dopadech na konkurenceschopnost NRB při získávání komerčních partnerů;</w:t>
            </w:r>
          </w:p>
          <w:p w14:paraId="4AD1A98A" w14:textId="77777777" w:rsidR="00EA0986" w:rsidRPr="00294E6C" w:rsidRDefault="00925D46">
            <w:pPr>
              <w:pStyle w:val="Odstavecseseznamem"/>
              <w:numPr>
                <w:ilvl w:val="0"/>
                <w:numId w:val="2"/>
              </w:numPr>
              <w:spacing w:after="40"/>
              <w:rPr>
                <w:lang w:val="cs-CZ"/>
              </w:rPr>
            </w:pPr>
            <w:r w:rsidRPr="00294E6C">
              <w:rPr>
                <w:sz w:val="18"/>
                <w:szCs w:val="18"/>
                <w:lang w:val="cs-CZ"/>
              </w:rPr>
              <w:t xml:space="preserve">doplnit doporučení směrem k EK pro narovnání tohoto rámce (např. v rámci Nařízení o výkonnosti a </w:t>
            </w:r>
            <w:proofErr w:type="spellStart"/>
            <w:r w:rsidRPr="00294E6C">
              <w:rPr>
                <w:sz w:val="18"/>
                <w:szCs w:val="18"/>
                <w:lang w:val="cs-CZ"/>
              </w:rPr>
              <w:t>InvestEU</w:t>
            </w:r>
            <w:proofErr w:type="spellEnd"/>
            <w:r w:rsidRPr="00294E6C">
              <w:rPr>
                <w:sz w:val="18"/>
                <w:szCs w:val="18"/>
                <w:lang w:val="cs-CZ"/>
              </w:rPr>
              <w:t xml:space="preserve"> II), aby panevropská logika hospodářské soutěže byla aplikována konzistentně i na národní úrovni.</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861DDFC" w14:textId="77777777" w:rsidR="00EA0986" w:rsidRPr="00294E6C" w:rsidRDefault="00EA0986">
            <w:pPr>
              <w:rPr>
                <w:lang w:val="cs-CZ"/>
              </w:rPr>
            </w:pPr>
          </w:p>
        </w:tc>
      </w:tr>
      <w:tr w:rsidR="00EA0986" w:rsidRPr="00294E6C" w14:paraId="462A6652"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A6FB73F" w14:textId="219984D7" w:rsidR="00EA0986" w:rsidRPr="00294E6C" w:rsidRDefault="00925D46">
            <w:pPr>
              <w:jc w:val="center"/>
              <w:rPr>
                <w:lang w:val="cs-CZ"/>
              </w:rPr>
            </w:pPr>
            <w:r w:rsidRPr="00294E6C">
              <w:rPr>
                <w:b/>
                <w:bCs/>
                <w:sz w:val="18"/>
                <w:szCs w:val="18"/>
                <w:lang w:val="cs-CZ"/>
              </w:rPr>
              <w:t>2</w:t>
            </w:r>
            <w:r w:rsidR="005E0170">
              <w:rPr>
                <w:b/>
                <w:bCs/>
                <w:sz w:val="18"/>
                <w:szCs w:val="18"/>
                <w:lang w:val="cs-CZ"/>
              </w:rPr>
              <w:t>0</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AD5BBE9" w14:textId="78959C39"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96B330"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64EE3D" w14:textId="77777777" w:rsidR="00EA0986" w:rsidRPr="00294E6C" w:rsidRDefault="00925D46">
            <w:pPr>
              <w:rPr>
                <w:lang w:val="cs-CZ"/>
              </w:rPr>
            </w:pPr>
            <w:r w:rsidRPr="00294E6C">
              <w:rPr>
                <w:sz w:val="18"/>
                <w:szCs w:val="18"/>
                <w:lang w:val="cs-CZ"/>
              </w:rPr>
              <w:t>Materiál (část III.), kap. V – Poradenství pro FN, zdroje financování</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B5A5C36" w14:textId="51D61B88" w:rsidR="00EA0986" w:rsidRPr="00BB0B1E" w:rsidRDefault="00925D46" w:rsidP="00CF3128">
            <w:pPr>
              <w:spacing w:after="60"/>
              <w:rPr>
                <w:lang w:val="cs-CZ"/>
              </w:rPr>
            </w:pPr>
            <w:r w:rsidRPr="00BB0B1E">
              <w:rPr>
                <w:color w:val="444444"/>
                <w:sz w:val="18"/>
                <w:szCs w:val="18"/>
                <w:lang w:val="cs-CZ"/>
              </w:rPr>
              <w:t xml:space="preserve">Není úplně zřejmé, z jakých zdrojů mají být poradenské služby financovány, zda z národních zdrojů, jako součást finančních nástrojů ESIF či z jiných programů typu </w:t>
            </w:r>
            <w:proofErr w:type="spellStart"/>
            <w:r w:rsidRPr="00BB0B1E">
              <w:rPr>
                <w:color w:val="444444"/>
                <w:sz w:val="18"/>
                <w:szCs w:val="18"/>
                <w:lang w:val="cs-CZ"/>
              </w:rPr>
              <w:t>InvestEU</w:t>
            </w:r>
            <w:proofErr w:type="spellEnd"/>
            <w:r w:rsidRPr="00BB0B1E">
              <w:rPr>
                <w:color w:val="444444"/>
                <w:sz w:val="18"/>
                <w:szCs w:val="18"/>
                <w:lang w:val="cs-CZ"/>
              </w:rPr>
              <w:t xml:space="preserve"> Advisory Hub.</w:t>
            </w:r>
          </w:p>
          <w:p w14:paraId="34905D75" w14:textId="77777777" w:rsidR="00EA0986" w:rsidRPr="00BB0B1E" w:rsidRDefault="00925D46">
            <w:pPr>
              <w:spacing w:after="60"/>
              <w:rPr>
                <w:lang w:val="cs-CZ"/>
              </w:rPr>
            </w:pPr>
            <w:r w:rsidRPr="00BB0B1E">
              <w:rPr>
                <w:b/>
                <w:bCs/>
                <w:sz w:val="18"/>
                <w:szCs w:val="18"/>
                <w:lang w:val="cs-CZ"/>
              </w:rPr>
              <w:t>Požadujeme v materiálu (kap. V – Poradenství, případně samostatný oddíl) explicitně vymezit:</w:t>
            </w:r>
          </w:p>
          <w:p w14:paraId="215E232E" w14:textId="77777777" w:rsidR="00EA0986" w:rsidRPr="00BB0B1E" w:rsidRDefault="00925D46">
            <w:pPr>
              <w:pStyle w:val="Odstavecseseznamem"/>
              <w:numPr>
                <w:ilvl w:val="0"/>
                <w:numId w:val="2"/>
              </w:numPr>
              <w:spacing w:after="40"/>
              <w:rPr>
                <w:lang w:val="cs-CZ"/>
              </w:rPr>
            </w:pPr>
            <w:r w:rsidRPr="00BB0B1E">
              <w:rPr>
                <w:sz w:val="18"/>
                <w:szCs w:val="18"/>
                <w:lang w:val="cs-CZ"/>
              </w:rPr>
              <w:lastRenderedPageBreak/>
              <w:t xml:space="preserve">zdroje financování poradenských služeb k FN pro období 2028+ (národní zdroje, technická pomoc NRPP, </w:t>
            </w:r>
            <w:proofErr w:type="spellStart"/>
            <w:r w:rsidRPr="00BB0B1E">
              <w:rPr>
                <w:sz w:val="18"/>
                <w:szCs w:val="18"/>
                <w:lang w:val="cs-CZ"/>
              </w:rPr>
              <w:t>InvestEU</w:t>
            </w:r>
            <w:proofErr w:type="spellEnd"/>
            <w:r w:rsidRPr="00BB0B1E">
              <w:rPr>
                <w:sz w:val="18"/>
                <w:szCs w:val="18"/>
                <w:lang w:val="cs-CZ"/>
              </w:rPr>
              <w:t xml:space="preserve"> Advisory Hub, případně kombinace);</w:t>
            </w:r>
          </w:p>
          <w:p w14:paraId="273D5FEC" w14:textId="77777777" w:rsidR="00BB0B1E" w:rsidRPr="00BB0B1E" w:rsidRDefault="00925D46" w:rsidP="00BB0B1E">
            <w:pPr>
              <w:pStyle w:val="Odstavecseseznamem"/>
              <w:numPr>
                <w:ilvl w:val="0"/>
                <w:numId w:val="2"/>
              </w:numPr>
              <w:spacing w:after="40"/>
              <w:rPr>
                <w:lang w:val="cs-CZ"/>
              </w:rPr>
            </w:pPr>
            <w:r w:rsidRPr="00BB0B1E">
              <w:rPr>
                <w:sz w:val="18"/>
                <w:szCs w:val="18"/>
                <w:lang w:val="cs-CZ"/>
              </w:rPr>
              <w:t xml:space="preserve">strukturu financování poradenské obálky NRB jako </w:t>
            </w:r>
            <w:proofErr w:type="spellStart"/>
            <w:r w:rsidRPr="00BB0B1E">
              <w:rPr>
                <w:sz w:val="18"/>
                <w:szCs w:val="18"/>
                <w:lang w:val="cs-CZ"/>
              </w:rPr>
              <w:t>InvestEU</w:t>
            </w:r>
            <w:proofErr w:type="spellEnd"/>
            <w:r w:rsidRPr="00BB0B1E">
              <w:rPr>
                <w:sz w:val="18"/>
                <w:szCs w:val="18"/>
                <w:lang w:val="cs-CZ"/>
              </w:rPr>
              <w:t xml:space="preserve"> Advisory Partner od Q2/2026, včetně předpokládaného objemu a multiplikačního dopadu na přípravu projektů;</w:t>
            </w:r>
          </w:p>
          <w:p w14:paraId="297176E3" w14:textId="0D26DEC8" w:rsidR="00EA0986" w:rsidRPr="00BB0B1E" w:rsidRDefault="00925D46" w:rsidP="00BB0B1E">
            <w:pPr>
              <w:pStyle w:val="Odstavecseseznamem"/>
              <w:numPr>
                <w:ilvl w:val="0"/>
                <w:numId w:val="2"/>
              </w:numPr>
              <w:spacing w:after="40"/>
              <w:rPr>
                <w:lang w:val="cs-CZ"/>
              </w:rPr>
            </w:pPr>
            <w:r w:rsidRPr="00BB0B1E">
              <w:rPr>
                <w:sz w:val="18"/>
                <w:szCs w:val="18"/>
                <w:lang w:val="cs-CZ"/>
              </w:rPr>
              <w:t>věcné a fiskální dopady jednotlivých variant financování poradenství.</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EAAE39" w14:textId="77777777" w:rsidR="00EA0986" w:rsidRPr="00294E6C" w:rsidRDefault="00EA0986">
            <w:pPr>
              <w:rPr>
                <w:lang w:val="cs-CZ"/>
              </w:rPr>
            </w:pPr>
          </w:p>
        </w:tc>
      </w:tr>
      <w:tr w:rsidR="00EA0986" w:rsidRPr="00294E6C" w14:paraId="090DD708"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3A438AC" w14:textId="59338A39" w:rsidR="00EA0986" w:rsidRPr="00294E6C" w:rsidRDefault="00925D46">
            <w:pPr>
              <w:jc w:val="center"/>
              <w:rPr>
                <w:lang w:val="cs-CZ"/>
              </w:rPr>
            </w:pPr>
            <w:r w:rsidRPr="00294E6C">
              <w:rPr>
                <w:b/>
                <w:bCs/>
                <w:sz w:val="18"/>
                <w:szCs w:val="18"/>
                <w:lang w:val="cs-CZ"/>
              </w:rPr>
              <w:t>2</w:t>
            </w:r>
            <w:r w:rsidR="005E0170">
              <w:rPr>
                <w:b/>
                <w:bCs/>
                <w:sz w:val="18"/>
                <w:szCs w:val="18"/>
                <w:lang w:val="cs-CZ"/>
              </w:rPr>
              <w:t>1</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E1EFE78" w14:textId="62149272"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150F37"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F5B814" w14:textId="77777777" w:rsidR="00EA0986" w:rsidRPr="00294E6C" w:rsidRDefault="00925D46">
            <w:pPr>
              <w:rPr>
                <w:lang w:val="cs-CZ"/>
              </w:rPr>
            </w:pPr>
            <w:r w:rsidRPr="00294E6C">
              <w:rPr>
                <w:sz w:val="18"/>
                <w:szCs w:val="18"/>
                <w:lang w:val="cs-CZ"/>
              </w:rPr>
              <w:t>Materiál (část III.), kap. V – Jednotné centrum excelence</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8D6A610" w14:textId="77777777" w:rsidR="00EA0986" w:rsidRPr="00BB0B1E" w:rsidRDefault="00925D46">
            <w:pPr>
              <w:spacing w:after="60"/>
              <w:rPr>
                <w:lang w:val="cs-CZ"/>
              </w:rPr>
            </w:pPr>
            <w:r w:rsidRPr="00BB0B1E">
              <w:rPr>
                <w:sz w:val="18"/>
                <w:szCs w:val="18"/>
                <w:lang w:val="cs-CZ"/>
              </w:rPr>
              <w:t>Materiál opakovaně hovoří o „jednotném centru excelence“ pro FN, aniž by jasně určil, kde toto centrum bude lokalizováno a kdo bude jeho gestorem. Z analytické části materiálu (</w:t>
            </w:r>
            <w:proofErr w:type="spellStart"/>
            <w:r w:rsidRPr="00BB0B1E">
              <w:rPr>
                <w:sz w:val="18"/>
                <w:szCs w:val="18"/>
                <w:lang w:val="cs-CZ"/>
              </w:rPr>
              <w:t>pillar</w:t>
            </w:r>
            <w:proofErr w:type="spellEnd"/>
            <w:r w:rsidRPr="00BB0B1E">
              <w:rPr>
                <w:sz w:val="18"/>
                <w:szCs w:val="18"/>
                <w:lang w:val="cs-CZ"/>
              </w:rPr>
              <w:t xml:space="preserve"> </w:t>
            </w:r>
            <w:proofErr w:type="spellStart"/>
            <w:r w:rsidRPr="00BB0B1E">
              <w:rPr>
                <w:sz w:val="18"/>
                <w:szCs w:val="18"/>
                <w:lang w:val="cs-CZ"/>
              </w:rPr>
              <w:t>assessment</w:t>
            </w:r>
            <w:proofErr w:type="spellEnd"/>
            <w:r w:rsidRPr="00BB0B1E">
              <w:rPr>
                <w:sz w:val="18"/>
                <w:szCs w:val="18"/>
                <w:lang w:val="cs-CZ"/>
              </w:rPr>
              <w:t xml:space="preserve"> EK, kapacita, IT systém FÉNIX, sektorová znalost) jednoznačně vyplývá, že tímto centrem má být skupina NRB. Materiál to však explicitně neuvádí.</w:t>
            </w:r>
          </w:p>
          <w:p w14:paraId="6DAD9538" w14:textId="77777777" w:rsidR="00EA0986" w:rsidRPr="00294E6C" w:rsidRDefault="00925D46">
            <w:pPr>
              <w:spacing w:after="60"/>
              <w:rPr>
                <w:lang w:val="cs-CZ"/>
              </w:rPr>
            </w:pPr>
            <w:r w:rsidRPr="00BB0B1E">
              <w:rPr>
                <w:b/>
                <w:bCs/>
                <w:sz w:val="18"/>
                <w:szCs w:val="18"/>
                <w:lang w:val="cs-CZ"/>
              </w:rPr>
              <w:t xml:space="preserve">Požadujeme do materiálu (kap. V) explicitně doplnit, že jednotným centrem excelence pro FN v ČR po roce 2028 je skupina NRB </w:t>
            </w:r>
            <w:r w:rsidRPr="00BB0B1E">
              <w:rPr>
                <w:sz w:val="18"/>
                <w:szCs w:val="18"/>
                <w:lang w:val="cs-CZ"/>
              </w:rPr>
              <w:t>(NRB + NRI + ČEB), a vyvodit z toho institucionální a personální implikace, včetně role NRB v metodickém vedení dalších implementačních subjektů (SFŽP, případně SFPI) v rolích věcného gestora.</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7426447" w14:textId="77777777" w:rsidR="00EA0986" w:rsidRPr="00294E6C" w:rsidRDefault="00EA0986">
            <w:pPr>
              <w:rPr>
                <w:lang w:val="cs-CZ"/>
              </w:rPr>
            </w:pPr>
          </w:p>
        </w:tc>
      </w:tr>
      <w:tr w:rsidR="00EA0986" w:rsidRPr="00294E6C" w14:paraId="2CB50309"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2FEFC36" w14:textId="2C128F48" w:rsidR="00EA0986" w:rsidRPr="00294E6C" w:rsidRDefault="00925D46">
            <w:pPr>
              <w:jc w:val="center"/>
              <w:rPr>
                <w:lang w:val="cs-CZ"/>
              </w:rPr>
            </w:pPr>
            <w:r w:rsidRPr="00294E6C">
              <w:rPr>
                <w:b/>
                <w:bCs/>
                <w:sz w:val="18"/>
                <w:szCs w:val="18"/>
                <w:lang w:val="cs-CZ"/>
              </w:rPr>
              <w:t>2</w:t>
            </w:r>
            <w:r w:rsidR="005E0170">
              <w:rPr>
                <w:b/>
                <w:bCs/>
                <w:sz w:val="18"/>
                <w:szCs w:val="18"/>
                <w:lang w:val="cs-CZ"/>
              </w:rPr>
              <w:t>2</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B1E8733" w14:textId="7B7F6A0E"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357271"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6741465" w14:textId="77777777" w:rsidR="00EA0986" w:rsidRPr="00294E6C" w:rsidRDefault="00925D46">
            <w:pPr>
              <w:rPr>
                <w:lang w:val="cs-CZ"/>
              </w:rPr>
            </w:pPr>
            <w:r w:rsidRPr="00294E6C">
              <w:rPr>
                <w:sz w:val="18"/>
                <w:szCs w:val="18"/>
                <w:lang w:val="cs-CZ"/>
              </w:rPr>
              <w:t>Materiál (část III.), kap. V – Terminologie „rozvojová banka“ vs. „podpůrná banka“</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1CCD787" w14:textId="77777777" w:rsidR="00EA0986" w:rsidRPr="00294E6C" w:rsidRDefault="00925D46">
            <w:pPr>
              <w:spacing w:after="60"/>
              <w:rPr>
                <w:lang w:val="cs-CZ"/>
              </w:rPr>
            </w:pPr>
            <w:r w:rsidRPr="00BB0B1E">
              <w:rPr>
                <w:b/>
                <w:bCs/>
                <w:sz w:val="18"/>
                <w:szCs w:val="18"/>
                <w:lang w:val="cs-CZ"/>
              </w:rPr>
              <w:t>Doporučujeme v materiálu sjednotit terminologii a NRB označovat jako „podpůrnou a rozvojovou banku“ v souladu s evropskou terminologií (</w:t>
            </w:r>
            <w:proofErr w:type="spellStart"/>
            <w:r w:rsidRPr="00BB0B1E">
              <w:rPr>
                <w:b/>
                <w:bCs/>
                <w:sz w:val="18"/>
                <w:szCs w:val="18"/>
                <w:lang w:val="cs-CZ"/>
              </w:rPr>
              <w:t>promotional</w:t>
            </w:r>
            <w:proofErr w:type="spellEnd"/>
            <w:r w:rsidRPr="00BB0B1E">
              <w:rPr>
                <w:b/>
                <w:bCs/>
                <w:sz w:val="18"/>
                <w:szCs w:val="18"/>
                <w:lang w:val="cs-CZ"/>
              </w:rPr>
              <w:t xml:space="preserve"> and development bank). </w:t>
            </w:r>
            <w:r w:rsidRPr="00BB0B1E">
              <w:rPr>
                <w:sz w:val="18"/>
                <w:szCs w:val="18"/>
                <w:lang w:val="cs-CZ"/>
              </w:rPr>
              <w:t>Toto vymezení je věcně přesnější a usnadňuje porozumění v evropském kontextu.</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A752FBB" w14:textId="77777777" w:rsidR="00EA0986" w:rsidRPr="00294E6C" w:rsidRDefault="00EA0986">
            <w:pPr>
              <w:rPr>
                <w:lang w:val="cs-CZ"/>
              </w:rPr>
            </w:pPr>
          </w:p>
        </w:tc>
      </w:tr>
      <w:tr w:rsidR="00EA0986" w:rsidRPr="00294E6C" w14:paraId="7BA3AB56"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7422B8A" w14:textId="72127DF9" w:rsidR="00EA0986" w:rsidRPr="00294E6C" w:rsidRDefault="00925D46">
            <w:pPr>
              <w:jc w:val="center"/>
              <w:rPr>
                <w:lang w:val="cs-CZ"/>
              </w:rPr>
            </w:pPr>
            <w:r w:rsidRPr="00294E6C">
              <w:rPr>
                <w:b/>
                <w:bCs/>
                <w:sz w:val="18"/>
                <w:szCs w:val="18"/>
                <w:lang w:val="cs-CZ"/>
              </w:rPr>
              <w:t>2</w:t>
            </w:r>
            <w:r w:rsidR="005E0170">
              <w:rPr>
                <w:b/>
                <w:bCs/>
                <w:sz w:val="18"/>
                <w:szCs w:val="18"/>
                <w:lang w:val="cs-CZ"/>
              </w:rPr>
              <w:t>3</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8D1A9D" w14:textId="60E2E531"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042A578"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7D2BB6B" w14:textId="77777777" w:rsidR="00EA0986" w:rsidRPr="00294E6C" w:rsidRDefault="00925D46">
            <w:pPr>
              <w:rPr>
                <w:lang w:val="cs-CZ"/>
              </w:rPr>
            </w:pPr>
            <w:r w:rsidRPr="00294E6C">
              <w:rPr>
                <w:sz w:val="18"/>
                <w:szCs w:val="18"/>
                <w:lang w:val="cs-CZ"/>
              </w:rPr>
              <w:t>Materiál (část III.), kap. VI – Rozpočtová pravidla a důvěra konečných příjemců</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7117A0C" w14:textId="77777777" w:rsidR="00EA0986" w:rsidRPr="00294E6C" w:rsidRDefault="00925D46">
            <w:pPr>
              <w:spacing w:after="60"/>
              <w:rPr>
                <w:highlight w:val="yellow"/>
                <w:lang w:val="cs-CZ"/>
              </w:rPr>
            </w:pPr>
            <w:r w:rsidRPr="00BB0B1E">
              <w:rPr>
                <w:b/>
                <w:bCs/>
                <w:sz w:val="18"/>
                <w:szCs w:val="18"/>
                <w:lang w:val="cs-CZ"/>
              </w:rPr>
              <w:t xml:space="preserve">Požadujeme z výčtu přínosů úpravy rozpočtových pravidel vypustit nebo zásadně zmírnit tvrzení o posílení důvěry konečných příjemců. </w:t>
            </w:r>
            <w:r w:rsidRPr="00BB0B1E">
              <w:rPr>
                <w:sz w:val="18"/>
                <w:szCs w:val="18"/>
                <w:lang w:val="cs-CZ"/>
              </w:rPr>
              <w:t xml:space="preserve">Úprava rozpočtových pravidel má primárně přínosy pro implementační partnery (právní jistota, sjednocení postupů, možnost </w:t>
            </w:r>
            <w:proofErr w:type="spellStart"/>
            <w:r w:rsidRPr="00BB0B1E">
              <w:rPr>
                <w:sz w:val="18"/>
                <w:szCs w:val="18"/>
                <w:lang w:val="cs-CZ"/>
              </w:rPr>
              <w:t>revolvingu</w:t>
            </w:r>
            <w:proofErr w:type="spellEnd"/>
            <w:r w:rsidRPr="00BB0B1E">
              <w:rPr>
                <w:sz w:val="18"/>
                <w:szCs w:val="18"/>
                <w:lang w:val="cs-CZ"/>
              </w:rPr>
              <w:t>), nikoli přímý dopad na chování konečných příjemců.</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841EF0" w14:textId="77777777" w:rsidR="00EA0986" w:rsidRPr="00294E6C" w:rsidRDefault="00EA0986">
            <w:pPr>
              <w:rPr>
                <w:lang w:val="cs-CZ"/>
              </w:rPr>
            </w:pPr>
          </w:p>
        </w:tc>
      </w:tr>
      <w:tr w:rsidR="00EA0986" w:rsidRPr="00294E6C" w14:paraId="1CE09A24"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0F0ED64" w14:textId="6C12119F" w:rsidR="00EA0986" w:rsidRPr="00294E6C" w:rsidRDefault="00925D46">
            <w:pPr>
              <w:jc w:val="center"/>
              <w:rPr>
                <w:lang w:val="cs-CZ"/>
              </w:rPr>
            </w:pPr>
            <w:r w:rsidRPr="00294E6C">
              <w:rPr>
                <w:b/>
                <w:bCs/>
                <w:sz w:val="18"/>
                <w:szCs w:val="18"/>
                <w:lang w:val="cs-CZ"/>
              </w:rPr>
              <w:t>2</w:t>
            </w:r>
            <w:r w:rsidR="005E0170">
              <w:rPr>
                <w:b/>
                <w:bCs/>
                <w:sz w:val="18"/>
                <w:szCs w:val="18"/>
                <w:lang w:val="cs-CZ"/>
              </w:rPr>
              <w:t>4</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5CFE594" w14:textId="57D3514D"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3A726D9"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E8A22A1" w14:textId="77777777" w:rsidR="00EA0986" w:rsidRPr="00294E6C" w:rsidRDefault="00925D46">
            <w:pPr>
              <w:rPr>
                <w:lang w:val="cs-CZ"/>
              </w:rPr>
            </w:pPr>
            <w:r w:rsidRPr="00294E6C">
              <w:rPr>
                <w:sz w:val="18"/>
                <w:szCs w:val="18"/>
                <w:lang w:val="cs-CZ"/>
              </w:rPr>
              <w:t>Materiál (část III.), kap. 6.2 – Zákon č. 23/2017 Sb., klasifikace závazků z FN dle ESA 2010</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9987FC9" w14:textId="77777777" w:rsidR="00EA0986" w:rsidRPr="00BB0B1E" w:rsidRDefault="00925D46">
            <w:pPr>
              <w:spacing w:after="60"/>
              <w:rPr>
                <w:lang w:val="cs-CZ"/>
              </w:rPr>
            </w:pPr>
            <w:r w:rsidRPr="00BB0B1E">
              <w:rPr>
                <w:sz w:val="18"/>
                <w:szCs w:val="18"/>
                <w:lang w:val="cs-CZ"/>
              </w:rPr>
              <w:t xml:space="preserve">Doporučení směřující k tomu, aby závazky plynoucí z finančních nástrojů z fondů EU „nebyly automaticky klasifikovány jako dluh veřejného sektoru“, je sice věcně správné, ale není podloženo analýzou platných pravidel ESA 2010 a metodiky </w:t>
            </w:r>
            <w:proofErr w:type="spellStart"/>
            <w:r w:rsidRPr="00BB0B1E">
              <w:rPr>
                <w:sz w:val="18"/>
                <w:szCs w:val="18"/>
                <w:lang w:val="cs-CZ"/>
              </w:rPr>
              <w:t>Eurostatu</w:t>
            </w:r>
            <w:proofErr w:type="spellEnd"/>
            <w:r w:rsidRPr="00BB0B1E">
              <w:rPr>
                <w:sz w:val="18"/>
                <w:szCs w:val="18"/>
                <w:lang w:val="cs-CZ"/>
              </w:rPr>
              <w:t xml:space="preserve">, ani srovnáním s konkrétními rozhodnutími </w:t>
            </w:r>
            <w:proofErr w:type="spellStart"/>
            <w:r w:rsidRPr="00BB0B1E">
              <w:rPr>
                <w:sz w:val="18"/>
                <w:szCs w:val="18"/>
                <w:lang w:val="cs-CZ"/>
              </w:rPr>
              <w:t>Eurostatu</w:t>
            </w:r>
            <w:proofErr w:type="spellEnd"/>
            <w:r w:rsidRPr="00BB0B1E">
              <w:rPr>
                <w:sz w:val="18"/>
                <w:szCs w:val="18"/>
                <w:lang w:val="cs-CZ"/>
              </w:rPr>
              <w:t xml:space="preserve"> v jiných členských státech.</w:t>
            </w:r>
          </w:p>
          <w:p w14:paraId="6A6B3FD2" w14:textId="77777777" w:rsidR="00EA0986" w:rsidRPr="00BB0B1E" w:rsidRDefault="00925D46">
            <w:pPr>
              <w:spacing w:after="60"/>
              <w:rPr>
                <w:lang w:val="cs-CZ"/>
              </w:rPr>
            </w:pPr>
            <w:r w:rsidRPr="00BB0B1E">
              <w:rPr>
                <w:b/>
                <w:bCs/>
                <w:sz w:val="18"/>
                <w:szCs w:val="18"/>
                <w:lang w:val="cs-CZ"/>
              </w:rPr>
              <w:t>Požadujeme do materiálu doplnit:</w:t>
            </w:r>
          </w:p>
          <w:p w14:paraId="2F7C5A98" w14:textId="77777777" w:rsidR="00EA0986" w:rsidRPr="00BB0B1E" w:rsidRDefault="00925D46">
            <w:pPr>
              <w:pStyle w:val="Odstavecseseznamem"/>
              <w:numPr>
                <w:ilvl w:val="0"/>
                <w:numId w:val="2"/>
              </w:numPr>
              <w:spacing w:after="40"/>
              <w:rPr>
                <w:lang w:val="cs-CZ"/>
              </w:rPr>
            </w:pPr>
            <w:r w:rsidRPr="00BB0B1E">
              <w:rPr>
                <w:sz w:val="18"/>
                <w:szCs w:val="18"/>
                <w:lang w:val="cs-CZ"/>
              </w:rPr>
              <w:t xml:space="preserve">analýzu platných pravidel ESA 2010 a metodických pokynů </w:t>
            </w:r>
            <w:proofErr w:type="spellStart"/>
            <w:r w:rsidRPr="00BB0B1E">
              <w:rPr>
                <w:sz w:val="18"/>
                <w:szCs w:val="18"/>
                <w:lang w:val="cs-CZ"/>
              </w:rPr>
              <w:t>Eurostatu</w:t>
            </w:r>
            <w:proofErr w:type="spellEnd"/>
            <w:r w:rsidRPr="00BB0B1E">
              <w:rPr>
                <w:sz w:val="18"/>
                <w:szCs w:val="18"/>
                <w:lang w:val="cs-CZ"/>
              </w:rPr>
              <w:t xml:space="preserve"> pro klasifikaci finančních nástrojů ve vztahu k vládnímu dluhu (sektor S.13);</w:t>
            </w:r>
          </w:p>
          <w:p w14:paraId="50AC43FF" w14:textId="77777777" w:rsidR="00EA0986" w:rsidRPr="00BB0B1E" w:rsidRDefault="00925D46">
            <w:pPr>
              <w:pStyle w:val="Odstavecseseznamem"/>
              <w:numPr>
                <w:ilvl w:val="0"/>
                <w:numId w:val="2"/>
              </w:numPr>
              <w:spacing w:after="40"/>
              <w:rPr>
                <w:lang w:val="cs-CZ"/>
              </w:rPr>
            </w:pPr>
            <w:r w:rsidRPr="00BB0B1E">
              <w:rPr>
                <w:sz w:val="18"/>
                <w:szCs w:val="18"/>
                <w:lang w:val="cs-CZ"/>
              </w:rPr>
              <w:t xml:space="preserve">srovnání s konkrétními rozhodnutími </w:t>
            </w:r>
            <w:proofErr w:type="spellStart"/>
            <w:r w:rsidRPr="00BB0B1E">
              <w:rPr>
                <w:sz w:val="18"/>
                <w:szCs w:val="18"/>
                <w:lang w:val="cs-CZ"/>
              </w:rPr>
              <w:t>Eurostatu</w:t>
            </w:r>
            <w:proofErr w:type="spellEnd"/>
            <w:r w:rsidRPr="00BB0B1E">
              <w:rPr>
                <w:sz w:val="18"/>
                <w:szCs w:val="18"/>
                <w:lang w:val="cs-CZ"/>
              </w:rPr>
              <w:t xml:space="preserve"> v jiných členských státech (Polsko, Slovensko, Německo) ohledně klasifikace finančních nástrojů spravovaných národními rozvojovými bankami a státními fondy;</w:t>
            </w:r>
          </w:p>
          <w:p w14:paraId="7BB9721D" w14:textId="77777777" w:rsidR="00EA0986" w:rsidRPr="00294E6C" w:rsidRDefault="00925D46">
            <w:pPr>
              <w:pStyle w:val="Odstavecseseznamem"/>
              <w:numPr>
                <w:ilvl w:val="0"/>
                <w:numId w:val="2"/>
              </w:numPr>
              <w:spacing w:after="40"/>
              <w:rPr>
                <w:lang w:val="cs-CZ"/>
              </w:rPr>
            </w:pPr>
            <w:r w:rsidRPr="00BB0B1E">
              <w:rPr>
                <w:sz w:val="18"/>
                <w:szCs w:val="18"/>
                <w:lang w:val="cs-CZ"/>
              </w:rPr>
              <w:t>realistický odhad rozsahu, v jakém lze pravidla rozpočtové odpovědnosti upravit, aniž by došlo ke kolizi s evropskými fiskálními standardy.</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45BB2A2" w14:textId="77777777" w:rsidR="00EA0986" w:rsidRPr="00294E6C" w:rsidRDefault="00EA0986">
            <w:pPr>
              <w:rPr>
                <w:lang w:val="cs-CZ"/>
              </w:rPr>
            </w:pPr>
          </w:p>
        </w:tc>
      </w:tr>
      <w:tr w:rsidR="00EA0986" w:rsidRPr="00294E6C" w14:paraId="5E6A1082"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F860DC6" w14:textId="4D730322" w:rsidR="00EA0986" w:rsidRPr="00294E6C" w:rsidRDefault="00925D46">
            <w:pPr>
              <w:jc w:val="center"/>
              <w:rPr>
                <w:lang w:val="cs-CZ"/>
              </w:rPr>
            </w:pPr>
            <w:r w:rsidRPr="00294E6C">
              <w:rPr>
                <w:b/>
                <w:bCs/>
                <w:sz w:val="18"/>
                <w:szCs w:val="18"/>
                <w:lang w:val="cs-CZ"/>
              </w:rPr>
              <w:t>2</w:t>
            </w:r>
            <w:r w:rsidR="005E0170">
              <w:rPr>
                <w:b/>
                <w:bCs/>
                <w:sz w:val="18"/>
                <w:szCs w:val="18"/>
                <w:lang w:val="cs-CZ"/>
              </w:rPr>
              <w:t>5</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CB55B3" w14:textId="1532C59A"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7A375BE"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E8B8F7" w14:textId="77777777" w:rsidR="00EA0986" w:rsidRPr="00294E6C" w:rsidRDefault="00925D46">
            <w:pPr>
              <w:rPr>
                <w:lang w:val="cs-CZ"/>
              </w:rPr>
            </w:pPr>
            <w:r w:rsidRPr="00294E6C">
              <w:rPr>
                <w:sz w:val="18"/>
                <w:szCs w:val="18"/>
                <w:lang w:val="cs-CZ"/>
              </w:rPr>
              <w:t>Materiál (část III.), kap. 6 – Investiční kapacita obcí a překážky čerpání FN</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608E1F" w14:textId="77777777" w:rsidR="00EA0986" w:rsidRPr="00294E6C" w:rsidRDefault="00925D46">
            <w:pPr>
              <w:spacing w:after="60"/>
              <w:rPr>
                <w:lang w:val="cs-CZ"/>
              </w:rPr>
            </w:pPr>
            <w:r w:rsidRPr="00294E6C">
              <w:rPr>
                <w:b/>
                <w:bCs/>
                <w:sz w:val="18"/>
                <w:szCs w:val="18"/>
                <w:lang w:val="cs-CZ"/>
              </w:rPr>
              <w:t>Požadujeme do materiálu (kap. VI – Bariéry implementace FN) doplnit:</w:t>
            </w:r>
          </w:p>
          <w:p w14:paraId="46392BBB" w14:textId="77777777" w:rsidR="00EA0986" w:rsidRPr="00294E6C" w:rsidRDefault="00925D46">
            <w:pPr>
              <w:pStyle w:val="Odstavecseseznamem"/>
              <w:numPr>
                <w:ilvl w:val="0"/>
                <w:numId w:val="2"/>
              </w:numPr>
              <w:spacing w:after="40"/>
              <w:rPr>
                <w:lang w:val="cs-CZ"/>
              </w:rPr>
            </w:pPr>
            <w:r w:rsidRPr="00294E6C">
              <w:rPr>
                <w:sz w:val="18"/>
                <w:szCs w:val="18"/>
                <w:lang w:val="cs-CZ"/>
              </w:rPr>
              <w:t>explicitní pojmenování neformálních bariér využívání FN ze strany obcí (politické cykly, trestněprávní rizika, preference vlastních zdrojů, extrémní fragmentace sídelní struktury);</w:t>
            </w:r>
          </w:p>
          <w:p w14:paraId="1A4F7110" w14:textId="77777777" w:rsidR="00EA0986" w:rsidRPr="00294E6C" w:rsidRDefault="00925D46">
            <w:pPr>
              <w:pStyle w:val="Odstavecseseznamem"/>
              <w:numPr>
                <w:ilvl w:val="0"/>
                <w:numId w:val="2"/>
              </w:numPr>
              <w:spacing w:after="40"/>
              <w:rPr>
                <w:lang w:val="cs-CZ"/>
              </w:rPr>
            </w:pPr>
            <w:r w:rsidRPr="00294E6C">
              <w:rPr>
                <w:sz w:val="18"/>
                <w:szCs w:val="18"/>
                <w:lang w:val="cs-CZ"/>
              </w:rPr>
              <w:lastRenderedPageBreak/>
              <w:t>realistické zhodnocení, do jaké míry lze tyto bariéry odstranit legislativní úpravou rozpočtových pravidel (a kdy je to již mimo dosah materiálu);</w:t>
            </w:r>
          </w:p>
          <w:p w14:paraId="74B13B44" w14:textId="77777777" w:rsidR="00EA0986" w:rsidRPr="00294E6C" w:rsidRDefault="00925D46">
            <w:pPr>
              <w:pStyle w:val="Odstavecseseznamem"/>
              <w:numPr>
                <w:ilvl w:val="0"/>
                <w:numId w:val="2"/>
              </w:numPr>
              <w:spacing w:after="40"/>
              <w:rPr>
                <w:lang w:val="cs-CZ"/>
              </w:rPr>
            </w:pPr>
            <w:r w:rsidRPr="00294E6C">
              <w:rPr>
                <w:sz w:val="18"/>
                <w:szCs w:val="18"/>
                <w:lang w:val="cs-CZ"/>
              </w:rPr>
              <w:t>doporučení nelegislativních opatření zaměřených na zvýšení investiční ochoty obcí (technická pomoc, projektová příprava, modelové smluvní rámce, koordinace mezi obcemi v rámci aglomerací).</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E3B9258" w14:textId="77777777" w:rsidR="00EA0986" w:rsidRPr="00294E6C" w:rsidRDefault="00EA0986">
            <w:pPr>
              <w:rPr>
                <w:lang w:val="cs-CZ"/>
              </w:rPr>
            </w:pPr>
          </w:p>
        </w:tc>
      </w:tr>
      <w:tr w:rsidR="00EA0986" w:rsidRPr="00294E6C" w14:paraId="4A77BA23"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6084390" w14:textId="0DEA26EB" w:rsidR="00EA0986" w:rsidRPr="00294E6C" w:rsidRDefault="00925D46">
            <w:pPr>
              <w:jc w:val="center"/>
              <w:rPr>
                <w:lang w:val="cs-CZ"/>
              </w:rPr>
            </w:pPr>
            <w:r w:rsidRPr="00294E6C">
              <w:rPr>
                <w:b/>
                <w:bCs/>
                <w:sz w:val="18"/>
                <w:szCs w:val="18"/>
                <w:lang w:val="cs-CZ"/>
              </w:rPr>
              <w:t>2</w:t>
            </w:r>
            <w:r w:rsidR="005E0170">
              <w:rPr>
                <w:b/>
                <w:bCs/>
                <w:sz w:val="18"/>
                <w:szCs w:val="18"/>
                <w:lang w:val="cs-CZ"/>
              </w:rPr>
              <w:t>6</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614BA37" w14:textId="2A9E47BC"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388DBA" w14:textId="77777777" w:rsidR="00EA0986" w:rsidRPr="00294E6C" w:rsidRDefault="00925D46">
            <w:pPr>
              <w:rPr>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A1BF76" w14:textId="77777777" w:rsidR="00EA0986" w:rsidRPr="00294E6C" w:rsidRDefault="00925D46">
            <w:pPr>
              <w:rPr>
                <w:lang w:val="cs-CZ"/>
              </w:rPr>
            </w:pPr>
            <w:r w:rsidRPr="00294E6C">
              <w:rPr>
                <w:sz w:val="18"/>
                <w:szCs w:val="18"/>
                <w:lang w:val="cs-CZ"/>
              </w:rPr>
              <w:t>Materiál (část III.), kap. 10 – oblast Bydlení a sociální infrastruktura, realistický odhad alokací FN</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8EF5C4" w14:textId="5C1B7F90" w:rsidR="00EA0986" w:rsidRPr="00294E6C" w:rsidRDefault="00CE4258" w:rsidP="00BB0B1E">
            <w:pPr>
              <w:spacing w:after="60"/>
              <w:jc w:val="both"/>
              <w:rPr>
                <w:lang w:val="cs-CZ"/>
              </w:rPr>
            </w:pPr>
            <w:r w:rsidRPr="00294E6C">
              <w:rPr>
                <w:sz w:val="18"/>
                <w:szCs w:val="18"/>
                <w:lang w:val="cs-CZ"/>
              </w:rPr>
              <w:t>Předkládaný materiál pracuje s alokacemi, které neodpovídají reálným zkušenostem z dosavadní implementace finančních nástrojů v oblasti bydlení. Materiál sám v jiné části (kap. 10, oblast Bydlení) konstatuje, že u programu Dostupné nájemní bydlení implementovaného SFPI „nebyli dostatečně zabezpečeny zdroje v státním rozpočtu pro její realizace“.</w:t>
            </w:r>
          </w:p>
          <w:p w14:paraId="13776282" w14:textId="77777777" w:rsidR="00EA0986" w:rsidRPr="00294E6C" w:rsidRDefault="00925D46">
            <w:pPr>
              <w:spacing w:after="60"/>
              <w:rPr>
                <w:lang w:val="cs-CZ"/>
              </w:rPr>
            </w:pPr>
            <w:r w:rsidRPr="00294E6C">
              <w:rPr>
                <w:b/>
                <w:bCs/>
                <w:sz w:val="18"/>
                <w:szCs w:val="18"/>
                <w:lang w:val="cs-CZ"/>
              </w:rPr>
              <w:t>Požadujeme:</w:t>
            </w:r>
          </w:p>
          <w:p w14:paraId="460A7B57" w14:textId="7460D0D0" w:rsidR="00EA0986" w:rsidRPr="00294E6C" w:rsidRDefault="00925D46">
            <w:pPr>
              <w:pStyle w:val="Odstavecseseznamem"/>
              <w:numPr>
                <w:ilvl w:val="0"/>
                <w:numId w:val="2"/>
              </w:numPr>
              <w:spacing w:after="40"/>
              <w:rPr>
                <w:lang w:val="cs-CZ"/>
              </w:rPr>
            </w:pPr>
            <w:r w:rsidRPr="00294E6C">
              <w:rPr>
                <w:sz w:val="18"/>
                <w:szCs w:val="18"/>
                <w:lang w:val="cs-CZ"/>
              </w:rPr>
              <w:t xml:space="preserve">pro období 2028+ pracovat s realisticky odůvodněnými alokacemi, vycházejícími z prokázané absorpční kapacity v segmentu </w:t>
            </w:r>
            <w:r w:rsidR="00CE4258" w:rsidRPr="00294E6C">
              <w:rPr>
                <w:sz w:val="18"/>
                <w:szCs w:val="18"/>
                <w:lang w:val="cs-CZ"/>
              </w:rPr>
              <w:t xml:space="preserve">Bydlení a </w:t>
            </w:r>
            <w:r w:rsidRPr="00294E6C">
              <w:rPr>
                <w:sz w:val="18"/>
                <w:szCs w:val="18"/>
                <w:lang w:val="cs-CZ"/>
              </w:rPr>
              <w:t>sociáln</w:t>
            </w:r>
            <w:r w:rsidR="00CE4258" w:rsidRPr="00294E6C">
              <w:rPr>
                <w:sz w:val="18"/>
                <w:szCs w:val="18"/>
                <w:lang w:val="cs-CZ"/>
              </w:rPr>
              <w:t>í</w:t>
            </w:r>
            <w:r w:rsidRPr="00294E6C">
              <w:rPr>
                <w:sz w:val="18"/>
                <w:szCs w:val="18"/>
                <w:lang w:val="cs-CZ"/>
              </w:rPr>
              <w:t xml:space="preserve"> </w:t>
            </w:r>
            <w:r w:rsidR="00CE4258" w:rsidRPr="00294E6C">
              <w:rPr>
                <w:sz w:val="18"/>
                <w:szCs w:val="18"/>
                <w:lang w:val="cs-CZ"/>
              </w:rPr>
              <w:t>infrastruktury</w:t>
            </w:r>
            <w:r w:rsidRPr="00294E6C">
              <w:rPr>
                <w:sz w:val="18"/>
                <w:szCs w:val="18"/>
                <w:lang w:val="cs-CZ"/>
              </w:rPr>
              <w:t>, nikoli z deklarovaných objemů.</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B2A8D34" w14:textId="77777777" w:rsidR="00EA0986" w:rsidRPr="00294E6C" w:rsidRDefault="00EA0986">
            <w:pPr>
              <w:rPr>
                <w:lang w:val="cs-CZ"/>
              </w:rPr>
            </w:pPr>
          </w:p>
        </w:tc>
      </w:tr>
      <w:tr w:rsidR="00EA0986" w:rsidRPr="00294E6C" w14:paraId="02763CEC"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E2CBE08" w14:textId="3EE37B3C" w:rsidR="00EA0986" w:rsidRPr="00294E6C" w:rsidRDefault="00925D46">
            <w:pPr>
              <w:jc w:val="center"/>
              <w:rPr>
                <w:lang w:val="cs-CZ"/>
              </w:rPr>
            </w:pPr>
            <w:r w:rsidRPr="00294E6C">
              <w:rPr>
                <w:b/>
                <w:bCs/>
                <w:sz w:val="18"/>
                <w:szCs w:val="18"/>
                <w:lang w:val="cs-CZ"/>
              </w:rPr>
              <w:t>2</w:t>
            </w:r>
            <w:r w:rsidR="005E0170">
              <w:rPr>
                <w:b/>
                <w:bCs/>
                <w:sz w:val="18"/>
                <w:szCs w:val="18"/>
                <w:lang w:val="cs-CZ"/>
              </w:rPr>
              <w:t>7</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58339A2" w14:textId="75C89237"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646D816"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DCB4D5" w14:textId="77777777" w:rsidR="00EA0986" w:rsidRPr="00294E6C" w:rsidRDefault="00925D46">
            <w:pPr>
              <w:rPr>
                <w:lang w:val="cs-CZ"/>
              </w:rPr>
            </w:pPr>
            <w:r w:rsidRPr="00294E6C">
              <w:rPr>
                <w:sz w:val="18"/>
                <w:szCs w:val="18"/>
                <w:lang w:val="cs-CZ"/>
              </w:rPr>
              <w:t>Materiál (část III.), kap. 5.2 – Další podmínky fondů EU, kontroly MSP</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AE0C6E2" w14:textId="77777777" w:rsidR="00EA0986" w:rsidRPr="00294E6C" w:rsidRDefault="00925D46">
            <w:pPr>
              <w:spacing w:after="60"/>
              <w:rPr>
                <w:lang w:val="cs-CZ"/>
              </w:rPr>
            </w:pPr>
            <w:r w:rsidRPr="00294E6C">
              <w:rPr>
                <w:b/>
                <w:bCs/>
                <w:sz w:val="18"/>
                <w:szCs w:val="18"/>
                <w:lang w:val="cs-CZ"/>
              </w:rPr>
              <w:t>Doporučujeme:</w:t>
            </w:r>
          </w:p>
          <w:p w14:paraId="6C3A8CC3" w14:textId="77777777" w:rsidR="00EA0986" w:rsidRPr="00294E6C" w:rsidRDefault="00925D46">
            <w:pPr>
              <w:pStyle w:val="Odstavecseseznamem"/>
              <w:numPr>
                <w:ilvl w:val="0"/>
                <w:numId w:val="2"/>
              </w:numPr>
              <w:spacing w:after="40"/>
              <w:rPr>
                <w:lang w:val="cs-CZ"/>
              </w:rPr>
            </w:pPr>
            <w:r w:rsidRPr="00294E6C">
              <w:rPr>
                <w:sz w:val="18"/>
                <w:szCs w:val="18"/>
                <w:lang w:val="cs-CZ"/>
              </w:rPr>
              <w:t>ověřit u zpracovatele materiálu, zda požadavek na kontroly statusu MSP (včetně posuzování podniku v obtížích) je v aktuálním znění návrhu nařízení o Evropském fondu a navazujících nařízení stále zachován, s ohledem na návrh zprávy EP z 11. května 2026;</w:t>
            </w:r>
          </w:p>
          <w:p w14:paraId="1D370BAE" w14:textId="77777777" w:rsidR="00EA0986" w:rsidRPr="00294E6C" w:rsidRDefault="00925D46">
            <w:pPr>
              <w:pStyle w:val="Odstavecseseznamem"/>
              <w:numPr>
                <w:ilvl w:val="0"/>
                <w:numId w:val="2"/>
              </w:numPr>
              <w:spacing w:after="40"/>
              <w:rPr>
                <w:lang w:val="cs-CZ"/>
              </w:rPr>
            </w:pPr>
            <w:r w:rsidRPr="00294E6C">
              <w:rPr>
                <w:sz w:val="18"/>
                <w:szCs w:val="18"/>
                <w:lang w:val="cs-CZ"/>
              </w:rPr>
              <w:t>v případě, že byl tento požadavek odstraněn, materiál odpovídajícím způsobem aktualizovat (kap. 5.2) a vyvodit z toho implikace pro nastavení administrativní zátěže FN pro období 2028+.</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3C7C8FB" w14:textId="77777777" w:rsidR="00EA0986" w:rsidRPr="00294E6C" w:rsidRDefault="00EA0986">
            <w:pPr>
              <w:rPr>
                <w:lang w:val="cs-CZ"/>
              </w:rPr>
            </w:pPr>
          </w:p>
        </w:tc>
      </w:tr>
      <w:tr w:rsidR="00EA0986" w:rsidRPr="00294E6C" w14:paraId="5D14F804"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D0BE741" w14:textId="478A3AC9" w:rsidR="00EA0986" w:rsidRPr="00294E6C" w:rsidRDefault="005E0170">
            <w:pPr>
              <w:jc w:val="center"/>
              <w:rPr>
                <w:lang w:val="cs-CZ"/>
              </w:rPr>
            </w:pPr>
            <w:r>
              <w:rPr>
                <w:b/>
                <w:bCs/>
                <w:sz w:val="18"/>
                <w:szCs w:val="18"/>
                <w:lang w:val="cs-CZ"/>
              </w:rPr>
              <w:t>28</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CB360F7" w14:textId="09F421FD" w:rsidR="00EA0986" w:rsidRPr="00294E6C" w:rsidRDefault="00EA0986">
            <w:pPr>
              <w:rPr>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89B9E9E" w14:textId="77777777" w:rsidR="00EA0986" w:rsidRPr="00294E6C" w:rsidRDefault="00925D46">
            <w:pPr>
              <w:rPr>
                <w:lang w:val="cs-CZ"/>
              </w:rPr>
            </w:pPr>
            <w:r w:rsidRPr="00294E6C">
              <w:rPr>
                <w:b/>
                <w:bCs/>
                <w:color w:val="000000"/>
                <w:sz w:val="18"/>
                <w:szCs w:val="18"/>
                <w:lang w:val="cs-CZ"/>
              </w:rPr>
              <w:t>DOPORUČUJÍCÍ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520D525" w14:textId="77777777" w:rsidR="00EA0986" w:rsidRPr="00294E6C" w:rsidRDefault="00925D46">
            <w:pPr>
              <w:rPr>
                <w:lang w:val="cs-CZ"/>
              </w:rPr>
            </w:pPr>
            <w:r w:rsidRPr="00294E6C">
              <w:rPr>
                <w:sz w:val="18"/>
                <w:szCs w:val="18"/>
                <w:lang w:val="cs-CZ"/>
              </w:rPr>
              <w:t>Materiál (část III.), Příloha č. 1 – Seznam zkratek</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A1E1C68" w14:textId="77777777" w:rsidR="00EA0986" w:rsidRPr="00294E6C" w:rsidRDefault="00925D46">
            <w:pPr>
              <w:spacing w:after="60"/>
              <w:rPr>
                <w:lang w:val="cs-CZ"/>
              </w:rPr>
            </w:pPr>
            <w:r w:rsidRPr="00294E6C">
              <w:rPr>
                <w:b/>
                <w:bCs/>
                <w:sz w:val="18"/>
                <w:szCs w:val="18"/>
                <w:lang w:val="cs-CZ"/>
              </w:rPr>
              <w:t>Doporučujeme provést redakční revizi seznamu zkratek:</w:t>
            </w:r>
          </w:p>
          <w:p w14:paraId="5034AE34" w14:textId="77777777" w:rsidR="00EA0986" w:rsidRPr="00294E6C" w:rsidRDefault="00925D46">
            <w:pPr>
              <w:pStyle w:val="Odstavecseseznamem"/>
              <w:numPr>
                <w:ilvl w:val="0"/>
                <w:numId w:val="2"/>
              </w:numPr>
              <w:spacing w:after="40"/>
              <w:rPr>
                <w:lang w:val="cs-CZ"/>
              </w:rPr>
            </w:pPr>
            <w:r w:rsidRPr="00294E6C">
              <w:rPr>
                <w:sz w:val="18"/>
                <w:szCs w:val="18"/>
                <w:lang w:val="cs-CZ"/>
              </w:rPr>
              <w:t>doplnit zkratky používané v textu, ale chybějící v seznamu (CDP a další);</w:t>
            </w:r>
          </w:p>
          <w:p w14:paraId="100BD45D" w14:textId="77777777" w:rsidR="00EA0986" w:rsidRPr="00294E6C" w:rsidRDefault="00925D46">
            <w:pPr>
              <w:pStyle w:val="Odstavecseseznamem"/>
              <w:numPr>
                <w:ilvl w:val="0"/>
                <w:numId w:val="2"/>
              </w:numPr>
              <w:spacing w:after="40"/>
              <w:rPr>
                <w:lang w:val="cs-CZ"/>
              </w:rPr>
            </w:pPr>
            <w:r w:rsidRPr="00294E6C">
              <w:rPr>
                <w:sz w:val="18"/>
                <w:szCs w:val="18"/>
                <w:lang w:val="cs-CZ"/>
              </w:rPr>
              <w:t>vypustit zkratky uvedené v seznamu, ale nepoužívané v textu (CEB, RVO);</w:t>
            </w:r>
          </w:p>
          <w:p w14:paraId="30DEB499" w14:textId="77777777" w:rsidR="00EA0986" w:rsidRPr="00294E6C" w:rsidRDefault="00925D46">
            <w:pPr>
              <w:pStyle w:val="Odstavecseseznamem"/>
              <w:numPr>
                <w:ilvl w:val="0"/>
                <w:numId w:val="2"/>
              </w:numPr>
              <w:spacing w:after="40"/>
              <w:rPr>
                <w:lang w:val="cs-CZ"/>
              </w:rPr>
            </w:pPr>
            <w:r w:rsidRPr="00294E6C">
              <w:rPr>
                <w:sz w:val="18"/>
                <w:szCs w:val="18"/>
                <w:lang w:val="cs-CZ"/>
              </w:rPr>
              <w:t>doplnit chybějící definici zkratek (BBB a další).</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AC32FFD" w14:textId="77777777" w:rsidR="00EA0986" w:rsidRPr="00294E6C" w:rsidRDefault="00EA0986">
            <w:pPr>
              <w:rPr>
                <w:lang w:val="cs-CZ"/>
              </w:rPr>
            </w:pPr>
          </w:p>
        </w:tc>
      </w:tr>
      <w:tr w:rsidR="00294E6C" w:rsidRPr="00294E6C" w14:paraId="40851348" w14:textId="77777777" w:rsidTr="00294E6C">
        <w:tc>
          <w:tcPr>
            <w:tcW w:w="588"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1910E2B" w14:textId="1C2F78D5" w:rsidR="00294E6C" w:rsidRPr="00294E6C" w:rsidRDefault="005E0170" w:rsidP="00294E6C">
            <w:pPr>
              <w:jc w:val="center"/>
              <w:rPr>
                <w:b/>
                <w:bCs/>
                <w:sz w:val="18"/>
                <w:szCs w:val="18"/>
                <w:lang w:val="cs-CZ"/>
              </w:rPr>
            </w:pPr>
            <w:r>
              <w:rPr>
                <w:b/>
                <w:bCs/>
                <w:sz w:val="18"/>
                <w:szCs w:val="18"/>
                <w:lang w:val="cs-CZ"/>
              </w:rPr>
              <w:t>29</w:t>
            </w:r>
          </w:p>
        </w:tc>
        <w:tc>
          <w:tcPr>
            <w:tcW w:w="169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D95BFD" w14:textId="3424FC69" w:rsidR="00294E6C" w:rsidRPr="00294E6C" w:rsidRDefault="00294E6C" w:rsidP="00294E6C">
            <w:pPr>
              <w:rPr>
                <w:b/>
                <w:bCs/>
                <w:sz w:val="18"/>
                <w:szCs w:val="18"/>
                <w:lang w:val="cs-CZ"/>
              </w:rPr>
            </w:pPr>
          </w:p>
        </w:tc>
        <w:tc>
          <w:tcPr>
            <w:tcW w:w="1621"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1AAE6FB" w14:textId="09821785" w:rsidR="00294E6C" w:rsidRPr="00294E6C" w:rsidRDefault="00294E6C" w:rsidP="00294E6C">
            <w:pPr>
              <w:rPr>
                <w:b/>
                <w:bCs/>
                <w:color w:val="000000"/>
                <w:sz w:val="18"/>
                <w:szCs w:val="18"/>
                <w:lang w:val="cs-CZ"/>
              </w:rPr>
            </w:pPr>
            <w:r w:rsidRPr="00294E6C">
              <w:rPr>
                <w:b/>
                <w:bCs/>
                <w:color w:val="C00000"/>
                <w:sz w:val="18"/>
                <w:szCs w:val="18"/>
                <w:lang w:val="cs-CZ"/>
              </w:rPr>
              <w:t>ZÁSADNÍ</w:t>
            </w:r>
          </w:p>
        </w:tc>
        <w:tc>
          <w:tcPr>
            <w:tcW w:w="2159"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6BFE95" w14:textId="5ECD0961" w:rsidR="00294E6C" w:rsidRPr="00294E6C" w:rsidRDefault="00294E6C" w:rsidP="00294E6C">
            <w:pPr>
              <w:rPr>
                <w:sz w:val="18"/>
                <w:szCs w:val="18"/>
                <w:lang w:val="cs-CZ"/>
              </w:rPr>
            </w:pPr>
            <w:r w:rsidRPr="00294E6C">
              <w:rPr>
                <w:sz w:val="18"/>
                <w:szCs w:val="18"/>
                <w:lang w:val="cs-CZ"/>
              </w:rPr>
              <w:t>Materiál (část III.), kap. VI (Legislativní bariéry) – nové opatření: Zákon č. 134/2016 Sb., o zadávání veřejných zakázek</w:t>
            </w:r>
          </w:p>
        </w:tc>
        <w:tc>
          <w:tcPr>
            <w:tcW w:w="757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AEDB3B0" w14:textId="77777777" w:rsidR="00294E6C" w:rsidRPr="00294E6C" w:rsidRDefault="00294E6C" w:rsidP="00294E6C">
            <w:pPr>
              <w:spacing w:after="60"/>
              <w:rPr>
                <w:lang w:val="cs-CZ"/>
              </w:rPr>
            </w:pPr>
            <w:r w:rsidRPr="00294E6C">
              <w:rPr>
                <w:b/>
                <w:bCs/>
                <w:sz w:val="18"/>
                <w:szCs w:val="18"/>
                <w:lang w:val="cs-CZ"/>
              </w:rPr>
              <w:t>Návrh nového legislativního opatření:</w:t>
            </w:r>
          </w:p>
          <w:p w14:paraId="0C1364E5" w14:textId="77777777" w:rsidR="00294E6C" w:rsidRPr="00294E6C" w:rsidRDefault="00294E6C" w:rsidP="00294E6C">
            <w:pPr>
              <w:spacing w:after="60"/>
              <w:rPr>
                <w:lang w:val="cs-CZ"/>
              </w:rPr>
            </w:pPr>
            <w:r w:rsidRPr="00294E6C">
              <w:rPr>
                <w:sz w:val="18"/>
                <w:szCs w:val="18"/>
                <w:lang w:val="cs-CZ"/>
              </w:rPr>
              <w:t>Materiál ve své stávající podobě neobsahuje legislativní opatření, které je z hlediska implementace kapitálových finančních nástrojů z fondů EU v období 2028+ zcela klíčové – úpravu zákona č. 134/2016 Sb., o zadávání veřejných zakázek (ZZVZ), pro státní investiční subjekty (typicky NRI) působící v rámci holdingového fondu (fondu fondů).</w:t>
            </w:r>
          </w:p>
          <w:p w14:paraId="5F1265B4" w14:textId="77777777" w:rsidR="00294E6C" w:rsidRPr="00294E6C" w:rsidRDefault="00294E6C" w:rsidP="00294E6C">
            <w:pPr>
              <w:spacing w:after="60"/>
              <w:rPr>
                <w:lang w:val="cs-CZ"/>
              </w:rPr>
            </w:pPr>
            <w:r w:rsidRPr="00294E6C">
              <w:rPr>
                <w:b/>
                <w:bCs/>
                <w:sz w:val="18"/>
                <w:szCs w:val="18"/>
                <w:lang w:val="cs-CZ"/>
              </w:rPr>
              <w:t>Popis problému:</w:t>
            </w:r>
          </w:p>
          <w:p w14:paraId="5FD4934A" w14:textId="77777777" w:rsidR="00294E6C" w:rsidRPr="00294E6C" w:rsidRDefault="00294E6C" w:rsidP="00BB0B1E">
            <w:pPr>
              <w:spacing w:after="60"/>
              <w:jc w:val="both"/>
              <w:rPr>
                <w:lang w:val="cs-CZ"/>
              </w:rPr>
            </w:pPr>
            <w:r w:rsidRPr="00294E6C">
              <w:rPr>
                <w:sz w:val="18"/>
                <w:szCs w:val="18"/>
                <w:lang w:val="cs-CZ"/>
              </w:rPr>
              <w:t xml:space="preserve">U kapitálových finančních nástrojů, které jsou implementovány formou holdingového fondu, je výrazným úzkým místem realizace otázka efektivního výběru finančních zprostředkovatelů – správců podkladových investičních fondů. V rámci holdingového fondu by měl jeho správce (v českých podmínkách typicky NRI) vybrat finanční zprostředkovatele, kteří budou následně investovat svěřené prostředky prostřednictvím jimi spravovaného investičního fondu do konečných příjemců. Typicky je tento model využíván v oblasti startupového financování </w:t>
            </w:r>
            <w:r w:rsidRPr="00294E6C">
              <w:rPr>
                <w:sz w:val="18"/>
                <w:szCs w:val="18"/>
                <w:lang w:val="cs-CZ"/>
              </w:rPr>
              <w:lastRenderedPageBreak/>
              <w:t xml:space="preserve">(venture </w:t>
            </w:r>
            <w:proofErr w:type="spellStart"/>
            <w:r w:rsidRPr="00294E6C">
              <w:rPr>
                <w:sz w:val="18"/>
                <w:szCs w:val="18"/>
                <w:lang w:val="cs-CZ"/>
              </w:rPr>
              <w:t>capital</w:t>
            </w:r>
            <w:proofErr w:type="spellEnd"/>
            <w:r w:rsidRPr="00294E6C">
              <w:rPr>
                <w:sz w:val="18"/>
                <w:szCs w:val="18"/>
                <w:lang w:val="cs-CZ"/>
              </w:rPr>
              <w:t xml:space="preserve"> – VC), kdy státní fond investuje prostředky do vybraných VC fondů po boku dalších soukromých investorů.</w:t>
            </w:r>
          </w:p>
          <w:p w14:paraId="7923631C" w14:textId="77777777" w:rsidR="00294E6C" w:rsidRPr="00294E6C" w:rsidRDefault="00294E6C" w:rsidP="00BB0B1E">
            <w:pPr>
              <w:spacing w:after="60"/>
              <w:jc w:val="both"/>
              <w:rPr>
                <w:lang w:val="cs-CZ"/>
              </w:rPr>
            </w:pPr>
            <w:r w:rsidRPr="00294E6C">
              <w:rPr>
                <w:sz w:val="18"/>
                <w:szCs w:val="18"/>
                <w:lang w:val="cs-CZ"/>
              </w:rPr>
              <w:t xml:space="preserve">Výběr VC fondů svým charakterem spadá do investičního procesu, v </w:t>
            </w:r>
            <w:proofErr w:type="gramStart"/>
            <w:r w:rsidRPr="00294E6C">
              <w:rPr>
                <w:sz w:val="18"/>
                <w:szCs w:val="18"/>
                <w:lang w:val="cs-CZ"/>
              </w:rPr>
              <w:t>rámci</w:t>
            </w:r>
            <w:proofErr w:type="gramEnd"/>
            <w:r w:rsidRPr="00294E6C">
              <w:rPr>
                <w:sz w:val="18"/>
                <w:szCs w:val="18"/>
                <w:lang w:val="cs-CZ"/>
              </w:rPr>
              <w:t xml:space="preserve"> kterého je prováděn </w:t>
            </w:r>
            <w:proofErr w:type="spellStart"/>
            <w:r w:rsidRPr="00294E6C">
              <w:rPr>
                <w:sz w:val="18"/>
                <w:szCs w:val="18"/>
                <w:lang w:val="cs-CZ"/>
              </w:rPr>
              <w:t>due</w:t>
            </w:r>
            <w:proofErr w:type="spellEnd"/>
            <w:r w:rsidRPr="00294E6C">
              <w:rPr>
                <w:sz w:val="18"/>
                <w:szCs w:val="18"/>
                <w:lang w:val="cs-CZ"/>
              </w:rPr>
              <w:t>-diligence přihlášených fondů a prověřován zejména investiční track-</w:t>
            </w:r>
            <w:proofErr w:type="spellStart"/>
            <w:r w:rsidRPr="00294E6C">
              <w:rPr>
                <w:sz w:val="18"/>
                <w:szCs w:val="18"/>
                <w:lang w:val="cs-CZ"/>
              </w:rPr>
              <w:t>record</w:t>
            </w:r>
            <w:proofErr w:type="spellEnd"/>
            <w:r w:rsidRPr="00294E6C">
              <w:rPr>
                <w:sz w:val="18"/>
                <w:szCs w:val="18"/>
                <w:lang w:val="cs-CZ"/>
              </w:rPr>
              <w:t xml:space="preserve"> daného týmu, soulad s tržními standardy a schopnost dosáhnout stanovených investičních cílů. V podmínkách finančních nástrojů z fondů EU nicméně existuje významná výkladová nejistota, zda holdingový fond může provádět výběr investičních fondů tímto standardním investičním způsobem, nebo zda musí výběr finančních zprostředkovatelů provést formou veřejné zakázky, která výběrový proces výrazně časově a administrativně komplikuje a limituje možnost kvalitativního investičního posouzení daných fondů.</w:t>
            </w:r>
          </w:p>
          <w:p w14:paraId="5D9E1238" w14:textId="77777777" w:rsidR="00294E6C" w:rsidRPr="00294E6C" w:rsidRDefault="00294E6C" w:rsidP="00BB0B1E">
            <w:pPr>
              <w:spacing w:after="60"/>
              <w:jc w:val="both"/>
              <w:rPr>
                <w:lang w:val="cs-CZ"/>
              </w:rPr>
            </w:pPr>
            <w:r w:rsidRPr="00294E6C">
              <w:rPr>
                <w:sz w:val="18"/>
                <w:szCs w:val="18"/>
                <w:lang w:val="cs-CZ"/>
              </w:rPr>
              <w:t>Z důvodu této nejistoty v ČR v minulosti realizoval výběr VC fondů prostřednictvím holdingového fondu na úrovni EU fondů pouze Evropský investiční fond, který má legislativní výjimku z pravidel platných pro veřejné zadávání. V rámci nově navržené legislativy fondů EU je uváděn pouze obecný požadavek výběru finančních zprostředkovatelů holdingovým fondem „prostřednictvím transparentních procedur“. Je proto vhodné na národní úrovni vyjasnit možnost českých subjektů provádět výběr finančních zprostředkovatelů i mimo veřejnou zakázku.</w:t>
            </w:r>
          </w:p>
          <w:p w14:paraId="142DE1A9" w14:textId="77777777" w:rsidR="00294E6C" w:rsidRPr="00294E6C" w:rsidRDefault="00294E6C" w:rsidP="00294E6C">
            <w:pPr>
              <w:spacing w:after="60"/>
              <w:rPr>
                <w:lang w:val="cs-CZ"/>
              </w:rPr>
            </w:pPr>
            <w:r w:rsidRPr="00294E6C">
              <w:rPr>
                <w:b/>
                <w:bCs/>
                <w:sz w:val="18"/>
                <w:szCs w:val="18"/>
                <w:lang w:val="cs-CZ"/>
              </w:rPr>
              <w:t>Požadujeme do kap. VI (Legislativní bariéry) materiálu doplnit jako nové legislativní opatření úpravu zákona č. 134/2016 Sb. v následující struktuře:</w:t>
            </w:r>
          </w:p>
          <w:p w14:paraId="3F36D8C7" w14:textId="77777777" w:rsidR="00294E6C" w:rsidRPr="00294E6C" w:rsidRDefault="00294E6C" w:rsidP="00BB0B1E">
            <w:pPr>
              <w:pStyle w:val="Odstavecseseznamem"/>
              <w:numPr>
                <w:ilvl w:val="0"/>
                <w:numId w:val="3"/>
              </w:numPr>
              <w:spacing w:after="40"/>
              <w:jc w:val="both"/>
              <w:rPr>
                <w:lang w:val="cs-CZ"/>
              </w:rPr>
            </w:pPr>
            <w:r w:rsidRPr="00294E6C">
              <w:rPr>
                <w:sz w:val="18"/>
                <w:szCs w:val="18"/>
                <w:lang w:val="cs-CZ"/>
              </w:rPr>
              <w:t xml:space="preserve">Doporučená řešení: úprava zákona č. 134/2016 Sb. způsobem, který by umožnil NRI či obdobným státním investičním subjektům s ohledem na obchodní povahu jejich činnosti nebýt v pozici „veřejného zadavatele“; tím by NRI per se byla vyloučena z povinnosti realizovat veřejné zakázky a nebyla by vystavena pochybnosti stran aplikace procedury veřejného zadávání při svých investicích do fondů; tento model je dlouhodobě aplikován u některých obdobných státních fondů v jiných členských státech EU (např. polský PFR </w:t>
            </w:r>
            <w:proofErr w:type="spellStart"/>
            <w:r w:rsidRPr="00294E6C">
              <w:rPr>
                <w:sz w:val="18"/>
                <w:szCs w:val="18"/>
                <w:lang w:val="cs-CZ"/>
              </w:rPr>
              <w:t>Ventures</w:t>
            </w:r>
            <w:proofErr w:type="spellEnd"/>
            <w:r w:rsidRPr="00294E6C">
              <w:rPr>
                <w:sz w:val="18"/>
                <w:szCs w:val="18"/>
                <w:lang w:val="cs-CZ"/>
              </w:rPr>
              <w:t>), které díky tomu mohou ve velkém objemu realizovat i programy z fondů EU;</w:t>
            </w:r>
          </w:p>
          <w:p w14:paraId="36270F9A" w14:textId="77777777" w:rsidR="00294E6C" w:rsidRPr="00294E6C" w:rsidRDefault="00294E6C" w:rsidP="00BB0B1E">
            <w:pPr>
              <w:pStyle w:val="Odstavecseseznamem"/>
              <w:numPr>
                <w:ilvl w:val="0"/>
                <w:numId w:val="3"/>
              </w:numPr>
              <w:spacing w:after="40"/>
              <w:jc w:val="both"/>
              <w:rPr>
                <w:lang w:val="cs-CZ"/>
              </w:rPr>
            </w:pPr>
            <w:r w:rsidRPr="00294E6C">
              <w:rPr>
                <w:sz w:val="18"/>
                <w:szCs w:val="18"/>
                <w:lang w:val="cs-CZ"/>
              </w:rPr>
              <w:t>Technické provedení: potřebná úprava zákona se týká definice zadavatele a spočívá v odstranění § 4 odst. 2 ZZVZ či v doplnění specifické výjimky z tohoto ustanovení; podle § 4 odst. 2 ZZVZ je zadavatelem „osoba, která k úhradě nadlimitní nebo podlimitní veřejné zakázky využije více než 200 000 000 Kč, nebo více než 50 % peněžních prostředků, poskytnutých z rozpočtu veřejného zadavatele“;</w:t>
            </w:r>
          </w:p>
          <w:p w14:paraId="138E6176" w14:textId="77777777" w:rsidR="00294E6C" w:rsidRPr="00294E6C" w:rsidRDefault="00294E6C" w:rsidP="00BB0B1E">
            <w:pPr>
              <w:pStyle w:val="Odstavecseseznamem"/>
              <w:numPr>
                <w:ilvl w:val="0"/>
                <w:numId w:val="3"/>
              </w:numPr>
              <w:spacing w:after="40"/>
              <w:jc w:val="both"/>
              <w:rPr>
                <w:lang w:val="cs-CZ"/>
              </w:rPr>
            </w:pPr>
            <w:r w:rsidRPr="00294E6C">
              <w:rPr>
                <w:sz w:val="18"/>
                <w:szCs w:val="18"/>
                <w:lang w:val="cs-CZ"/>
              </w:rPr>
              <w:t>Prostor pro úpravu: pro navrhovanou legislativní změnu existuje dostatečný prostor, protože současná tuzemská právní úprava zadávání veřejných zakázek jde v definici dotovaného zadavatele nad rámec Směrnice 2014/24/EU o zadávání veřejných zakázek a podobná výjimka již byla v minulosti přijata pro některé zakázky v oblasti zemědělství;</w:t>
            </w:r>
          </w:p>
          <w:p w14:paraId="583DAF87" w14:textId="77777777" w:rsidR="00294E6C" w:rsidRPr="00294E6C" w:rsidRDefault="00294E6C" w:rsidP="00BB0B1E">
            <w:pPr>
              <w:pStyle w:val="Odstavecseseznamem"/>
              <w:numPr>
                <w:ilvl w:val="0"/>
                <w:numId w:val="3"/>
              </w:numPr>
              <w:spacing w:after="40"/>
              <w:jc w:val="both"/>
              <w:rPr>
                <w:lang w:val="cs-CZ"/>
              </w:rPr>
            </w:pPr>
            <w:r w:rsidRPr="00294E6C">
              <w:rPr>
                <w:sz w:val="18"/>
                <w:szCs w:val="18"/>
                <w:lang w:val="cs-CZ"/>
              </w:rPr>
              <w:t>Doplňující metodické opatření: v návaznosti na tuto výjimku je vhodné ze strany MMR coby gestora ZZVZ specifikovat metodický výklad, který by potvrdil obchodní povahu činnosti NRI jakožto státního investičního subjektu v souladu s § 4 odst. 1 písm. e) ZZVZ;</w:t>
            </w:r>
          </w:p>
          <w:p w14:paraId="5E1253F9" w14:textId="5183A8B5" w:rsidR="00294E6C" w:rsidRPr="00294E6C" w:rsidRDefault="00294E6C" w:rsidP="00BB0B1E">
            <w:pPr>
              <w:spacing w:after="60"/>
              <w:jc w:val="both"/>
              <w:rPr>
                <w:b/>
                <w:bCs/>
                <w:sz w:val="18"/>
                <w:szCs w:val="18"/>
                <w:lang w:val="cs-CZ"/>
              </w:rPr>
            </w:pPr>
            <w:r w:rsidRPr="00294E6C">
              <w:rPr>
                <w:sz w:val="18"/>
                <w:szCs w:val="18"/>
                <w:lang w:val="cs-CZ"/>
              </w:rPr>
              <w:t xml:space="preserve">Přínosy legislativní úpravy: úprava odstraní pochybnosti související s aplikovatelností pravidel pro zadávání veřejných zakázek při výběru finančních zprostředkovatelů ze strany státních investičních subjektů a umožní NRI efektivně vybírat finanční zprostředkovatele z řad VC / </w:t>
            </w:r>
            <w:proofErr w:type="spellStart"/>
            <w:r w:rsidRPr="00294E6C">
              <w:rPr>
                <w:sz w:val="18"/>
                <w:szCs w:val="18"/>
                <w:lang w:val="cs-CZ"/>
              </w:rPr>
              <w:t>private</w:t>
            </w:r>
            <w:proofErr w:type="spellEnd"/>
            <w:r w:rsidRPr="00294E6C">
              <w:rPr>
                <w:sz w:val="18"/>
                <w:szCs w:val="18"/>
                <w:lang w:val="cs-CZ"/>
              </w:rPr>
              <w:t xml:space="preserve"> </w:t>
            </w:r>
            <w:proofErr w:type="spellStart"/>
            <w:r w:rsidRPr="00294E6C">
              <w:rPr>
                <w:sz w:val="18"/>
                <w:szCs w:val="18"/>
                <w:lang w:val="cs-CZ"/>
              </w:rPr>
              <w:t>equity</w:t>
            </w:r>
            <w:proofErr w:type="spellEnd"/>
            <w:r w:rsidRPr="00294E6C">
              <w:rPr>
                <w:sz w:val="18"/>
                <w:szCs w:val="18"/>
                <w:lang w:val="cs-CZ"/>
              </w:rPr>
              <w:t xml:space="preserve"> fondů, jež umožňují využívat prostředky EU fondů na investice za tržních podmínek při spoluúčasti soukromých tržních investorů; to výrazně zvýší potenciální objem EU fondů uplatnitelný prostřednictvím kapitálových nástrojů za tržních podmínek.</w:t>
            </w:r>
          </w:p>
        </w:tc>
        <w:tc>
          <w:tcPr>
            <w:tcW w:w="1765"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02C59FE" w14:textId="77777777" w:rsidR="00294E6C" w:rsidRPr="00294E6C" w:rsidRDefault="00294E6C" w:rsidP="00294E6C">
            <w:pPr>
              <w:rPr>
                <w:lang w:val="cs-CZ"/>
              </w:rPr>
            </w:pPr>
          </w:p>
        </w:tc>
      </w:tr>
    </w:tbl>
    <w:p w14:paraId="3B154593" w14:textId="236061A8" w:rsidR="00EA0986" w:rsidRPr="00294E6C" w:rsidRDefault="00EA0986" w:rsidP="00E1598F">
      <w:pPr>
        <w:rPr>
          <w:lang w:val="cs-CZ"/>
        </w:rPr>
      </w:pPr>
    </w:p>
    <w:sectPr w:rsidR="00EA0986" w:rsidRPr="00294E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040"/>
    <w:multiLevelType w:val="hybridMultilevel"/>
    <w:tmpl w:val="EAFEA55E"/>
    <w:lvl w:ilvl="0" w:tplc="A71416DA">
      <w:start w:val="1"/>
      <w:numFmt w:val="bullet"/>
      <w:lvlText w:val="●"/>
      <w:lvlJc w:val="left"/>
      <w:pPr>
        <w:ind w:left="720" w:hanging="360"/>
      </w:pPr>
    </w:lvl>
    <w:lvl w:ilvl="1" w:tplc="09D80E74">
      <w:start w:val="1"/>
      <w:numFmt w:val="bullet"/>
      <w:lvlText w:val="○"/>
      <w:lvlJc w:val="left"/>
      <w:pPr>
        <w:ind w:left="1440" w:hanging="360"/>
      </w:pPr>
    </w:lvl>
    <w:lvl w:ilvl="2" w:tplc="F37C9218">
      <w:start w:val="1"/>
      <w:numFmt w:val="bullet"/>
      <w:lvlText w:val="■"/>
      <w:lvlJc w:val="left"/>
      <w:pPr>
        <w:ind w:left="2160" w:hanging="360"/>
      </w:pPr>
    </w:lvl>
    <w:lvl w:ilvl="3" w:tplc="37CE347C">
      <w:start w:val="1"/>
      <w:numFmt w:val="bullet"/>
      <w:lvlText w:val="●"/>
      <w:lvlJc w:val="left"/>
      <w:pPr>
        <w:ind w:left="2880" w:hanging="360"/>
      </w:pPr>
    </w:lvl>
    <w:lvl w:ilvl="4" w:tplc="E0361B46">
      <w:start w:val="1"/>
      <w:numFmt w:val="bullet"/>
      <w:lvlText w:val="○"/>
      <w:lvlJc w:val="left"/>
      <w:pPr>
        <w:ind w:left="3600" w:hanging="360"/>
      </w:pPr>
    </w:lvl>
    <w:lvl w:ilvl="5" w:tplc="8DDEE1D0">
      <w:start w:val="1"/>
      <w:numFmt w:val="bullet"/>
      <w:lvlText w:val="■"/>
      <w:lvlJc w:val="left"/>
      <w:pPr>
        <w:ind w:left="4320" w:hanging="360"/>
      </w:pPr>
    </w:lvl>
    <w:lvl w:ilvl="6" w:tplc="77740E7A">
      <w:start w:val="1"/>
      <w:numFmt w:val="bullet"/>
      <w:lvlText w:val="●"/>
      <w:lvlJc w:val="left"/>
      <w:pPr>
        <w:ind w:left="5040" w:hanging="360"/>
      </w:pPr>
    </w:lvl>
    <w:lvl w:ilvl="7" w:tplc="9B9E8EE6">
      <w:start w:val="1"/>
      <w:numFmt w:val="bullet"/>
      <w:lvlText w:val="●"/>
      <w:lvlJc w:val="left"/>
      <w:pPr>
        <w:ind w:left="5760" w:hanging="360"/>
      </w:pPr>
    </w:lvl>
    <w:lvl w:ilvl="8" w:tplc="7E8AF276">
      <w:start w:val="1"/>
      <w:numFmt w:val="bullet"/>
      <w:lvlText w:val="●"/>
      <w:lvlJc w:val="left"/>
      <w:pPr>
        <w:ind w:left="6480" w:hanging="360"/>
      </w:pPr>
    </w:lvl>
  </w:abstractNum>
  <w:abstractNum w:abstractNumId="1" w15:restartNumberingAfterBreak="0">
    <w:nsid w:val="27937F1D"/>
    <w:multiLevelType w:val="hybridMultilevel"/>
    <w:tmpl w:val="A0E01BC4"/>
    <w:lvl w:ilvl="0" w:tplc="7CECEA6E">
      <w:start w:val="1"/>
      <w:numFmt w:val="bullet"/>
      <w:lvlText w:val="•"/>
      <w:lvlJc w:val="left"/>
      <w:pPr>
        <w:ind w:left="360" w:hanging="200"/>
      </w:pPr>
    </w:lvl>
    <w:lvl w:ilvl="1" w:tplc="FCD2CDE4">
      <w:numFmt w:val="decimal"/>
      <w:lvlText w:val=""/>
      <w:lvlJc w:val="left"/>
      <w:pPr>
        <w:ind w:left="0" w:firstLine="0"/>
      </w:pPr>
    </w:lvl>
    <w:lvl w:ilvl="2" w:tplc="4B1CE2C2">
      <w:numFmt w:val="decimal"/>
      <w:lvlText w:val=""/>
      <w:lvlJc w:val="left"/>
      <w:pPr>
        <w:ind w:left="0" w:firstLine="0"/>
      </w:pPr>
    </w:lvl>
    <w:lvl w:ilvl="3" w:tplc="EB2A4E98">
      <w:numFmt w:val="decimal"/>
      <w:lvlText w:val=""/>
      <w:lvlJc w:val="left"/>
      <w:pPr>
        <w:ind w:left="0" w:firstLine="0"/>
      </w:pPr>
    </w:lvl>
    <w:lvl w:ilvl="4" w:tplc="6AE40C48">
      <w:numFmt w:val="decimal"/>
      <w:lvlText w:val=""/>
      <w:lvlJc w:val="left"/>
      <w:pPr>
        <w:ind w:left="0" w:firstLine="0"/>
      </w:pPr>
    </w:lvl>
    <w:lvl w:ilvl="5" w:tplc="644AF66E">
      <w:numFmt w:val="decimal"/>
      <w:lvlText w:val=""/>
      <w:lvlJc w:val="left"/>
      <w:pPr>
        <w:ind w:left="0" w:firstLine="0"/>
      </w:pPr>
    </w:lvl>
    <w:lvl w:ilvl="6" w:tplc="9F52A6F4">
      <w:numFmt w:val="decimal"/>
      <w:lvlText w:val=""/>
      <w:lvlJc w:val="left"/>
      <w:pPr>
        <w:ind w:left="0" w:firstLine="0"/>
      </w:pPr>
    </w:lvl>
    <w:lvl w:ilvl="7" w:tplc="64383D3A">
      <w:numFmt w:val="decimal"/>
      <w:lvlText w:val=""/>
      <w:lvlJc w:val="left"/>
      <w:pPr>
        <w:ind w:left="0" w:firstLine="0"/>
      </w:pPr>
    </w:lvl>
    <w:lvl w:ilvl="8" w:tplc="4334A6DC">
      <w:numFmt w:val="decimal"/>
      <w:lvlText w:val=""/>
      <w:lvlJc w:val="left"/>
      <w:pPr>
        <w:ind w:left="0" w:firstLine="0"/>
      </w:pPr>
    </w:lvl>
  </w:abstractNum>
  <w:abstractNum w:abstractNumId="2" w15:restartNumberingAfterBreak="0">
    <w:nsid w:val="4D45267B"/>
    <w:multiLevelType w:val="hybridMultilevel"/>
    <w:tmpl w:val="36F60954"/>
    <w:lvl w:ilvl="0" w:tplc="1F7E9986">
      <w:start w:val="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E4665E"/>
    <w:multiLevelType w:val="hybridMultilevel"/>
    <w:tmpl w:val="CEE24A8E"/>
    <w:lvl w:ilvl="0" w:tplc="B55872B0">
      <w:start w:val="1"/>
      <w:numFmt w:val="bullet"/>
      <w:lvlText w:val="•"/>
      <w:lvlJc w:val="left"/>
      <w:pPr>
        <w:ind w:left="360" w:hanging="200"/>
      </w:pPr>
    </w:lvl>
    <w:lvl w:ilvl="1" w:tplc="37960802">
      <w:numFmt w:val="decimal"/>
      <w:lvlText w:val=""/>
      <w:lvlJc w:val="left"/>
    </w:lvl>
    <w:lvl w:ilvl="2" w:tplc="7122B564">
      <w:numFmt w:val="decimal"/>
      <w:lvlText w:val=""/>
      <w:lvlJc w:val="left"/>
    </w:lvl>
    <w:lvl w:ilvl="3" w:tplc="3398BEB8">
      <w:numFmt w:val="decimal"/>
      <w:lvlText w:val=""/>
      <w:lvlJc w:val="left"/>
    </w:lvl>
    <w:lvl w:ilvl="4" w:tplc="47BC804C">
      <w:numFmt w:val="decimal"/>
      <w:lvlText w:val=""/>
      <w:lvlJc w:val="left"/>
    </w:lvl>
    <w:lvl w:ilvl="5" w:tplc="53F8AEC6">
      <w:numFmt w:val="decimal"/>
      <w:lvlText w:val=""/>
      <w:lvlJc w:val="left"/>
    </w:lvl>
    <w:lvl w:ilvl="6" w:tplc="7FA09782">
      <w:numFmt w:val="decimal"/>
      <w:lvlText w:val=""/>
      <w:lvlJc w:val="left"/>
    </w:lvl>
    <w:lvl w:ilvl="7" w:tplc="FFB2D7BC">
      <w:numFmt w:val="decimal"/>
      <w:lvlText w:val=""/>
      <w:lvlJc w:val="left"/>
    </w:lvl>
    <w:lvl w:ilvl="8" w:tplc="C038A4A2">
      <w:numFmt w:val="decimal"/>
      <w:lvlText w:val=""/>
      <w:lvlJc w:val="left"/>
    </w:lvl>
  </w:abstractNum>
  <w:num w:numId="1" w16cid:durableId="330111130">
    <w:abstractNumId w:val="0"/>
    <w:lvlOverride w:ilvl="0">
      <w:startOverride w:val="1"/>
    </w:lvlOverride>
  </w:num>
  <w:num w:numId="2" w16cid:durableId="2005618278">
    <w:abstractNumId w:val="3"/>
    <w:lvlOverride w:ilvl="0">
      <w:startOverride w:val="1"/>
    </w:lvlOverride>
  </w:num>
  <w:num w:numId="3" w16cid:durableId="76172483">
    <w:abstractNumId w:val="1"/>
  </w:num>
  <w:num w:numId="4" w16cid:durableId="122922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86"/>
    <w:rsid w:val="00294E6C"/>
    <w:rsid w:val="002F4E8A"/>
    <w:rsid w:val="003A5584"/>
    <w:rsid w:val="003D6BFF"/>
    <w:rsid w:val="00433FE3"/>
    <w:rsid w:val="00455AB4"/>
    <w:rsid w:val="00522E79"/>
    <w:rsid w:val="005E0170"/>
    <w:rsid w:val="00661DDA"/>
    <w:rsid w:val="00A92880"/>
    <w:rsid w:val="00AB6E18"/>
    <w:rsid w:val="00AD2834"/>
    <w:rsid w:val="00B441C1"/>
    <w:rsid w:val="00B65ECB"/>
    <w:rsid w:val="00BB0B1E"/>
    <w:rsid w:val="00CE4258"/>
    <w:rsid w:val="00CF3128"/>
    <w:rsid w:val="00DB5783"/>
    <w:rsid w:val="00DE7EE1"/>
    <w:rsid w:val="00E1598F"/>
    <w:rsid w:val="00EA0986"/>
    <w:rsid w:val="00F34B8F"/>
    <w:rsid w:val="00F93B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E51"/>
  <w15:docId w15:val="{97F4C3AA-752A-4906-A03A-46118AE0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DDA"/>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rPr>
      <w:sz w:val="56"/>
      <w:szCs w:val="56"/>
    </w:rPr>
  </w:style>
  <w:style w:type="paragraph" w:customStyle="1" w:styleId="Vrazn1">
    <w:name w:val="Výrazný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style>
  <w:style w:type="character" w:customStyle="1" w:styleId="TextpoznpodarouChar">
    <w:name w:val="Text pozn. pod čarou Char"/>
    <w:link w:val="Textpoznpodarou"/>
    <w:uiPriority w:val="99"/>
    <w:semiHidden/>
    <w:unhideWhenUsed/>
    <w:rPr>
      <w:sz w:val="20"/>
      <w:szCs w:val="20"/>
    </w:rPr>
  </w:style>
  <w:style w:type="character" w:styleId="Odkaznavysvtlivky">
    <w:name w:val="endnote reference"/>
    <w:uiPriority w:val="99"/>
    <w:semiHidden/>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semiHidden/>
    <w:unhideWhenUsed/>
    <w:rPr>
      <w:sz w:val="20"/>
      <w:szCs w:val="20"/>
    </w:rPr>
  </w:style>
  <w:style w:type="character" w:styleId="Nevyeenzmnka">
    <w:name w:val="Unresolved Mention"/>
    <w:basedOn w:val="Standardnpsmoodstavce"/>
    <w:uiPriority w:val="99"/>
    <w:semiHidden/>
    <w:unhideWhenUsed/>
    <w:rsid w:val="00CE4258"/>
    <w:rPr>
      <w:color w:val="605E5C"/>
      <w:shd w:val="clear" w:color="auto" w:fill="E1DFDD"/>
    </w:rPr>
  </w:style>
  <w:style w:type="table" w:styleId="Mkatabulky">
    <w:name w:val="Table Grid"/>
    <w:basedOn w:val="Normlntabulka"/>
    <w:uiPriority w:val="59"/>
    <w:rsid w:val="00AB6E18"/>
    <w:rPr>
      <w:rFonts w:ascii="Franklin Gothic Book" w:eastAsiaTheme="minorHAnsi" w:hAnsi="Franklin Gothic Book" w:cs="Times New Roman"/>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avni@ams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52316-30D8-4D23-BDD4-DDD28527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4692</Words>
  <Characters>27683</Characters>
  <Application>Microsoft Office Word</Application>
  <DocSecurity>0</DocSecurity>
  <Lines>230</Lines>
  <Paragraphs>64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Bednářová Jana, PKF APOGEO</cp:lastModifiedBy>
  <cp:revision>3</cp:revision>
  <dcterms:created xsi:type="dcterms:W3CDTF">2026-05-28T07:37:00Z</dcterms:created>
  <dcterms:modified xsi:type="dcterms:W3CDTF">2026-05-28T07:40:00Z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dfe1c1-b1b6-43c7-bd25-dc909155e0b9_Enabled">
    <vt:lpwstr>true</vt:lpwstr>
  </property>
  <property fmtid="{D5CDD505-2E9C-101B-9397-08002B2CF9AE}" pid="3" name="MSIP_Label_9cdfe1c1-b1b6-43c7-bd25-dc909155e0b9_SetDate">
    <vt:lpwstr>2026-05-21T16:59:13Z</vt:lpwstr>
  </property>
  <property fmtid="{D5CDD505-2E9C-101B-9397-08002B2CF9AE}" pid="4" name="MSIP_Label_9cdfe1c1-b1b6-43c7-bd25-dc909155e0b9_Method">
    <vt:lpwstr>Standard</vt:lpwstr>
  </property>
  <property fmtid="{D5CDD505-2E9C-101B-9397-08002B2CF9AE}" pid="5" name="MSIP_Label_9cdfe1c1-b1b6-43c7-bd25-dc909155e0b9_Name">
    <vt:lpwstr>Interní informace</vt:lpwstr>
  </property>
  <property fmtid="{D5CDD505-2E9C-101B-9397-08002B2CF9AE}" pid="6" name="MSIP_Label_9cdfe1c1-b1b6-43c7-bd25-dc909155e0b9_SiteId">
    <vt:lpwstr>4d1a3907-6ad7-4739-80b5-b7ed4066a30b</vt:lpwstr>
  </property>
  <property fmtid="{D5CDD505-2E9C-101B-9397-08002B2CF9AE}" pid="7" name="MSIP_Label_9cdfe1c1-b1b6-43c7-bd25-dc909155e0b9_ActionId">
    <vt:lpwstr>19d97338-95a1-474c-a54d-c215624cf20f</vt:lpwstr>
  </property>
  <property fmtid="{D5CDD505-2E9C-101B-9397-08002B2CF9AE}" pid="8" name="MSIP_Label_9cdfe1c1-b1b6-43c7-bd25-dc909155e0b9_ContentBits">
    <vt:lpwstr>0</vt:lpwstr>
  </property>
  <property fmtid="{D5CDD505-2E9C-101B-9397-08002B2CF9AE}" pid="9" name="MSIP_Label_9cdfe1c1-b1b6-43c7-bd25-dc909155e0b9_Tag">
    <vt:lpwstr>10, 3, 0, 1</vt:lpwstr>
  </property>
</Properties>
</file>