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4145" w14:textId="145C3BD6" w:rsidR="005B2CB3" w:rsidRPr="003D4399" w:rsidRDefault="003E46A0" w:rsidP="003D4399">
      <w:pPr>
        <w:pStyle w:val="Nadpis2"/>
        <w:spacing w:after="120"/>
        <w:rPr>
          <w:color w:val="auto"/>
          <w:sz w:val="40"/>
          <w:szCs w:val="40"/>
          <w:lang w:val="cs-CZ"/>
        </w:rPr>
      </w:pPr>
      <w:r w:rsidRPr="003E46A0">
        <w:rPr>
          <w:color w:val="auto"/>
          <w:sz w:val="40"/>
          <w:szCs w:val="40"/>
          <w:lang w:val="cs-CZ"/>
        </w:rPr>
        <w:t>Zpráva o plnění Exportní strategie ČR 2023–2033 za rok 2025</w:t>
      </w:r>
    </w:p>
    <w:tbl>
      <w:tblPr>
        <w:tblW w:w="10608" w:type="dxa"/>
        <w:jc w:val="center"/>
        <w:tblLayout w:type="fixed"/>
        <w:tblLook w:val="04A0" w:firstRow="1" w:lastRow="0" w:firstColumn="1" w:lastColumn="0" w:noHBand="0" w:noVBand="1"/>
      </w:tblPr>
      <w:tblGrid>
        <w:gridCol w:w="7246"/>
        <w:gridCol w:w="267"/>
        <w:gridCol w:w="3095"/>
      </w:tblGrid>
      <w:tr w:rsidR="005B2CB3" w:rsidRPr="00DD3F8C" w14:paraId="666E1705" w14:textId="77777777" w:rsidTr="00FF7D0F">
        <w:trPr>
          <w:jc w:val="center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0" w:type="dxa"/>
              <w:bottom w:w="60" w:type="dxa"/>
              <w:right w:w="40" w:type="dxa"/>
            </w:tcMar>
          </w:tcPr>
          <w:p w14:paraId="7EE35874" w14:textId="6913D2DA" w:rsidR="005B2CB3" w:rsidRPr="003D4399" w:rsidRDefault="00D26CC0" w:rsidP="00FF7D0F">
            <w:pPr>
              <w:spacing w:after="6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  <w:t>S</w:t>
            </w:r>
            <w:r w:rsidR="005B2CB3" w:rsidRPr="003D4399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  <w:t>hrnutí</w:t>
            </w:r>
          </w:p>
          <w:p w14:paraId="2077FE5F" w14:textId="2D37B430" w:rsidR="008068B0" w:rsidRPr="008068B0" w:rsidRDefault="008068B0" w:rsidP="008068B0">
            <w:pPr>
              <w:spacing w:after="60" w:line="25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Český zahraniční obchod v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roce 2025 </w:t>
            </w:r>
            <w:r w:rsidR="00155B9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čelil</w:t>
            </w:r>
            <w:r w:rsidR="00155B95"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prostředí zvýšené nejistoty. </w:t>
            </w:r>
            <w:r w:rsidR="00E92AFD" w:rsidRPr="00E92AFD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Vedle přetrvávající slabší evropské průmyslové poptávky, tlaku na ceny vstupů a složité geopolitické situace se nově výrazněji projevily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celní bariéry ze strany Spojených států</w:t>
            </w:r>
            <w:r w:rsidR="0079711F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, </w:t>
            </w:r>
            <w:r w:rsidR="00155B95" w:rsidRPr="00155B9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kde dynamika</w:t>
            </w:r>
            <w:r w:rsidR="00217DE8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meziročního růstu</w:t>
            </w:r>
            <w:r w:rsidR="00155B95" w:rsidRPr="00155B9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českého vývozu v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="00155B95" w:rsidRPr="00155B9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běžných cenách zpomalila na 2,4 %</w:t>
            </w:r>
            <w:r w:rsidR="00217DE8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z 19,0 % předchozího roku.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Pro české firmy proto bylo klíčové nejen udržet konkurenceschopnost na tradičních trzích, ale také účinně řídit náklady, přizpůsobovat se změnám v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dodavatelských řetězcích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aktivně hledat příležitosti na dynamičtějších trzích s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příznivějšími podmínkami.</w:t>
            </w:r>
          </w:p>
          <w:p w14:paraId="36664935" w14:textId="3025C532" w:rsidR="008068B0" w:rsidRPr="008068B0" w:rsidRDefault="008068B0" w:rsidP="008068B0">
            <w:pPr>
              <w:spacing w:after="60" w:line="25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I v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tomto prostředí český zahraniční obchod v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roce 2025 navázal na úspěšný rok 2024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v</w:t>
            </w:r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řadě ukazatelů jej překonal. Podle předběžných údajů ČSÚ vzrostl vývoz meziročně o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126,4 mld. Kč, tj. o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2,71 %, na 4,79 bil. Kč, zatímco přebytek obchodní bilance dosáhl 212,9 mld. Kč. Pozitivní z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hlediska dlouhodobých cílů Exportní i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Hospodářské strategie bylo také posilování vývozu mimo EU27: jeho podíl na celkovém vývozu vzrostl na 22,4 %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rostl přibližně dvojnásobným tempem oproti vývozu do EU.</w:t>
            </w:r>
          </w:p>
          <w:p w14:paraId="0D134B6A" w14:textId="41995074" w:rsidR="008068B0" w:rsidRPr="008068B0" w:rsidRDefault="008068B0" w:rsidP="008068B0">
            <w:pPr>
              <w:spacing w:after="60" w:line="25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Pozitivní trendy vykázala</w:t>
            </w:r>
            <w:r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také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struktura vývozu, kde mezi rychle rostoucí položky patřily odborné, vědecké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řídicí přístroje, stroje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zařízení k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výrobě energie, elektrická zařízení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vybrané high-tech kategorie včetně letecké techniky, což vedle zaznamenaného růstu objemu českého exportu ukazuje na postupnou diverzifikaci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="00DD3F8C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potenciál 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posun</w:t>
            </w:r>
            <w:r w:rsidR="00DD3F8C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u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k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sofistikovanější struktuře.</w:t>
            </w:r>
          </w:p>
          <w:p w14:paraId="3840D283" w14:textId="6DAF6A23" w:rsidR="008068B0" w:rsidRPr="008068B0" w:rsidRDefault="008068B0" w:rsidP="008068B0">
            <w:pPr>
              <w:spacing w:after="60" w:line="25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V roce 2025 se plnění Exportní strategie soustředilo zejména na realizaci dříve vybraných 15 prioritních opatření. Pokračoval rozvoj Jednotné zahraniční sítě směrem k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posilování přítomnosti na mimoevropských trzích zahrnující otevření kanceláře CzechTrade v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San Franciscu. Snazší přístup českých firem na zahraniční trhy byl podporován také prostřednictvím </w:t>
            </w:r>
            <w:r w:rsidR="00DD3F8C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dokončování 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obchodních dohod EU, mj. s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Indií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MERCOSUR,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prosazováním pravidel digitálního obchodu, včetně dohody se Singapurem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dokončení jednání s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Jižní Koreou. </w:t>
            </w:r>
          </w:p>
          <w:p w14:paraId="29D8BD7D" w14:textId="165362AD" w:rsidR="008068B0" w:rsidRPr="008068B0" w:rsidRDefault="008068B0" w:rsidP="008068B0">
            <w:pPr>
              <w:spacing w:after="60" w:line="25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Posun zaznamenalo nastavení nástrojů pro implementaci mezinárodních rozvojových projektů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zapojení českých firem, zejména Global Gateway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Facility pro Ukrajinu. V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oblasti zahraničních veletrhů pokračoval rozvoj Programu Českých oficiálních účastí, zejména zaváděním jednotného vizuálního stylu, digitalizací procesů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rozšířením spolupráce s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Ministerstvem obrany na podporu exportu obranného průmyslu.</w:t>
            </w:r>
          </w:p>
          <w:p w14:paraId="7AEA2C57" w14:textId="0D34724A" w:rsidR="008068B0" w:rsidRPr="008068B0" w:rsidRDefault="008068B0" w:rsidP="008068B0">
            <w:pPr>
              <w:spacing w:after="60" w:line="25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Export inovativních firem byl podporován nástroji inkubace, akcelerace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internacionalizace startupů či dalších MSP. Zahájena byla systematičtější spolupráce s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kraji při vyhledávání perspektivních regionálních firem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jejich napojování na proexportní služby státu. V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exportním financování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pojišťování byl v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reakci na omezenou dostupnost financování obranného průmyslu spuštěn nový program EGAP</w:t>
            </w:r>
            <w:r w:rsidR="00DD3F8C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="00DD3F8C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posílen program pro podniky exportující na Ukrajinu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. Systémově významnou změnou bylo také dokončení </w:t>
            </w:r>
            <w:r w:rsidR="00DD3F8C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přesunu 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ČEB pod NRB, kter</w:t>
            </w:r>
            <w:r w:rsidR="00667CF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ý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vytváří </w:t>
            </w:r>
            <w:r w:rsidR="00DD3F8C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mj. 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předpoklady pro silnější propojení exportního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rozvojového financování.</w:t>
            </w:r>
          </w:p>
          <w:p w14:paraId="072CA306" w14:textId="30112CDE" w:rsidR="00D26CC0" w:rsidRDefault="008068B0" w:rsidP="008068B0">
            <w:pPr>
              <w:spacing w:after="60" w:line="25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Plnění některých opatření Strategie nicméně v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roce 2025 naráželo na problém předvídatelné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potřebám odpovídající alokace prostředků. To se promítalo zejména do omezení Českých oficiálních účastí, tlaku na udržení kapacit zahraniční sítě CzechTrade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ekonomických diplomatů</w:t>
            </w:r>
            <w:r w:rsidR="00DD3F8C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MZV</w:t>
            </w:r>
            <w:r w:rsidRPr="008068B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. </w:t>
            </w:r>
          </w:p>
          <w:p w14:paraId="76F122E4" w14:textId="77777777" w:rsidR="00D26CC0" w:rsidRPr="00D26CC0" w:rsidRDefault="00D26CC0" w:rsidP="008068B0">
            <w:pPr>
              <w:spacing w:after="60" w:line="250" w:lineRule="auto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</w:pPr>
            <w:r w:rsidRPr="00D26CC0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  <w:t>Další postup</w:t>
            </w:r>
          </w:p>
          <w:p w14:paraId="76E62875" w14:textId="15097D07" w:rsidR="00086CB9" w:rsidRPr="00A07670" w:rsidRDefault="00A07670" w:rsidP="00206145">
            <w:pPr>
              <w:spacing w:after="60" w:line="250" w:lineRule="auto"/>
              <w:jc w:val="both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A0767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Zajištění stabilního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Pr="00A0767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předvídatelného financování </w:t>
            </w:r>
            <w:r w:rsidR="007F0737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zůstává</w:t>
            </w:r>
            <w:r w:rsidRPr="00A0767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předpokladem pro střednědobé plánování služeb pro exportéry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="007F0737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rozvoj </w:t>
            </w:r>
            <w:r w:rsidRPr="00A0767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navazujících </w:t>
            </w:r>
            <w:r w:rsidR="007F0737" w:rsidRPr="007F0737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projektů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="007F0737" w:rsidRPr="007F0737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nástrojů, </w:t>
            </w:r>
            <w:r w:rsidRPr="00A07670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včetně těch, které předpokládá Hospodářská strategie. </w:t>
            </w:r>
            <w:r w:rsidR="00206145" w:rsidRPr="0020614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Mezi klíčové oblasti dalšího rozvoje patří mimo jiné koordinační platforma Tým Česko, která </w:t>
            </w:r>
            <w:r w:rsidR="0020614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l</w:t>
            </w:r>
            <w:r w:rsidR="00206145" w:rsidRPr="0020614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épe propoj</w:t>
            </w:r>
            <w:r w:rsidR="0020614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í</w:t>
            </w:r>
            <w:r w:rsidR="00206145" w:rsidRPr="0020614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služby státu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="00206145" w:rsidRPr="0020614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zajist</w:t>
            </w:r>
            <w:r w:rsidR="0020614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í</w:t>
            </w:r>
            <w:r w:rsidR="00206145" w:rsidRPr="0020614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 exportérům komplexní podporu, příprava nástrojů pro doménové působení českých firem a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="00206145" w:rsidRPr="0020614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 xml:space="preserve">sektorů ve vybraných teritoriích či posilování kapacit asistenčních služeb exportérům </w:t>
            </w:r>
            <w:r w:rsidR="0020614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s</w:t>
            </w:r>
            <w:r w:rsidR="004C135E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 </w:t>
            </w:r>
            <w:r w:rsidR="00206145">
              <w:rPr>
                <w:rFonts w:asciiTheme="majorHAnsi" w:hAnsiTheme="majorHAnsi" w:cstheme="majorHAnsi"/>
                <w:sz w:val="20"/>
                <w:szCs w:val="20"/>
                <w:lang w:val="cs-CZ"/>
              </w:rPr>
              <w:t>důrazem na mimoevropské trhy.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5B9C833" w14:textId="77777777" w:rsidR="005B2CB3" w:rsidRPr="007F0737" w:rsidRDefault="005B2CB3">
            <w:pPr>
              <w:spacing w:after="80"/>
              <w:rPr>
                <w:rFonts w:asciiTheme="majorHAnsi" w:hAnsiTheme="majorHAnsi" w:cstheme="majorHAnsi"/>
                <w:color w:val="6E6E73"/>
                <w:sz w:val="17"/>
                <w:lang w:val="cs-CZ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0" w:type="dxa"/>
              <w:bottom w:w="60" w:type="dxa"/>
              <w:right w:w="40" w:type="dxa"/>
            </w:tcMar>
          </w:tcPr>
          <w:p w14:paraId="76AB0012" w14:textId="280E377B" w:rsidR="005B2CB3" w:rsidRPr="003D4399" w:rsidRDefault="005B2CB3">
            <w:pPr>
              <w:spacing w:after="8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</w:pPr>
            <w:r w:rsidRPr="003D4399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  <w:t>Export v</w:t>
            </w:r>
            <w:r w:rsidR="004C13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  <w:t> </w:t>
            </w:r>
            <w:r w:rsidRPr="003D4399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  <w:t>roce 2025</w:t>
            </w:r>
          </w:p>
          <w:tbl>
            <w:tblPr>
              <w:tblW w:w="3110" w:type="dxa"/>
              <w:tblLayout w:type="fixed"/>
              <w:tblLook w:val="04A0" w:firstRow="1" w:lastRow="0" w:firstColumn="1" w:lastColumn="0" w:noHBand="0" w:noVBand="1"/>
            </w:tblPr>
            <w:tblGrid>
              <w:gridCol w:w="3110"/>
            </w:tblGrid>
            <w:tr w:rsidR="005B2CB3" w:rsidRPr="005B2CB3" w14:paraId="70EDBBA4" w14:textId="77777777" w:rsidTr="00FF7D0F">
              <w:tc>
                <w:tcPr>
                  <w:tcW w:w="3110" w:type="dxa"/>
                  <w:tcBorders>
                    <w:top w:val="nil"/>
                    <w:left w:val="nil"/>
                    <w:bottom w:val="single" w:sz="6" w:space="0" w:color="E5E5EA"/>
                    <w:right w:val="nil"/>
                  </w:tcBorders>
                  <w:tcMar>
                    <w:top w:w="45" w:type="dxa"/>
                    <w:left w:w="0" w:type="dxa"/>
                    <w:bottom w:w="55" w:type="dxa"/>
                    <w:right w:w="0" w:type="dxa"/>
                  </w:tcMar>
                </w:tcPr>
                <w:p w14:paraId="2C785835" w14:textId="77777777" w:rsidR="005B2CB3" w:rsidRPr="005B2CB3" w:rsidRDefault="005B2CB3">
                  <w:pPr>
                    <w:spacing w:after="0"/>
                    <w:rPr>
                      <w:rFonts w:asciiTheme="majorHAnsi" w:hAnsiTheme="majorHAnsi" w:cstheme="majorHAnsi"/>
                      <w:lang w:val="cs-CZ"/>
                    </w:rPr>
                  </w:pPr>
                  <w:r w:rsidRPr="005B2CB3">
                    <w:rPr>
                      <w:rFonts w:asciiTheme="majorHAnsi" w:hAnsiTheme="majorHAnsi" w:cstheme="majorHAnsi"/>
                      <w:b/>
                      <w:sz w:val="36"/>
                      <w:lang w:val="cs-CZ"/>
                    </w:rPr>
                    <w:t>4,79 bil. Kč</w:t>
                  </w:r>
                </w:p>
                <w:p w14:paraId="1FDCB3E3" w14:textId="44733D87" w:rsidR="005B2CB3" w:rsidRPr="00625236" w:rsidRDefault="003D4399">
                  <w:pPr>
                    <w:spacing w:after="0"/>
                    <w:rPr>
                      <w:rFonts w:asciiTheme="majorHAnsi" w:hAnsiTheme="majorHAnsi" w:cstheme="majorHAnsi"/>
                      <w:sz w:val="16"/>
                      <w:szCs w:val="16"/>
                      <w:lang w:val="cs-CZ"/>
                    </w:rPr>
                  </w:pP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Objem vývozu dle </w:t>
                  </w:r>
                  <w:r w:rsidR="005B2CB3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údaj</w:t>
                  </w: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ů</w:t>
                  </w:r>
                  <w:r w:rsidR="005B2CB3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 ČSÚ k</w:t>
                  </w:r>
                  <w:r w:rsidR="004C135E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 </w:t>
                  </w:r>
                  <w:r w:rsidR="005B2CB3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1. 4. 2026</w:t>
                  </w:r>
                </w:p>
              </w:tc>
            </w:tr>
            <w:tr w:rsidR="005B2CB3" w:rsidRPr="005B2CB3" w14:paraId="21CAD7DF" w14:textId="77777777" w:rsidTr="00FF7D0F">
              <w:tc>
                <w:tcPr>
                  <w:tcW w:w="3110" w:type="dxa"/>
                  <w:tcBorders>
                    <w:top w:val="nil"/>
                    <w:left w:val="nil"/>
                    <w:bottom w:val="single" w:sz="6" w:space="0" w:color="E5E5EA"/>
                    <w:right w:val="nil"/>
                  </w:tcBorders>
                  <w:tcMar>
                    <w:top w:w="45" w:type="dxa"/>
                    <w:left w:w="0" w:type="dxa"/>
                    <w:bottom w:w="55" w:type="dxa"/>
                    <w:right w:w="0" w:type="dxa"/>
                  </w:tcMar>
                </w:tcPr>
                <w:p w14:paraId="3D2C320F" w14:textId="77777777" w:rsidR="005B2CB3" w:rsidRPr="005B2CB3" w:rsidRDefault="005B2CB3">
                  <w:pPr>
                    <w:spacing w:after="0"/>
                    <w:rPr>
                      <w:rFonts w:asciiTheme="majorHAnsi" w:hAnsiTheme="majorHAnsi" w:cstheme="majorHAnsi"/>
                      <w:lang w:val="cs-CZ"/>
                    </w:rPr>
                  </w:pPr>
                  <w:r w:rsidRPr="005B2CB3">
                    <w:rPr>
                      <w:rFonts w:asciiTheme="majorHAnsi" w:hAnsiTheme="majorHAnsi" w:cstheme="majorHAnsi"/>
                      <w:b/>
                      <w:sz w:val="36"/>
                      <w:lang w:val="cs-CZ"/>
                    </w:rPr>
                    <w:t>+126,4 mld. Kč</w:t>
                  </w:r>
                </w:p>
                <w:p w14:paraId="63893533" w14:textId="783FB7EE" w:rsidR="005B2CB3" w:rsidRPr="00625236" w:rsidRDefault="003D4399">
                  <w:pPr>
                    <w:spacing w:after="0"/>
                    <w:rPr>
                      <w:rFonts w:asciiTheme="majorHAnsi" w:hAnsiTheme="majorHAnsi" w:cstheme="majorHAnsi"/>
                      <w:sz w:val="16"/>
                      <w:szCs w:val="16"/>
                      <w:lang w:val="cs-CZ"/>
                    </w:rPr>
                  </w:pP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Meziroční růst vývozu (</w:t>
                  </w:r>
                  <w:r w:rsidR="005B2CB3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+2,71 %</w:t>
                  </w: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)</w:t>
                  </w:r>
                </w:p>
              </w:tc>
            </w:tr>
            <w:tr w:rsidR="005B2CB3" w:rsidRPr="005B2CB3" w14:paraId="2C0C761A" w14:textId="77777777" w:rsidTr="00FF7D0F">
              <w:tc>
                <w:tcPr>
                  <w:tcW w:w="3110" w:type="dxa"/>
                  <w:tcBorders>
                    <w:top w:val="nil"/>
                    <w:left w:val="nil"/>
                    <w:bottom w:val="single" w:sz="6" w:space="0" w:color="E5E5EA"/>
                    <w:right w:val="nil"/>
                  </w:tcBorders>
                  <w:tcMar>
                    <w:top w:w="45" w:type="dxa"/>
                    <w:left w:w="0" w:type="dxa"/>
                    <w:bottom w:w="55" w:type="dxa"/>
                    <w:right w:w="0" w:type="dxa"/>
                  </w:tcMar>
                </w:tcPr>
                <w:p w14:paraId="066075EE" w14:textId="77777777" w:rsidR="005B2CB3" w:rsidRPr="005B2CB3" w:rsidRDefault="005B2CB3">
                  <w:pPr>
                    <w:spacing w:after="0"/>
                    <w:rPr>
                      <w:rFonts w:asciiTheme="majorHAnsi" w:hAnsiTheme="majorHAnsi" w:cstheme="majorHAnsi"/>
                      <w:lang w:val="cs-CZ"/>
                    </w:rPr>
                  </w:pPr>
                  <w:r w:rsidRPr="005B2CB3">
                    <w:rPr>
                      <w:rFonts w:asciiTheme="majorHAnsi" w:hAnsiTheme="majorHAnsi" w:cstheme="majorHAnsi"/>
                      <w:b/>
                      <w:sz w:val="36"/>
                      <w:lang w:val="cs-CZ"/>
                    </w:rPr>
                    <w:t>+212,9 mld. Kč</w:t>
                  </w:r>
                </w:p>
                <w:p w14:paraId="3D98DABE" w14:textId="6504979B" w:rsidR="005B2CB3" w:rsidRPr="00625236" w:rsidRDefault="003D4399">
                  <w:pPr>
                    <w:spacing w:after="0"/>
                    <w:rPr>
                      <w:rFonts w:asciiTheme="majorHAnsi" w:hAnsiTheme="majorHAnsi" w:cstheme="majorHAnsi"/>
                      <w:sz w:val="16"/>
                      <w:szCs w:val="16"/>
                      <w:lang w:val="cs-CZ"/>
                    </w:rPr>
                  </w:pP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P</w:t>
                  </w:r>
                  <w:r w:rsidR="005B2CB3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řebytek obchodní bilance </w:t>
                  </w:r>
                </w:p>
              </w:tc>
            </w:tr>
            <w:tr w:rsidR="005B2CB3" w:rsidRPr="005B2CB3" w14:paraId="485BF66E" w14:textId="77777777" w:rsidTr="00FF7D0F">
              <w:tc>
                <w:tcPr>
                  <w:tcW w:w="3110" w:type="dxa"/>
                  <w:tcBorders>
                    <w:top w:val="nil"/>
                    <w:left w:val="nil"/>
                    <w:bottom w:val="single" w:sz="6" w:space="0" w:color="E5E5EA"/>
                    <w:right w:val="nil"/>
                  </w:tcBorders>
                  <w:tcMar>
                    <w:top w:w="45" w:type="dxa"/>
                    <w:left w:w="0" w:type="dxa"/>
                    <w:bottom w:w="55" w:type="dxa"/>
                    <w:right w:w="0" w:type="dxa"/>
                  </w:tcMar>
                </w:tcPr>
                <w:p w14:paraId="3F738AEF" w14:textId="77777777" w:rsidR="005B2CB3" w:rsidRPr="005B2CB3" w:rsidRDefault="005B2CB3">
                  <w:pPr>
                    <w:spacing w:after="0"/>
                    <w:rPr>
                      <w:rFonts w:asciiTheme="majorHAnsi" w:hAnsiTheme="majorHAnsi" w:cstheme="majorHAnsi"/>
                      <w:lang w:val="cs-CZ"/>
                    </w:rPr>
                  </w:pPr>
                  <w:r w:rsidRPr="005B2CB3">
                    <w:rPr>
                      <w:rFonts w:asciiTheme="majorHAnsi" w:hAnsiTheme="majorHAnsi" w:cstheme="majorHAnsi"/>
                      <w:b/>
                      <w:sz w:val="40"/>
                      <w:lang w:val="cs-CZ"/>
                    </w:rPr>
                    <w:t>22,4 %</w:t>
                  </w:r>
                </w:p>
                <w:p w14:paraId="4EA5C3F9" w14:textId="6B76E518" w:rsidR="005B2CB3" w:rsidRPr="00625236" w:rsidRDefault="003D4399">
                  <w:pPr>
                    <w:spacing w:after="0"/>
                    <w:rPr>
                      <w:rFonts w:asciiTheme="majorHAnsi" w:hAnsiTheme="majorHAnsi" w:cstheme="majorHAnsi"/>
                      <w:sz w:val="16"/>
                      <w:szCs w:val="16"/>
                      <w:lang w:val="cs-CZ"/>
                    </w:rPr>
                  </w:pP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Podíl </w:t>
                  </w:r>
                  <w:r w:rsidR="005B2CB3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export</w:t>
                  </w: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u </w:t>
                  </w:r>
                  <w:r w:rsidR="00B77571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mimo </w:t>
                  </w:r>
                  <w:r w:rsidR="005B2CB3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EU</w:t>
                  </w: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, cca </w:t>
                  </w:r>
                  <w:r w:rsidR="005B2CB3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2x</w:t>
                  </w: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 růst </w:t>
                  </w:r>
                  <w:r w:rsidR="005B2CB3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než do EU</w:t>
                  </w:r>
                </w:p>
              </w:tc>
            </w:tr>
          </w:tbl>
          <w:p w14:paraId="10D8B367" w14:textId="590887C7" w:rsidR="005B2CB3" w:rsidRPr="003D4399" w:rsidRDefault="005B2CB3">
            <w:pPr>
              <w:spacing w:before="200" w:after="6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</w:pPr>
            <w:r w:rsidRPr="003D4399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  <w:t xml:space="preserve">Plnění 15 prioritních opatření </w:t>
            </w:r>
          </w:p>
          <w:p w14:paraId="01BE3A18" w14:textId="140C47B3" w:rsidR="005B2CB3" w:rsidRPr="00FF7D0F" w:rsidRDefault="005B2CB3" w:rsidP="005B2CB3">
            <w:pPr>
              <w:spacing w:after="100" w:line="228" w:lineRule="auto"/>
              <w:rPr>
                <w:rFonts w:asciiTheme="majorHAnsi" w:hAnsiTheme="majorHAnsi" w:cstheme="majorHAnsi"/>
                <w:sz w:val="16"/>
                <w:szCs w:val="16"/>
                <w:lang w:val="cs-CZ"/>
              </w:rPr>
            </w:pPr>
            <w:r w:rsidRPr="00FF7D0F">
              <w:rPr>
                <w:rFonts w:asciiTheme="majorHAnsi" w:hAnsiTheme="majorHAnsi" w:cstheme="majorHAnsi"/>
                <w:color w:val="56657A"/>
                <w:sz w:val="16"/>
                <w:szCs w:val="16"/>
                <w:lang w:val="cs-CZ"/>
              </w:rPr>
              <w:t>Detailní odečet jednotlivých opatření následuje v</w:t>
            </w:r>
            <w:r w:rsidR="004C135E">
              <w:rPr>
                <w:rFonts w:asciiTheme="majorHAnsi" w:hAnsiTheme="majorHAnsi" w:cstheme="majorHAnsi"/>
                <w:color w:val="56657A"/>
                <w:sz w:val="16"/>
                <w:szCs w:val="16"/>
                <w:lang w:val="cs-CZ"/>
              </w:rPr>
              <w:t> </w:t>
            </w:r>
            <w:r w:rsidRPr="00FF7D0F">
              <w:rPr>
                <w:rFonts w:asciiTheme="majorHAnsi" w:hAnsiTheme="majorHAnsi" w:cstheme="majorHAnsi"/>
                <w:color w:val="56657A"/>
                <w:sz w:val="16"/>
                <w:szCs w:val="16"/>
                <w:lang w:val="cs-CZ"/>
              </w:rPr>
              <w:t>těle Zprávy.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"/>
              <w:gridCol w:w="2217"/>
            </w:tblGrid>
            <w:tr w:rsidR="005B2CB3" w:rsidRPr="00DD3F8C" w14:paraId="03981246" w14:textId="77777777" w:rsidTr="00FF7D0F"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0" w:type="dxa"/>
                    <w:bottom w:w="40" w:type="dxa"/>
                    <w:right w:w="0" w:type="dxa"/>
                  </w:tcMar>
                </w:tcPr>
                <w:p w14:paraId="646734AE" w14:textId="77777777" w:rsidR="005B2CB3" w:rsidRPr="005B2CB3" w:rsidRDefault="005B2CB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lang w:val="cs-CZ"/>
                    </w:rPr>
                  </w:pPr>
                  <w:r w:rsidRPr="005B2CB3">
                    <w:rPr>
                      <w:rFonts w:asciiTheme="majorHAnsi" w:hAnsiTheme="majorHAnsi" w:cstheme="majorHAnsi"/>
                      <w:color w:val="0B7A3B"/>
                      <w:sz w:val="30"/>
                      <w:lang w:val="cs-CZ"/>
                    </w:rPr>
                    <w:t>●</w:t>
                  </w:r>
                </w:p>
              </w:tc>
              <w:tc>
                <w:tcPr>
                  <w:tcW w:w="22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0" w:type="dxa"/>
                    <w:bottom w:w="40" w:type="dxa"/>
                    <w:right w:w="0" w:type="dxa"/>
                  </w:tcMar>
                </w:tcPr>
                <w:p w14:paraId="665CF53D" w14:textId="2F29FD6F" w:rsidR="005B2CB3" w:rsidRPr="005B2CB3" w:rsidRDefault="003D4399">
                  <w:pPr>
                    <w:spacing w:after="0"/>
                    <w:rPr>
                      <w:rFonts w:asciiTheme="majorHAnsi" w:hAnsiTheme="majorHAnsi" w:cstheme="majorHAnsi"/>
                      <w:lang w:val="cs-CZ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B7A3B"/>
                      <w:sz w:val="26"/>
                      <w:lang w:val="cs-CZ"/>
                    </w:rPr>
                    <w:t>1</w:t>
                  </w:r>
                  <w:r w:rsidR="008068B0">
                    <w:rPr>
                      <w:rFonts w:asciiTheme="majorHAnsi" w:hAnsiTheme="majorHAnsi" w:cstheme="majorHAnsi"/>
                      <w:b/>
                      <w:color w:val="0B7A3B"/>
                      <w:sz w:val="26"/>
                      <w:lang w:val="cs-CZ"/>
                    </w:rPr>
                    <w:t>3</w:t>
                  </w:r>
                  <w:r w:rsidR="005B2CB3" w:rsidRPr="005B2CB3">
                    <w:rPr>
                      <w:rFonts w:asciiTheme="majorHAnsi" w:hAnsiTheme="majorHAnsi" w:cstheme="majorHAnsi"/>
                      <w:b/>
                      <w:color w:val="0B7A3B"/>
                      <w:sz w:val="26"/>
                      <w:lang w:val="cs-CZ"/>
                    </w:rPr>
                    <w:t xml:space="preserve">  </w:t>
                  </w:r>
                  <w:r w:rsidR="005B2CB3" w:rsidRPr="005B2CB3">
                    <w:rPr>
                      <w:rFonts w:asciiTheme="majorHAnsi" w:hAnsiTheme="majorHAnsi" w:cstheme="majorHAnsi"/>
                      <w:b/>
                      <w:lang w:val="cs-CZ"/>
                    </w:rPr>
                    <w:t>Plně</w:t>
                  </w:r>
                  <w:r>
                    <w:rPr>
                      <w:rFonts w:asciiTheme="majorHAnsi" w:hAnsiTheme="majorHAnsi" w:cstheme="majorHAnsi"/>
                      <w:b/>
                      <w:lang w:val="cs-CZ"/>
                    </w:rPr>
                    <w:t>ní</w:t>
                  </w:r>
                </w:p>
                <w:p w14:paraId="173912EF" w14:textId="700F5FE0" w:rsidR="005B2CB3" w:rsidRPr="00625236" w:rsidRDefault="005B2CB3">
                  <w:pPr>
                    <w:spacing w:after="0" w:line="240" w:lineRule="auto"/>
                    <w:rPr>
                      <w:rFonts w:asciiTheme="majorHAnsi" w:hAnsiTheme="majorHAnsi" w:cstheme="majorHAnsi"/>
                      <w:sz w:val="16"/>
                      <w:szCs w:val="16"/>
                      <w:lang w:val="cs-CZ"/>
                    </w:rPr>
                  </w:pP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Dosažen</w:t>
                  </w:r>
                  <w:r w:rsidR="003D4399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o</w:t>
                  </w: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 </w:t>
                  </w:r>
                  <w:r w:rsidR="003D4399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důležitých</w:t>
                  </w: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 milníků</w:t>
                  </w:r>
                  <w:r w:rsidR="003D4399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, </w:t>
                  </w: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probíhá realizace.</w:t>
                  </w:r>
                </w:p>
              </w:tc>
            </w:tr>
            <w:tr w:rsidR="005B2CB3" w:rsidRPr="00DD3F8C" w14:paraId="44AB4CEF" w14:textId="77777777" w:rsidTr="00FF7D0F"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0" w:type="dxa"/>
                    <w:bottom w:w="40" w:type="dxa"/>
                    <w:right w:w="0" w:type="dxa"/>
                  </w:tcMar>
                </w:tcPr>
                <w:p w14:paraId="7C01CAC9" w14:textId="77777777" w:rsidR="005B2CB3" w:rsidRPr="005B2CB3" w:rsidRDefault="005B2CB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lang w:val="cs-CZ"/>
                    </w:rPr>
                  </w:pPr>
                  <w:r w:rsidRPr="005B2CB3">
                    <w:rPr>
                      <w:rFonts w:asciiTheme="majorHAnsi" w:hAnsiTheme="majorHAnsi" w:cstheme="majorHAnsi"/>
                      <w:color w:val="C77700"/>
                      <w:sz w:val="30"/>
                      <w:lang w:val="cs-CZ"/>
                    </w:rPr>
                    <w:t>●</w:t>
                  </w:r>
                </w:p>
              </w:tc>
              <w:tc>
                <w:tcPr>
                  <w:tcW w:w="22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0" w:type="dxa"/>
                    <w:bottom w:w="40" w:type="dxa"/>
                    <w:right w:w="0" w:type="dxa"/>
                  </w:tcMar>
                </w:tcPr>
                <w:p w14:paraId="6BCD8C89" w14:textId="1EAFDC6B" w:rsidR="005B2CB3" w:rsidRPr="005B2CB3" w:rsidRDefault="008068B0">
                  <w:pPr>
                    <w:spacing w:after="0"/>
                    <w:rPr>
                      <w:rFonts w:asciiTheme="majorHAnsi" w:hAnsiTheme="majorHAnsi" w:cstheme="majorHAnsi"/>
                      <w:lang w:val="cs-CZ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C77700"/>
                      <w:sz w:val="26"/>
                      <w:lang w:val="cs-CZ"/>
                    </w:rPr>
                    <w:t>1</w:t>
                  </w:r>
                  <w:r w:rsidR="005B2CB3" w:rsidRPr="005B2CB3">
                    <w:rPr>
                      <w:rFonts w:asciiTheme="majorHAnsi" w:hAnsiTheme="majorHAnsi" w:cstheme="majorHAnsi"/>
                      <w:b/>
                      <w:color w:val="C77700"/>
                      <w:sz w:val="26"/>
                      <w:lang w:val="cs-CZ"/>
                    </w:rPr>
                    <w:t xml:space="preserve">  </w:t>
                  </w:r>
                  <w:r w:rsidR="005B2CB3" w:rsidRPr="005B2CB3">
                    <w:rPr>
                      <w:rFonts w:asciiTheme="majorHAnsi" w:hAnsiTheme="majorHAnsi" w:cstheme="majorHAnsi"/>
                      <w:b/>
                      <w:lang w:val="cs-CZ"/>
                    </w:rPr>
                    <w:t>Částečné plnění</w:t>
                  </w:r>
                </w:p>
                <w:p w14:paraId="47954600" w14:textId="5F5391F1" w:rsidR="005B2CB3" w:rsidRPr="00625236" w:rsidRDefault="003D4399">
                  <w:pPr>
                    <w:spacing w:after="0" w:line="240" w:lineRule="auto"/>
                    <w:rPr>
                      <w:rFonts w:asciiTheme="majorHAnsi" w:hAnsiTheme="majorHAnsi" w:cstheme="majorHAnsi"/>
                      <w:sz w:val="16"/>
                      <w:szCs w:val="16"/>
                      <w:lang w:val="cs-CZ"/>
                    </w:rPr>
                  </w:pP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Omezený posun, p</w:t>
                  </w:r>
                  <w:r w:rsidR="005B2CB3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lnění je limitováno zdroji </w:t>
                  </w:r>
                </w:p>
              </w:tc>
            </w:tr>
            <w:tr w:rsidR="005B2CB3" w:rsidRPr="00DD3F8C" w14:paraId="6B2D8B2F" w14:textId="77777777" w:rsidTr="00FF7D0F"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0" w:type="dxa"/>
                    <w:bottom w:w="40" w:type="dxa"/>
                    <w:right w:w="0" w:type="dxa"/>
                  </w:tcMar>
                </w:tcPr>
                <w:p w14:paraId="7AB34BFB" w14:textId="77777777" w:rsidR="005B2CB3" w:rsidRPr="005B2CB3" w:rsidRDefault="005B2CB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lang w:val="cs-CZ"/>
                    </w:rPr>
                  </w:pPr>
                  <w:r w:rsidRPr="005B2CB3">
                    <w:rPr>
                      <w:rFonts w:asciiTheme="majorHAnsi" w:hAnsiTheme="majorHAnsi" w:cstheme="majorHAnsi"/>
                      <w:color w:val="C62828"/>
                      <w:sz w:val="30"/>
                      <w:lang w:val="cs-CZ"/>
                    </w:rPr>
                    <w:t>●</w:t>
                  </w:r>
                </w:p>
              </w:tc>
              <w:tc>
                <w:tcPr>
                  <w:tcW w:w="22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0" w:type="dxa"/>
                    <w:bottom w:w="40" w:type="dxa"/>
                    <w:right w:w="0" w:type="dxa"/>
                  </w:tcMar>
                </w:tcPr>
                <w:p w14:paraId="4B76D03F" w14:textId="77777777" w:rsidR="005B2CB3" w:rsidRPr="005B2CB3" w:rsidRDefault="005B2CB3">
                  <w:pPr>
                    <w:spacing w:after="0"/>
                    <w:rPr>
                      <w:rFonts w:asciiTheme="majorHAnsi" w:hAnsiTheme="majorHAnsi" w:cstheme="majorHAnsi"/>
                      <w:lang w:val="cs-CZ"/>
                    </w:rPr>
                  </w:pPr>
                  <w:r w:rsidRPr="005B2CB3">
                    <w:rPr>
                      <w:rFonts w:asciiTheme="majorHAnsi" w:hAnsiTheme="majorHAnsi" w:cstheme="majorHAnsi"/>
                      <w:b/>
                      <w:color w:val="C62828"/>
                      <w:sz w:val="26"/>
                      <w:lang w:val="cs-CZ"/>
                    </w:rPr>
                    <w:t xml:space="preserve">1  </w:t>
                  </w:r>
                  <w:r w:rsidRPr="005B2CB3">
                    <w:rPr>
                      <w:rFonts w:asciiTheme="majorHAnsi" w:hAnsiTheme="majorHAnsi" w:cstheme="majorHAnsi"/>
                      <w:b/>
                      <w:lang w:val="cs-CZ"/>
                    </w:rPr>
                    <w:t>Plnění pozastaveno</w:t>
                  </w:r>
                </w:p>
                <w:p w14:paraId="281FE8AA" w14:textId="654E4C31" w:rsidR="005B2CB3" w:rsidRPr="00625236" w:rsidRDefault="005B2CB3">
                  <w:pPr>
                    <w:spacing w:after="0" w:line="240" w:lineRule="auto"/>
                    <w:rPr>
                      <w:rFonts w:asciiTheme="majorHAnsi" w:hAnsiTheme="majorHAnsi" w:cstheme="majorHAnsi"/>
                      <w:sz w:val="16"/>
                      <w:szCs w:val="16"/>
                      <w:lang w:val="cs-CZ"/>
                    </w:rPr>
                  </w:pP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Další postup vyžaduje politické </w:t>
                  </w:r>
                  <w:r w:rsidR="003D4399"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>rozhodnutí</w:t>
                  </w:r>
                  <w:r w:rsidRPr="00625236">
                    <w:rPr>
                      <w:rFonts w:asciiTheme="majorHAnsi" w:hAnsiTheme="majorHAnsi" w:cstheme="majorHAnsi"/>
                      <w:color w:val="6E6E73"/>
                      <w:sz w:val="16"/>
                      <w:szCs w:val="16"/>
                      <w:lang w:val="cs-CZ"/>
                    </w:rPr>
                    <w:t xml:space="preserve"> </w:t>
                  </w:r>
                </w:p>
              </w:tc>
            </w:tr>
          </w:tbl>
          <w:p w14:paraId="4D418A93" w14:textId="77777777" w:rsidR="005B2CB3" w:rsidRPr="00B77571" w:rsidRDefault="005B2CB3">
            <w:pPr>
              <w:rPr>
                <w:rFonts w:asciiTheme="majorHAnsi" w:hAnsiTheme="majorHAnsi" w:cstheme="majorHAnsi"/>
                <w:lang w:val="cs-CZ"/>
              </w:rPr>
            </w:pPr>
          </w:p>
        </w:tc>
      </w:tr>
    </w:tbl>
    <w:p w14:paraId="5EBA39A6" w14:textId="29426FE5" w:rsidR="008068B0" w:rsidRPr="00206145" w:rsidRDefault="008068B0" w:rsidP="00FF7D0F">
      <w:pPr>
        <w:spacing w:before="40" w:after="0"/>
        <w:ind w:right="360"/>
        <w:rPr>
          <w:rFonts w:asciiTheme="majorHAnsi" w:hAnsiTheme="majorHAnsi" w:cstheme="majorHAnsi"/>
          <w:lang w:val="cs-CZ"/>
        </w:rPr>
      </w:pPr>
    </w:p>
    <w:tbl>
      <w:tblPr>
        <w:tblpPr w:leftFromText="141" w:rightFromText="141" w:vertAnchor="page" w:horzAnchor="margin" w:tblpY="990"/>
        <w:tblW w:w="10074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4404"/>
      </w:tblGrid>
      <w:tr w:rsidR="008068B0" w:rsidRPr="002D2D1E" w14:paraId="78453949" w14:textId="77777777" w:rsidTr="00E95337">
        <w:trPr>
          <w:trHeight w:val="16"/>
        </w:trPr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655BD5B1" w14:textId="362767D5" w:rsidR="008068B0" w:rsidRPr="002D2D1E" w:rsidRDefault="0079711F" w:rsidP="003C3C6C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  <w:t>O</w:t>
            </w:r>
            <w:r w:rsidR="008068B0" w:rsidRPr="00691F5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  <w:t>patření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0F21D0CE" w14:textId="77777777" w:rsidR="008068B0" w:rsidRPr="00691F51" w:rsidRDefault="008068B0" w:rsidP="003C3C6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  <w:t>Stav plnění</w:t>
            </w:r>
          </w:p>
        </w:tc>
        <w:tc>
          <w:tcPr>
            <w:tcW w:w="440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1F5418B9" w14:textId="20C72D00" w:rsidR="008068B0" w:rsidRPr="002D2D1E" w:rsidRDefault="008068B0" w:rsidP="003C3C6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91F5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  <w:t>Hlavní posun v</w:t>
            </w:r>
            <w:r w:rsidR="004C13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  <w:t> </w:t>
            </w:r>
            <w:r w:rsidRPr="00691F5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lang w:val="cs-CZ"/>
              </w:rPr>
              <w:t>roce 2025</w:t>
            </w:r>
          </w:p>
        </w:tc>
      </w:tr>
      <w:tr w:rsidR="008068B0" w:rsidRPr="00DD3F8C" w14:paraId="59380F2E" w14:textId="77777777" w:rsidTr="00E95337">
        <w:trPr>
          <w:trHeight w:val="1212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12B39BAF" w14:textId="77777777" w:rsidR="008068B0" w:rsidRDefault="008068B0" w:rsidP="003C3C6C">
            <w:pPr>
              <w:adjustRightInd w:val="0"/>
              <w:spacing w:after="0" w:line="252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FA66F8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Tým Česko</w:t>
            </w:r>
          </w:p>
          <w:p w14:paraId="0F684D49" w14:textId="77777777" w:rsidR="008068B0" w:rsidRPr="00C4320D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Koordinační platforma pro propojení služeb státu tak, aby exportér získal komplexní podporu bez ohledu na první kontaktovanou instituci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(No Wrong Door).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2F69B2A7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1E8E3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1E8E3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Probíhá plnění</w:t>
            </w:r>
          </w:p>
          <w:p w14:paraId="04F76EF0" w14:textId="42B8494E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color w:val="1E8E3E"/>
                <w:sz w:val="22"/>
                <w:lang w:val="cs-CZ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23679E7E" w14:textId="2CC6F78C" w:rsidR="008068B0" w:rsidRPr="00C4320D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Navrženo pilotní digitální rozhraní jako jednotný vstupní bod pro firmy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s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předpokládanou 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vazb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ou na</w:t>
            </w:r>
            <w:r w:rsidR="00DD3F8C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CRM (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SINPRO</w:t>
            </w:r>
            <w:r w:rsidR="00DD3F8C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)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="00DD3F8C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centrální p</w:t>
            </w:r>
            <w:r w:rsidR="00D26CC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l</w:t>
            </w:r>
            <w:r w:rsidR="00DD3F8C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atformu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export.gov.cz. Pilotní spuštění je plánováno na rok 2026</w:t>
            </w:r>
            <w:r w:rsidR="00DD3F8C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/2027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.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Plnohodnotný r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ozvoj 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platformy, včetně CRM, závisí na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zajištění prostředků.</w:t>
            </w:r>
          </w:p>
        </w:tc>
      </w:tr>
      <w:tr w:rsidR="008068B0" w:rsidRPr="00DD3F8C" w14:paraId="4BF606CB" w14:textId="77777777" w:rsidTr="00E95337">
        <w:trPr>
          <w:trHeight w:val="1212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56AB3585" w14:textId="77777777" w:rsidR="008068B0" w:rsidRDefault="008068B0" w:rsidP="003C3C6C">
            <w:pPr>
              <w:adjustRightInd w:val="0"/>
              <w:spacing w:after="0" w:line="252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C4320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Rozvoj Jednotné zahraniční sítě</w:t>
            </w:r>
          </w:p>
          <w:p w14:paraId="0131190B" w14:textId="520F7BDF" w:rsidR="008068B0" w:rsidRPr="00691F51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szCs w:val="18"/>
                <w:lang w:val="cs-CZ"/>
              </w:rPr>
            </w:pPr>
            <w:r w:rsidRPr="00BA70BC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Rozšiřování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BA70BC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optimalizace asistenčních služeb exportérům 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zahraničí </w:t>
            </w:r>
            <w:r w:rsidRPr="00BA70BC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s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BA70BC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důrazem </w:t>
            </w:r>
            <w:r w:rsidR="00B7757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na teritoria mimo </w:t>
            </w:r>
            <w:r w:rsidRPr="00BA70BC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EU.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539A79C9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1E8E3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1E8E3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Probíhá plnění</w:t>
            </w:r>
          </w:p>
          <w:p w14:paraId="683EF61A" w14:textId="2FD54236" w:rsidR="008068B0" w:rsidRPr="00691F51" w:rsidRDefault="008068B0" w:rsidP="003C3C6C">
            <w:pPr>
              <w:spacing w:after="0" w:line="240" w:lineRule="auto"/>
              <w:rPr>
                <w:rFonts w:asciiTheme="majorHAnsi" w:hAnsiTheme="majorHAnsi" w:cstheme="majorHAnsi"/>
                <w:szCs w:val="18"/>
                <w:lang w:val="cs-CZ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52741FD5" w14:textId="3D245FDA" w:rsidR="008068B0" w:rsidRPr="00691F51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szCs w:val="18"/>
                <w:lang w:val="cs-CZ"/>
              </w:rPr>
            </w:pP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Rozšíření o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="0079711F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zahraniční kancelář (ZK) </w:t>
            </w: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CzechTrade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San Franciscu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o </w:t>
            </w: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zemědělského diplomata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Turecku. Současně probíhala 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</w:t>
            </w: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optimalizace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sítě ZK CT</w:t>
            </w: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, včetně posílení přítomnosti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JAR, úprav působení na Ukrajině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rozhodnutí</w:t>
            </w:r>
            <w:r w:rsidR="0018142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o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pokračov</w:t>
            </w:r>
            <w:r w:rsidR="0018142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ání 2. ZK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="0018142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Japonsku</w:t>
            </w: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.</w:t>
            </w:r>
          </w:p>
        </w:tc>
      </w:tr>
      <w:tr w:rsidR="008068B0" w:rsidRPr="00DD3F8C" w14:paraId="401512C8" w14:textId="77777777" w:rsidTr="00E95337">
        <w:trPr>
          <w:trHeight w:val="1212"/>
        </w:trPr>
        <w:tc>
          <w:tcPr>
            <w:tcW w:w="3686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386F8079" w14:textId="77777777" w:rsidR="008068B0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185AD4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Kvalifikovaná pracovní migrace</w:t>
            </w:r>
          </w:p>
          <w:p w14:paraId="28A07CEC" w14:textId="7AC77EC3" w:rsidR="008068B0" w:rsidRPr="00691F51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Úpravy programů ekonomické migrace s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ohledem na potřeby trhu práce, podniků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kapacitu systému.</w:t>
            </w:r>
          </w:p>
        </w:tc>
        <w:tc>
          <w:tcPr>
            <w:tcW w:w="198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2FE530D8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1E8E3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1E8E3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Probíhá plnění</w:t>
            </w:r>
          </w:p>
          <w:p w14:paraId="068F9069" w14:textId="14045D02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color w:val="C47A00"/>
                <w:sz w:val="22"/>
                <w:lang w:val="cs-CZ"/>
              </w:rPr>
            </w:pPr>
          </w:p>
        </w:tc>
        <w:tc>
          <w:tcPr>
            <w:tcW w:w="440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4CA3B9A0" w14:textId="16A530A3" w:rsidR="008068B0" w:rsidRPr="00691F51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Zahájena příprava programu Fast Track Dukovany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upraveny programy ekonomické migrace, včetně rozšíření zdrojových zemí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zmírnění podmínek u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projektu pracovní migrace z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Indonésie.</w:t>
            </w:r>
          </w:p>
        </w:tc>
      </w:tr>
      <w:tr w:rsidR="008068B0" w:rsidRPr="00DD3F8C" w14:paraId="7D1AEC99" w14:textId="77777777" w:rsidTr="00E95337">
        <w:trPr>
          <w:trHeight w:val="1212"/>
        </w:trPr>
        <w:tc>
          <w:tcPr>
            <w:tcW w:w="3686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037E4C77" w14:textId="77777777" w:rsidR="008068B0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185AD4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Nástroje EU pro firmy</w:t>
            </w:r>
          </w:p>
          <w:p w14:paraId="1F48217D" w14:textId="056FD485" w:rsidR="008068B0" w:rsidRPr="00185AD4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Informování firem o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nástrojích vnitřního trhu EU, obchodní politice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přístupu na trhy třetích zemí.</w:t>
            </w:r>
          </w:p>
        </w:tc>
        <w:tc>
          <w:tcPr>
            <w:tcW w:w="198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2D396AFD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1E8E3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1E8E3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Probíhá plnění</w:t>
            </w:r>
          </w:p>
          <w:p w14:paraId="0ECA36B1" w14:textId="43EA723D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color w:val="1E8E3E"/>
                <w:sz w:val="22"/>
                <w:lang w:val="cs-CZ"/>
              </w:rPr>
            </w:pPr>
          </w:p>
        </w:tc>
        <w:tc>
          <w:tcPr>
            <w:tcW w:w="440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7EA0E26A" w14:textId="23A70B69" w:rsidR="008068B0" w:rsidRPr="00185AD4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Pokračovalo poskytování služeb SOLVIT, Kontaktního místa pro výrobky, Jednotného kontaktního místa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Market Access Advisor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, 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současně probíhaly konzultace se stakeholdery k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vnitřnímu trhu EU, regulatorním tématům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185AD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prioritám předsednictví Rady EU.</w:t>
            </w:r>
          </w:p>
        </w:tc>
      </w:tr>
      <w:tr w:rsidR="008068B0" w:rsidRPr="00DD3F8C" w14:paraId="2817E01D" w14:textId="77777777" w:rsidTr="00E95337">
        <w:trPr>
          <w:trHeight w:val="1212"/>
        </w:trPr>
        <w:tc>
          <w:tcPr>
            <w:tcW w:w="3686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0CF39F99" w14:textId="5A6D8AF1" w:rsidR="008068B0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D6AE1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Exportní potenciál v</w:t>
            </w:r>
            <w:r w:rsidR="004C135E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regionech</w:t>
            </w:r>
          </w:p>
          <w:p w14:paraId="793E675A" w14:textId="500B98FC" w:rsidR="008068B0" w:rsidRPr="00185AD4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Propojení krajských podnikatelských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inovačních struktur s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proexportními službami státu s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cílem lépe identifikovat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rozvíjet perspektivní firmy.</w:t>
            </w:r>
          </w:p>
        </w:tc>
        <w:tc>
          <w:tcPr>
            <w:tcW w:w="198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6A0FDF6E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1E8E3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1E8E3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Probíhá plnění</w:t>
            </w:r>
          </w:p>
          <w:p w14:paraId="7DFB62FD" w14:textId="0558BCF8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color w:val="1E8E3E"/>
                <w:sz w:val="22"/>
                <w:lang w:val="cs-CZ"/>
              </w:rPr>
            </w:pPr>
          </w:p>
        </w:tc>
        <w:tc>
          <w:tcPr>
            <w:tcW w:w="440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3011708F" w14:textId="415C6F6D" w:rsidR="008068B0" w:rsidRPr="00185AD4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MPO projednalo s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krajskými strukturami návrh spolupráce, </w:t>
            </w:r>
            <w:r w:rsidR="00D26CC0">
              <w:t xml:space="preserve"> </w:t>
            </w:r>
            <w:r w:rsidR="00D26CC0" w:rsidRPr="00D26CC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včetně pilotního</w:t>
            </w:r>
            <w:r w:rsidR="00217DE8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projektu</w:t>
            </w:r>
            <w:r w:rsidR="00D26CC0" w:rsidRPr="00D26CC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krajských kontaktních osob </w:t>
            </w:r>
            <w:r w:rsidR="0081332B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působících</w:t>
            </w:r>
            <w:r w:rsidR="00D26CC0" w:rsidRPr="00D26CC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="00D26CC0" w:rsidRPr="00D26CC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oblasti mapování exportního potenciálu, exportní připravenosti firem, vzdělávání, misí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="00D26CC0" w:rsidRPr="00D26CC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veletrhů.</w:t>
            </w:r>
            <w:r w:rsidR="007F0737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  </w:t>
            </w:r>
          </w:p>
        </w:tc>
      </w:tr>
      <w:tr w:rsidR="008068B0" w:rsidRPr="00DD3F8C" w14:paraId="55D60A09" w14:textId="77777777" w:rsidTr="00E95337">
        <w:trPr>
          <w:trHeight w:val="1212"/>
        </w:trPr>
        <w:tc>
          <w:tcPr>
            <w:tcW w:w="3686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36FD7AEC" w14:textId="67F8ECD6" w:rsidR="008068B0" w:rsidRPr="007D6AE1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7D6AE1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Digitální obchod v</w:t>
            </w:r>
            <w:r w:rsidR="004C135E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dohodách EU</w:t>
            </w:r>
          </w:p>
          <w:p w14:paraId="35618707" w14:textId="25B2A662" w:rsidR="008068B0" w:rsidRPr="007D6AE1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Prosazování pravidel digitálního obchodu, volného toku dat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bezcelního režimu pro elektronické transakce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obchodních dohodách EU.</w:t>
            </w:r>
          </w:p>
        </w:tc>
        <w:tc>
          <w:tcPr>
            <w:tcW w:w="198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7985E278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1E8E3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1E8E3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Probíhá plnění</w:t>
            </w:r>
          </w:p>
          <w:p w14:paraId="204E0803" w14:textId="59B9EEE8" w:rsidR="008068B0" w:rsidRPr="007D6AE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</w:p>
        </w:tc>
        <w:tc>
          <w:tcPr>
            <w:tcW w:w="440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6C961CA6" w14:textId="3B947668" w:rsidR="008068B0" w:rsidRPr="007D6AE1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ČR podpořila rozvoj dohod o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digitálním obchodu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koordinaci s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podobně smýšlejícími státy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. P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odepsána byla DTA se Singapurem, dokončeno jednání s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Jižní Koreou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zahájena jednání s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Kanadou.</w:t>
            </w:r>
          </w:p>
        </w:tc>
      </w:tr>
      <w:tr w:rsidR="008068B0" w:rsidRPr="002D2D1E" w14:paraId="428DA1A9" w14:textId="77777777" w:rsidTr="00E95337">
        <w:trPr>
          <w:trHeight w:val="1212"/>
        </w:trPr>
        <w:tc>
          <w:tcPr>
            <w:tcW w:w="3686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0F4BCD52" w14:textId="19CF9C5E" w:rsidR="008068B0" w:rsidRDefault="00086CB9" w:rsidP="003C3C6C">
            <w:pPr>
              <w:spacing w:after="0" w:line="259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Doménové působení v</w:t>
            </w:r>
            <w:r w:rsidR="004C135E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 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teritoriích </w:t>
            </w:r>
          </w:p>
          <w:p w14:paraId="6A10724B" w14:textId="4CAE7FF7" w:rsidR="008068B0" w:rsidRPr="007D6AE1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bCs/>
                <w:sz w:val="20"/>
                <w:szCs w:val="20"/>
                <w:lang w:val="cs-CZ"/>
              </w:rPr>
            </w:pP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Příprava nástroje, tzv. toolboxu, pro střednědobé plánování podpory působení českých firem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sektorů ve vybraných teritoriích.</w:t>
            </w:r>
          </w:p>
        </w:tc>
        <w:tc>
          <w:tcPr>
            <w:tcW w:w="198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13FD873B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C47A00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C47A00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Částečné plnění</w:t>
            </w:r>
          </w:p>
          <w:p w14:paraId="0039B010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color w:val="1E8E3E"/>
                <w:sz w:val="22"/>
                <w:lang w:val="cs-CZ"/>
              </w:rPr>
            </w:pP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omezený posun / závislé na zdrojích</w:t>
            </w:r>
          </w:p>
        </w:tc>
        <w:tc>
          <w:tcPr>
            <w:tcW w:w="440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4024102F" w14:textId="5D6FFAF3" w:rsidR="008068B0" w:rsidRPr="007D6AE1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Posouzeny varianty konceptu toolboxu pro teritoriální plánování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koordinaci aktivit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,</w:t>
            </w:r>
            <w:r w:rsidRPr="007D6AE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další postup závisí na rozpočtových možnostech. Zároveň byla zveřejněna aktualizovaná Mapa globálních oborových příležitostí 2025/26.</w:t>
            </w:r>
          </w:p>
        </w:tc>
      </w:tr>
      <w:tr w:rsidR="008068B0" w:rsidRPr="002D2D1E" w14:paraId="01171971" w14:textId="77777777" w:rsidTr="00E95337">
        <w:trPr>
          <w:trHeight w:val="1212"/>
        </w:trPr>
        <w:tc>
          <w:tcPr>
            <w:tcW w:w="3686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4E7F964D" w14:textId="2BFB1C69" w:rsidR="008068B0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6E3081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Internacionalizace startupů a</w:t>
            </w:r>
            <w:r w:rsidR="004C135E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 </w:t>
            </w:r>
            <w:r w:rsidRPr="006E3081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MSP</w:t>
            </w:r>
          </w:p>
          <w:p w14:paraId="0FB5F3DF" w14:textId="5B7DC3B5" w:rsidR="008068B0" w:rsidRPr="007D6AE1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Rozvoj nástrojů podpory startupů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inovativních firem od ověření nápadu přes akceleraci až po vstup na zahraniční trhy.</w:t>
            </w:r>
          </w:p>
        </w:tc>
        <w:tc>
          <w:tcPr>
            <w:tcW w:w="198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52597B11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1E8E3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1E8E3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Probíhá plnění</w:t>
            </w:r>
          </w:p>
          <w:p w14:paraId="4DD318D6" w14:textId="43A01BDE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color w:val="1E8E3E"/>
                <w:sz w:val="22"/>
                <w:lang w:val="cs-CZ"/>
              </w:rPr>
            </w:pPr>
          </w:p>
        </w:tc>
        <w:tc>
          <w:tcPr>
            <w:tcW w:w="440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366CA588" w14:textId="06426DA9" w:rsidR="008068B0" w:rsidRPr="007D6AE1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Pokračov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ání programů </w:t>
            </w: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C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I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CT </w:t>
            </w: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včetně Technologické inkubace, 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I</w:t>
            </w: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nternacionalizace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, </w:t>
            </w:r>
            <w:r w:rsidRPr="008068B0">
              <w:rPr>
                <w:rFonts w:asciiTheme="majorHAnsi" w:hAnsiTheme="majorHAnsi" w:cstheme="majorHAnsi"/>
                <w:color w:val="333333"/>
                <w:szCs w:val="18"/>
                <w:lang w:val="en-GB"/>
              </w:rPr>
              <w:t>Defence</w:t>
            </w: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Hubu, ESA BIC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CZ, </w:t>
            </w: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regulatorní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ho</w:t>
            </w: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</w:t>
            </w:r>
            <w:r w:rsidRPr="008068B0">
              <w:rPr>
                <w:rFonts w:asciiTheme="majorHAnsi" w:hAnsiTheme="majorHAnsi" w:cstheme="majorHAnsi"/>
                <w:color w:val="333333"/>
                <w:szCs w:val="18"/>
                <w:lang w:val="en-GB"/>
              </w:rPr>
              <w:t xml:space="preserve">fin-tech </w:t>
            </w:r>
            <w:proofErr w:type="spellStart"/>
            <w:r w:rsidRPr="008068B0">
              <w:rPr>
                <w:rFonts w:asciiTheme="majorHAnsi" w:hAnsiTheme="majorHAnsi" w:cstheme="majorHAnsi"/>
                <w:color w:val="333333"/>
                <w:szCs w:val="18"/>
                <w:lang w:val="en-GB"/>
              </w:rPr>
              <w:t>sandboxu</w:t>
            </w:r>
            <w:proofErr w:type="spellEnd"/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, </w:t>
            </w:r>
            <w:r>
              <w:t xml:space="preserve"> </w:t>
            </w: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CERN Venture </w:t>
            </w:r>
            <w:r w:rsidRPr="008068B0">
              <w:rPr>
                <w:rFonts w:asciiTheme="majorHAnsi" w:hAnsiTheme="majorHAnsi" w:cstheme="majorHAnsi"/>
                <w:color w:val="333333"/>
                <w:szCs w:val="18"/>
                <w:lang w:val="en-GB"/>
              </w:rPr>
              <w:t>Connect</w:t>
            </w: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či</w:t>
            </w: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služeb pro zahraniční expanzi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Startup Entry, Startup Zone</w:t>
            </w:r>
            <w:r w:rsidR="00E92AF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a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Czech Startup Days</w:t>
            </w: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. Spuštěn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í </w:t>
            </w:r>
            <w:r w:rsidRPr="006E308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Czechia </w:t>
            </w:r>
            <w:proofErr w:type="spellStart"/>
            <w:r w:rsidRPr="008068B0">
              <w:rPr>
                <w:rFonts w:asciiTheme="majorHAnsi" w:hAnsiTheme="majorHAnsi" w:cstheme="majorHAnsi"/>
                <w:color w:val="333333"/>
                <w:szCs w:val="18"/>
                <w:lang w:val="en-GB"/>
              </w:rPr>
              <w:t>Dealroom</w:t>
            </w:r>
            <w:proofErr w:type="spellEnd"/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. </w:t>
            </w:r>
          </w:p>
        </w:tc>
      </w:tr>
      <w:tr w:rsidR="008068B0" w:rsidRPr="00DD3F8C" w14:paraId="089ACCC0" w14:textId="77777777" w:rsidTr="00E95337">
        <w:trPr>
          <w:trHeight w:val="1212"/>
        </w:trPr>
        <w:tc>
          <w:tcPr>
            <w:tcW w:w="3686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6E37BF04" w14:textId="77777777" w:rsidR="008068B0" w:rsidRPr="00691F51" w:rsidRDefault="008068B0" w:rsidP="003C3C6C">
            <w:pPr>
              <w:spacing w:after="40" w:line="252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C4320D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Státní záštita G2G obchodů</w:t>
            </w:r>
          </w:p>
          <w:p w14:paraId="6BA7FAC8" w14:textId="13206B39" w:rsidR="008068B0" w:rsidRPr="00691F51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szCs w:val="18"/>
                <w:lang w:val="cs-CZ"/>
              </w:rPr>
            </w:pP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Nástroj pro posílení role státu při facilitaci komplexních G2G obchodů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podpory českých vývozců.</w:t>
            </w:r>
          </w:p>
        </w:tc>
        <w:tc>
          <w:tcPr>
            <w:tcW w:w="198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264CB97A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B3261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B3261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Pozastaveno</w:t>
            </w:r>
          </w:p>
          <w:p w14:paraId="687449AC" w14:textId="77777777" w:rsidR="008068B0" w:rsidRPr="00691F51" w:rsidRDefault="008068B0" w:rsidP="003C3C6C">
            <w:pPr>
              <w:spacing w:after="0" w:line="240" w:lineRule="auto"/>
              <w:rPr>
                <w:rFonts w:asciiTheme="majorHAnsi" w:hAnsiTheme="majorHAnsi" w:cstheme="majorHAnsi"/>
                <w:szCs w:val="18"/>
                <w:lang w:val="cs-CZ"/>
              </w:rPr>
            </w:pPr>
            <w:r w:rsidRPr="00C4320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vyžaduje rozhodnutí</w:t>
            </w:r>
          </w:p>
        </w:tc>
        <w:tc>
          <w:tcPr>
            <w:tcW w:w="440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503B28D8" w14:textId="2DF1F9D8" w:rsidR="008068B0" w:rsidRPr="00691F51" w:rsidRDefault="00E3455E" w:rsidP="003C3C6C">
            <w:pPr>
              <w:spacing w:after="0" w:line="259" w:lineRule="auto"/>
              <w:rPr>
                <w:rFonts w:asciiTheme="majorHAnsi" w:hAnsiTheme="majorHAnsi" w:cstheme="majorHAnsi"/>
                <w:szCs w:val="18"/>
                <w:lang w:val="cs-CZ"/>
              </w:rPr>
            </w:pP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Další postup závisí na politickém rozhodnutí, specificky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oblasti obranného průmyslu pak na dohodě MPO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MO,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širším kontextu pak i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dalších relevantních resortů. </w:t>
            </w:r>
          </w:p>
        </w:tc>
      </w:tr>
      <w:tr w:rsidR="008068B0" w:rsidRPr="002D2D1E" w14:paraId="6BAF9999" w14:textId="77777777" w:rsidTr="00E95337">
        <w:trPr>
          <w:trHeight w:val="1212"/>
        </w:trPr>
        <w:tc>
          <w:tcPr>
            <w:tcW w:w="3686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35AD92E7" w14:textId="77777777" w:rsidR="008068B0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lastRenderedPageBreak/>
              <w:t xml:space="preserve">Exportní </w:t>
            </w:r>
            <w:r w:rsidRPr="00583C10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návaznosti rozvojových projektů</w:t>
            </w:r>
          </w:p>
          <w:p w14:paraId="5EE987C0" w14:textId="370A928F" w:rsidR="008068B0" w:rsidRPr="00583C10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bCs/>
                <w:sz w:val="20"/>
                <w:szCs w:val="20"/>
                <w:lang w:val="cs-CZ"/>
              </w:rPr>
            </w:pPr>
            <w:r w:rsidRPr="00583C1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Rozvoj nástrojů pro zapojení českých firem do rozvojové spolupráce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583C1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návazných obchodních příležitostí.</w:t>
            </w:r>
          </w:p>
        </w:tc>
        <w:tc>
          <w:tcPr>
            <w:tcW w:w="198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4009B6CD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1E8E3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1E8E3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Probíhá plnění</w:t>
            </w:r>
          </w:p>
          <w:p w14:paraId="4FB6BF72" w14:textId="6ED01233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color w:val="B3261E"/>
                <w:sz w:val="22"/>
                <w:lang w:val="cs-CZ"/>
              </w:rPr>
            </w:pPr>
          </w:p>
        </w:tc>
        <w:tc>
          <w:tcPr>
            <w:tcW w:w="440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30DB649D" w14:textId="56DA3E89" w:rsidR="008068B0" w:rsidRPr="00C4320D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Příprava projektové </w:t>
            </w:r>
            <w:r w:rsidRPr="008068B0">
              <w:rPr>
                <w:rFonts w:asciiTheme="majorHAnsi" w:hAnsiTheme="majorHAnsi" w:cstheme="majorHAnsi"/>
                <w:color w:val="333333"/>
                <w:szCs w:val="18"/>
                <w:lang w:val="en-GB"/>
              </w:rPr>
              <w:t>pipeline</w:t>
            </w:r>
            <w:r w:rsidRPr="004C3FD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Global Gateway pro realizaci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</w:t>
            </w:r>
            <w:r w:rsidRPr="004C3FD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2026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4C3FD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vložen první projekt do Investment Hubu. U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4C3FD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Facility pro Ukrajinu schváleny dva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projekty</w:t>
            </w:r>
            <w:r w:rsidRPr="004C3FD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NRB se spuštěním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4C3FD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2026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, </w:t>
            </w:r>
            <w:r w:rsidRPr="004C3FD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Aid for Trade realiz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oval </w:t>
            </w:r>
            <w:r w:rsidRPr="004C3FD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9 projektů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, na Ukrajině 18. </w:t>
            </w:r>
            <w:r w:rsidRPr="004C3FD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</w:t>
            </w:r>
            <w:r w:rsidRPr="004C3FD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okračovaly Program</w:t>
            </w:r>
            <w:r w:rsidR="0079711F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</w:t>
            </w:r>
            <w:r w:rsidRPr="004C3FD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B2B, V</w:t>
            </w:r>
            <w:r w:rsidR="0079711F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ázané peněžní dary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, </w:t>
            </w:r>
            <w:r w:rsidRPr="004C3FD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M</w:t>
            </w:r>
            <w:r w:rsidR="0079711F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alé lokální projekty</w:t>
            </w:r>
            <w:r w:rsidRPr="004C3FD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.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</w:t>
            </w:r>
          </w:p>
        </w:tc>
      </w:tr>
      <w:tr w:rsidR="008068B0" w:rsidRPr="002D2D1E" w14:paraId="771228A2" w14:textId="77777777" w:rsidTr="00E95337">
        <w:trPr>
          <w:trHeight w:val="1212"/>
        </w:trPr>
        <w:tc>
          <w:tcPr>
            <w:tcW w:w="3686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4AA4761F" w14:textId="0D9DFD6B" w:rsidR="008068B0" w:rsidRDefault="008068B0" w:rsidP="003C3C6C">
            <w:pPr>
              <w:spacing w:after="40" w:line="252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Podpora t</w:t>
            </w:r>
            <w:r w:rsidRPr="00C46021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rval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é</w:t>
            </w:r>
            <w:r w:rsidRPr="00C46021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přítomnost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i</w:t>
            </w:r>
            <w:r w:rsidRPr="00C46021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v</w:t>
            </w:r>
            <w:r w:rsidR="004C135E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 </w:t>
            </w:r>
            <w:r w:rsidRPr="00C46021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zahranič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í</w:t>
            </w:r>
          </w:p>
          <w:p w14:paraId="225460B3" w14:textId="010F97B7" w:rsidR="008068B0" w:rsidRPr="00C4320D" w:rsidRDefault="008068B0" w:rsidP="003C3C6C">
            <w:pPr>
              <w:spacing w:after="40" w:line="252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C4602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Služby podporující dlouhodobé působení českých firem na zahraničních trzích, včetně aliancí, inkubátorů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C4602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asistenčních nástrojů.</w:t>
            </w:r>
          </w:p>
        </w:tc>
        <w:tc>
          <w:tcPr>
            <w:tcW w:w="198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1A0E79EA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1E8E3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1E8E3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Probíhá plnění</w:t>
            </w:r>
          </w:p>
          <w:p w14:paraId="3867B30A" w14:textId="34C0130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color w:val="B3261E"/>
                <w:sz w:val="22"/>
                <w:lang w:val="cs-CZ"/>
              </w:rPr>
            </w:pPr>
          </w:p>
        </w:tc>
        <w:tc>
          <w:tcPr>
            <w:tcW w:w="440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7D4C66D6" w14:textId="4127FC92" w:rsidR="008068B0" w:rsidRPr="00C4320D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  <w:r w:rsidRPr="00C4602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Pokračovaly exportní aliance, inkubátory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zahraničí</w:t>
            </w:r>
            <w:r w:rsidRPr="00C4602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, služby KOMPAS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C4602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DEA i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C4602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digitální marketing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. R</w:t>
            </w:r>
            <w:r w:rsidRPr="00C4602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ealizováno 13 služeb KOMPAS, 163 DEA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C4602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8 projektů PROPEA. Adresář exportérů rozšířen o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C46021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31 nových profilů.</w:t>
            </w:r>
          </w:p>
        </w:tc>
      </w:tr>
      <w:tr w:rsidR="008068B0" w:rsidRPr="00DD3F8C" w14:paraId="0BB7D2F2" w14:textId="77777777" w:rsidTr="00E95337">
        <w:trPr>
          <w:trHeight w:val="1212"/>
        </w:trPr>
        <w:tc>
          <w:tcPr>
            <w:tcW w:w="3686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0EADC9AA" w14:textId="77777777" w:rsidR="008068B0" w:rsidRDefault="008068B0" w:rsidP="003C3C6C">
            <w:pPr>
              <w:spacing w:after="40" w:line="252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Rozvoj p</w:t>
            </w:r>
            <w:r w:rsidRPr="00801524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odpor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y</w:t>
            </w:r>
            <w:r w:rsidRPr="00801524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účasti na veletrzích</w:t>
            </w:r>
          </w:p>
          <w:p w14:paraId="3C1E2725" w14:textId="36113ABE" w:rsidR="008068B0" w:rsidRDefault="008068B0" w:rsidP="003C3C6C">
            <w:pPr>
              <w:spacing w:after="40" w:line="252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80152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Rozvoj nástrojů pro prezentaci českých firem na zahraničních veletrzích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80152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výstavách pod jednotným vizuálním stylem.</w:t>
            </w:r>
          </w:p>
        </w:tc>
        <w:tc>
          <w:tcPr>
            <w:tcW w:w="198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6BD08C9B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1E8E3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1E8E3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Probíhá plnění</w:t>
            </w:r>
          </w:p>
          <w:p w14:paraId="3AAF122A" w14:textId="37D6F7F8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color w:val="1E8E3E"/>
                <w:sz w:val="22"/>
                <w:lang w:val="cs-CZ"/>
              </w:rPr>
            </w:pPr>
          </w:p>
        </w:tc>
        <w:tc>
          <w:tcPr>
            <w:tcW w:w="440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6958B8D6" w14:textId="17CEFF53" w:rsidR="008068B0" w:rsidRPr="0079516D" w:rsidRDefault="008068B0" w:rsidP="003C3C6C">
            <w:pPr>
              <w:spacing w:after="0" w:line="259" w:lineRule="auto"/>
              <w:jc w:val="both"/>
              <w:rPr>
                <w:color w:val="auto"/>
                <w:lang w:val="cs-CZ"/>
              </w:rPr>
            </w:pPr>
            <w:r w:rsidRPr="0079516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Vysoutěžen J</w:t>
            </w:r>
            <w:r w:rsidR="00E345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ednotný vizuální styl</w:t>
            </w:r>
            <w:r w:rsidRPr="0079516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9516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uplatňován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9516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exportní prezentaci. 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D</w:t>
            </w:r>
            <w:r w:rsidRPr="0079516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igitalizace 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procesů </w:t>
            </w:r>
            <w:r w:rsidRPr="0079516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Programu </w:t>
            </w:r>
            <w:r w:rsidR="00D26CC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Českých oficiálních účastí</w:t>
            </w:r>
            <w:r w:rsidR="00922FF3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(ČOÚ)</w:t>
            </w:r>
            <w:r w:rsidR="00D26CC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jeho rozšíření o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79516D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MO. </w:t>
            </w:r>
            <w:r w:rsidRPr="0079516D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Realizováno </w:t>
            </w:r>
            <w:r w:rsidRPr="0079516D">
              <w:rPr>
                <w:lang w:val="cs-CZ"/>
              </w:rPr>
              <w:t>38</w:t>
            </w:r>
            <w:r>
              <w:rPr>
                <w:lang w:val="cs-CZ"/>
              </w:rPr>
              <w:t xml:space="preserve"> ČOÚ (</w:t>
            </w:r>
            <w:r w:rsidRPr="0079516D">
              <w:rPr>
                <w:lang w:val="cs-CZ"/>
              </w:rPr>
              <w:t>400+ exporté</w:t>
            </w:r>
            <w:r>
              <w:rPr>
                <w:lang w:val="cs-CZ"/>
              </w:rPr>
              <w:t xml:space="preserve">rů, </w:t>
            </w:r>
            <w:r w:rsidRPr="0079516D">
              <w:rPr>
                <w:lang w:val="cs-CZ"/>
              </w:rPr>
              <w:t>kontraktac</w:t>
            </w:r>
            <w:r>
              <w:rPr>
                <w:lang w:val="cs-CZ"/>
              </w:rPr>
              <w:t xml:space="preserve">e cca </w:t>
            </w:r>
            <w:r w:rsidRPr="0079516D">
              <w:rPr>
                <w:lang w:val="cs-CZ"/>
              </w:rPr>
              <w:t>10 mld. Kč</w:t>
            </w:r>
            <w:r>
              <w:rPr>
                <w:lang w:val="cs-CZ"/>
              </w:rPr>
              <w:t xml:space="preserve">), </w:t>
            </w:r>
            <w:r w:rsidRPr="0079516D">
              <w:rPr>
                <w:lang w:val="cs-CZ"/>
              </w:rPr>
              <w:t xml:space="preserve">NOVUMM2/NOVUMM2KET </w:t>
            </w:r>
            <w:r>
              <w:rPr>
                <w:lang w:val="cs-CZ"/>
              </w:rPr>
              <w:t>23 akcí s</w:t>
            </w:r>
            <w:r w:rsidR="004C135E">
              <w:rPr>
                <w:lang w:val="cs-CZ"/>
              </w:rPr>
              <w:t> </w:t>
            </w:r>
            <w:r w:rsidRPr="0079516D">
              <w:rPr>
                <w:lang w:val="cs-CZ"/>
              </w:rPr>
              <w:t>176 účast</w:t>
            </w:r>
            <w:r>
              <w:rPr>
                <w:lang w:val="cs-CZ"/>
              </w:rPr>
              <w:t>níky a</w:t>
            </w:r>
            <w:r w:rsidR="004C135E">
              <w:rPr>
                <w:lang w:val="cs-CZ"/>
              </w:rPr>
              <w:t> </w:t>
            </w:r>
            <w:r w:rsidRPr="0079516D">
              <w:rPr>
                <w:lang w:val="cs-CZ"/>
              </w:rPr>
              <w:t>MZe</w:t>
            </w:r>
            <w:r>
              <w:rPr>
                <w:lang w:val="cs-CZ"/>
              </w:rPr>
              <w:t xml:space="preserve"> 6 OÚ na veletrzích</w:t>
            </w:r>
            <w:r w:rsidRPr="0079516D">
              <w:rPr>
                <w:lang w:val="cs-CZ"/>
              </w:rPr>
              <w:t xml:space="preserve"> (4 </w:t>
            </w:r>
            <w:r w:rsidR="00E04234">
              <w:rPr>
                <w:lang w:val="cs-CZ"/>
              </w:rPr>
              <w:t xml:space="preserve">mimo </w:t>
            </w:r>
            <w:r w:rsidRPr="0079516D">
              <w:rPr>
                <w:lang w:val="cs-CZ"/>
              </w:rPr>
              <w:t>EU)</w:t>
            </w:r>
            <w:r w:rsidR="00E04234">
              <w:rPr>
                <w:lang w:val="cs-CZ"/>
              </w:rPr>
              <w:t xml:space="preserve"> </w:t>
            </w:r>
            <w:r>
              <w:rPr>
                <w:lang w:val="cs-CZ"/>
              </w:rPr>
              <w:t>s</w:t>
            </w:r>
            <w:r w:rsidR="004C135E">
              <w:rPr>
                <w:lang w:val="cs-CZ"/>
              </w:rPr>
              <w:t> </w:t>
            </w:r>
            <w:r>
              <w:rPr>
                <w:lang w:val="cs-CZ"/>
              </w:rPr>
              <w:t>69 podniky.</w:t>
            </w:r>
          </w:p>
        </w:tc>
      </w:tr>
      <w:tr w:rsidR="008068B0" w:rsidRPr="002D2D1E" w14:paraId="07B51177" w14:textId="77777777" w:rsidTr="00E95337">
        <w:trPr>
          <w:trHeight w:val="1212"/>
        </w:trPr>
        <w:tc>
          <w:tcPr>
            <w:tcW w:w="3686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2624424A" w14:textId="7B25C4AD" w:rsidR="008068B0" w:rsidRDefault="008068B0" w:rsidP="003C3C6C">
            <w:pPr>
              <w:spacing w:after="40" w:line="252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801524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Branding ČR a</w:t>
            </w:r>
            <w:r w:rsidR="004C135E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 </w:t>
            </w:r>
            <w:r w:rsidRPr="00801524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jednotný vizuální styl</w:t>
            </w:r>
          </w:p>
          <w:p w14:paraId="580FE972" w14:textId="0E1A9D21" w:rsidR="008068B0" w:rsidRDefault="008068B0" w:rsidP="003C3C6C">
            <w:pPr>
              <w:spacing w:after="40" w:line="252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80152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Sjednocení vizuální prezentace státu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80152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posilování moderního, srozumitelného obrazu České republiky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80152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zahraničí.</w:t>
            </w:r>
          </w:p>
        </w:tc>
        <w:tc>
          <w:tcPr>
            <w:tcW w:w="198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757BAF13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1E8E3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1E8E3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Probíhá plnění</w:t>
            </w:r>
          </w:p>
          <w:p w14:paraId="24F864FD" w14:textId="6B3E2608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color w:val="1E8E3E"/>
                <w:sz w:val="22"/>
                <w:lang w:val="cs-CZ"/>
              </w:rPr>
            </w:pPr>
          </w:p>
        </w:tc>
        <w:tc>
          <w:tcPr>
            <w:tcW w:w="440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684705C4" w14:textId="1CE14EDB" w:rsidR="008068B0" w:rsidRPr="0079516D" w:rsidRDefault="008068B0" w:rsidP="003C3C6C">
            <w:pPr>
              <w:spacing w:after="0" w:line="259" w:lineRule="auto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  <w:r w:rsidRPr="0080152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Schválena podoba JVS pro ústřední orgány státní správy, následně i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80152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pravidla užívání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80152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grafický manuál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,</w:t>
            </w:r>
            <w:r w:rsidRPr="0080152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zahájena implementace s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80152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termínem zavedení do 30. 4. 2026.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80152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oblasti brandingu ČR představena iniciativa „Dobré ráno, Česko“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801524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dokončen sběr podkladů.</w:t>
            </w:r>
          </w:p>
        </w:tc>
      </w:tr>
      <w:tr w:rsidR="008068B0" w:rsidRPr="002D2D1E" w14:paraId="196D025B" w14:textId="77777777" w:rsidTr="00E95337">
        <w:trPr>
          <w:trHeight w:val="1212"/>
        </w:trPr>
        <w:tc>
          <w:tcPr>
            <w:tcW w:w="3686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486BACDD" w14:textId="77777777" w:rsidR="008068B0" w:rsidRDefault="008068B0" w:rsidP="003C3C6C">
            <w:pPr>
              <w:spacing w:after="40" w:line="252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Optimalizace e</w:t>
            </w:r>
            <w:r w:rsidRPr="00017DD0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xportní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ho</w:t>
            </w:r>
            <w:r w:rsidRPr="00017DD0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 xml:space="preserve"> financování</w:t>
            </w:r>
          </w:p>
          <w:p w14:paraId="65D381AF" w14:textId="72393548" w:rsidR="008068B0" w:rsidRPr="00801524" w:rsidRDefault="008068B0" w:rsidP="003C3C6C">
            <w:pPr>
              <w:spacing w:after="40" w:line="252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Optimalizace institucionálního uspořádání exportního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rozvojového financování, zejména prostřednictvím integrace ČEB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NRB.</w:t>
            </w:r>
          </w:p>
        </w:tc>
        <w:tc>
          <w:tcPr>
            <w:tcW w:w="198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7E2309E3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1E8E3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1E8E3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Probíhá plnění</w:t>
            </w:r>
          </w:p>
          <w:p w14:paraId="213F3836" w14:textId="7A8E61F3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color w:val="1E8E3E"/>
                <w:sz w:val="22"/>
                <w:lang w:val="cs-CZ"/>
              </w:rPr>
            </w:pPr>
          </w:p>
        </w:tc>
        <w:tc>
          <w:tcPr>
            <w:tcW w:w="440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115C3514" w14:textId="7178D226" w:rsidR="008068B0" w:rsidRPr="00801524" w:rsidRDefault="008068B0" w:rsidP="004C135E">
            <w:pPr>
              <w:spacing w:after="0" w:line="259" w:lineRule="auto"/>
              <w:jc w:val="both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Přij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etí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legislativ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y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umožňující konsolidaci ČEB pod NRB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pokračo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vání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harmonizace vnitřního fungování obou bank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. 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ČEB se k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7. 1. 2026 stala 100% dceřinou společností NRB.</w:t>
            </w:r>
            <w:r w:rsidR="00B72CC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</w:t>
            </w:r>
            <w:r w:rsidR="00B72CCE" w:rsidRPr="00E92AFD">
              <w:rPr>
                <w:lang w:val="cs-CZ"/>
              </w:rPr>
              <w:t>V</w:t>
            </w:r>
            <w:r w:rsidR="004C135E">
              <w:rPr>
                <w:lang w:val="cs-CZ"/>
              </w:rPr>
              <w:t> </w:t>
            </w:r>
            <w:r w:rsidR="00B72CCE" w:rsidRPr="00E92AFD">
              <w:rPr>
                <w:lang w:val="cs-CZ"/>
              </w:rPr>
              <w:t>oblasti pojišťování byl zahájen Program podpory obranného průmyslu EGAP s</w:t>
            </w:r>
            <w:r w:rsidR="004C135E">
              <w:rPr>
                <w:lang w:val="cs-CZ"/>
              </w:rPr>
              <w:t> </w:t>
            </w:r>
            <w:r w:rsidR="00B72CCE" w:rsidRPr="00E92AFD">
              <w:rPr>
                <w:lang w:val="cs-CZ"/>
              </w:rPr>
              <w:t xml:space="preserve">pojistnou kapacitou až </w:t>
            </w:r>
            <w:r w:rsidR="00B72CCE">
              <w:rPr>
                <w:lang w:val="cs-CZ"/>
              </w:rPr>
              <w:br/>
            </w:r>
            <w:r w:rsidR="00B72CCE" w:rsidRPr="00E92AFD">
              <w:rPr>
                <w:lang w:val="cs-CZ"/>
              </w:rPr>
              <w:t xml:space="preserve">5 mld. Kč </w:t>
            </w:r>
            <w:r w:rsidR="00B72CCE">
              <w:t xml:space="preserve"> </w:t>
            </w:r>
            <w:r w:rsidR="00B72CCE" w:rsidRPr="00E92AFD">
              <w:rPr>
                <w:lang w:val="cs-CZ"/>
              </w:rPr>
              <w:t>a</w:t>
            </w:r>
            <w:r w:rsidR="004C135E">
              <w:rPr>
                <w:lang w:val="cs-CZ"/>
              </w:rPr>
              <w:t> </w:t>
            </w:r>
            <w:r w:rsidR="00B72CCE" w:rsidRPr="00E92AFD">
              <w:rPr>
                <w:lang w:val="cs-CZ"/>
              </w:rPr>
              <w:t xml:space="preserve">realizovány </w:t>
            </w:r>
            <w:r w:rsidR="004C135E" w:rsidRPr="00E92AFD">
              <w:rPr>
                <w:lang w:val="cs-CZ"/>
              </w:rPr>
              <w:t xml:space="preserve">úpravy </w:t>
            </w:r>
            <w:r w:rsidR="00B72CCE" w:rsidRPr="00E92AFD">
              <w:rPr>
                <w:lang w:val="cs-CZ"/>
              </w:rPr>
              <w:t>Fondu Ukrajina EGAP s</w:t>
            </w:r>
            <w:r w:rsidR="004C135E">
              <w:rPr>
                <w:lang w:val="cs-CZ"/>
              </w:rPr>
              <w:t> </w:t>
            </w:r>
            <w:r w:rsidR="00B72CCE" w:rsidRPr="00E92AFD">
              <w:rPr>
                <w:lang w:val="cs-CZ"/>
              </w:rPr>
              <w:t>cílem zvýšit flexibilitu a</w:t>
            </w:r>
            <w:r w:rsidR="004C135E">
              <w:rPr>
                <w:lang w:val="cs-CZ"/>
              </w:rPr>
              <w:t> </w:t>
            </w:r>
            <w:r w:rsidR="00B72CCE" w:rsidRPr="00E92AFD">
              <w:rPr>
                <w:lang w:val="cs-CZ"/>
              </w:rPr>
              <w:t>využitelnost podpory pro české exportéry.</w:t>
            </w:r>
          </w:p>
        </w:tc>
      </w:tr>
      <w:tr w:rsidR="008068B0" w:rsidRPr="00DD3F8C" w14:paraId="780593FE" w14:textId="77777777" w:rsidTr="00E95337">
        <w:trPr>
          <w:trHeight w:val="1212"/>
        </w:trPr>
        <w:tc>
          <w:tcPr>
            <w:tcW w:w="3686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0600187B" w14:textId="4322E933" w:rsidR="008068B0" w:rsidRDefault="008068B0" w:rsidP="003C3C6C">
            <w:pPr>
              <w:spacing w:after="40" w:line="252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Prohlubování s</w:t>
            </w:r>
            <w:r w:rsidRPr="00017DD0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polupráce s</w:t>
            </w:r>
            <w:r w:rsidR="004C135E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 </w:t>
            </w:r>
            <w:r w:rsidRPr="00017DD0"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  <w:t>NRB</w:t>
            </w:r>
          </w:p>
          <w:p w14:paraId="4CB7DBBB" w14:textId="0C9114C0" w:rsidR="008068B0" w:rsidRDefault="008068B0" w:rsidP="003C3C6C">
            <w:pPr>
              <w:spacing w:after="40" w:line="252" w:lineRule="auto"/>
              <w:rPr>
                <w:rFonts w:asciiTheme="majorHAnsi" w:hAnsiTheme="majorHAnsi" w:cstheme="majorHAnsi"/>
                <w:b/>
                <w:sz w:val="20"/>
                <w:szCs w:val="20"/>
                <w:lang w:val="cs-CZ"/>
              </w:rPr>
            </w:pP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Rozvoj 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spolupráce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synergií v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oblasti financování podnikatelského rozvoje, exportu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projektů se zahraničním přesahem.</w:t>
            </w:r>
          </w:p>
        </w:tc>
        <w:tc>
          <w:tcPr>
            <w:tcW w:w="198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447585DA" w14:textId="77777777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sz w:val="20"/>
                <w:szCs w:val="20"/>
                <w:lang w:val="cs-CZ"/>
              </w:rPr>
            </w:pPr>
            <w:r w:rsidRPr="00691F51">
              <w:rPr>
                <w:rFonts w:asciiTheme="majorHAnsi" w:hAnsiTheme="majorHAnsi" w:cstheme="majorHAnsi"/>
                <w:color w:val="1E8E3E"/>
                <w:sz w:val="22"/>
                <w:lang w:val="cs-CZ"/>
              </w:rPr>
              <w:t>●</w:t>
            </w:r>
            <w:r w:rsidRPr="00691F51">
              <w:rPr>
                <w:rFonts w:asciiTheme="majorHAnsi" w:hAnsiTheme="majorHAnsi" w:cstheme="majorHAnsi"/>
                <w:color w:val="1E8E3E"/>
                <w:sz w:val="20"/>
                <w:szCs w:val="20"/>
                <w:lang w:val="cs-CZ"/>
              </w:rPr>
              <w:t xml:space="preserve"> </w:t>
            </w:r>
            <w:r w:rsidRPr="00691F51">
              <w:rPr>
                <w:rFonts w:asciiTheme="majorHAnsi" w:hAnsiTheme="majorHAnsi" w:cstheme="majorHAnsi"/>
                <w:b/>
                <w:color w:val="222222"/>
                <w:sz w:val="20"/>
                <w:szCs w:val="20"/>
                <w:lang w:val="cs-CZ"/>
              </w:rPr>
              <w:t>Probíhá plnění</w:t>
            </w:r>
          </w:p>
          <w:p w14:paraId="6B9CCBC4" w14:textId="0DB8CF8E" w:rsidR="008068B0" w:rsidRPr="00691F51" w:rsidRDefault="008068B0" w:rsidP="003C3C6C">
            <w:pPr>
              <w:spacing w:after="20" w:line="240" w:lineRule="auto"/>
              <w:rPr>
                <w:rFonts w:asciiTheme="majorHAnsi" w:hAnsiTheme="majorHAnsi" w:cstheme="majorHAnsi"/>
                <w:color w:val="1E8E3E"/>
                <w:sz w:val="22"/>
                <w:lang w:val="cs-CZ"/>
              </w:rPr>
            </w:pPr>
          </w:p>
        </w:tc>
        <w:tc>
          <w:tcPr>
            <w:tcW w:w="4404" w:type="dxa"/>
            <w:tcBorders>
              <w:top w:val="single" w:sz="6" w:space="0" w:color="D2D2D7"/>
              <w:left w:val="nil"/>
              <w:bottom w:val="single" w:sz="6" w:space="0" w:color="D2D2D7"/>
              <w:right w:val="nil"/>
            </w:tcBorders>
            <w:tcMar>
              <w:top w:w="130" w:type="dxa"/>
              <w:left w:w="120" w:type="dxa"/>
              <w:bottom w:w="130" w:type="dxa"/>
              <w:right w:w="120" w:type="dxa"/>
            </w:tcMar>
          </w:tcPr>
          <w:p w14:paraId="79421AA8" w14:textId="6234EBDF" w:rsidR="008068B0" w:rsidRPr="00017DD0" w:rsidRDefault="008068B0" w:rsidP="003C3C6C">
            <w:pPr>
              <w:spacing w:after="0" w:line="259" w:lineRule="auto"/>
              <w:jc w:val="both"/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</w:pP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Přijat zákon o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NRB, který vymezil její postavení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jako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rozvojové banky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rozšířil rámec jejích činností. NRB získala širší mandát 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mj. 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pro podporu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VaVaI</w:t>
            </w:r>
            <w:proofErr w:type="spellEnd"/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, 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finanční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ch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 nástroj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ů 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i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zapojení do 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rozvojové spolupráce a</w:t>
            </w:r>
            <w:r w:rsidR="004C135E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 </w:t>
            </w:r>
            <w:r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 xml:space="preserve">dalších </w:t>
            </w:r>
            <w:r w:rsidRPr="00017DD0">
              <w:rPr>
                <w:rFonts w:asciiTheme="majorHAnsi" w:hAnsiTheme="majorHAnsi" w:cstheme="majorHAnsi"/>
                <w:color w:val="333333"/>
                <w:szCs w:val="18"/>
                <w:lang w:val="cs-CZ"/>
              </w:rPr>
              <w:t>projektů ve třetích zemích.</w:t>
            </w:r>
          </w:p>
        </w:tc>
      </w:tr>
    </w:tbl>
    <w:p w14:paraId="77B1E8EB" w14:textId="77777777" w:rsidR="00B77571" w:rsidRDefault="00B77571" w:rsidP="00B77571">
      <w:pPr>
        <w:spacing w:after="60" w:line="25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bookmarkStart w:id="0" w:name="_Toc169187273"/>
      <w:bookmarkStart w:id="1" w:name="_Toc197336353"/>
      <w:bookmarkStart w:id="2" w:name="_Toc230965267"/>
      <w:bookmarkStart w:id="3" w:name="_Toc169187295"/>
      <w:bookmarkStart w:id="4" w:name="_Toc197336376"/>
      <w:bookmarkStart w:id="5" w:name="_Toc230858792"/>
    </w:p>
    <w:p w14:paraId="5E5C29DD" w14:textId="0BEDDD00" w:rsidR="00B77571" w:rsidRPr="00B77571" w:rsidRDefault="00B77571" w:rsidP="00B77571">
      <w:pPr>
        <w:spacing w:after="60"/>
        <w:rPr>
          <w:rFonts w:asciiTheme="majorHAnsi" w:hAnsiTheme="majorHAnsi" w:cstheme="majorHAnsi"/>
          <w:b/>
          <w:bCs/>
          <w:color w:val="auto"/>
          <w:sz w:val="20"/>
          <w:szCs w:val="20"/>
          <w:lang w:val="cs-CZ"/>
        </w:rPr>
      </w:pPr>
      <w:r w:rsidRPr="00B77571">
        <w:rPr>
          <w:rFonts w:asciiTheme="majorHAnsi" w:hAnsiTheme="majorHAnsi" w:cstheme="majorHAnsi"/>
          <w:b/>
          <w:bCs/>
          <w:color w:val="auto"/>
          <w:sz w:val="20"/>
          <w:szCs w:val="20"/>
          <w:lang w:val="cs-CZ"/>
        </w:rPr>
        <w:t>Řídicí mechanismus plnění Exportní strategie</w:t>
      </w:r>
      <w:bookmarkEnd w:id="0"/>
      <w:bookmarkEnd w:id="1"/>
      <w:bookmarkEnd w:id="2"/>
    </w:p>
    <w:p w14:paraId="10BEDBC7" w14:textId="67DC982A" w:rsidR="00B77571" w:rsidRPr="00B77571" w:rsidRDefault="00B77571" w:rsidP="00B77571">
      <w:pPr>
        <w:spacing w:after="60" w:line="25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B77571">
        <w:rPr>
          <w:rFonts w:asciiTheme="majorHAnsi" w:hAnsiTheme="majorHAnsi" w:cstheme="majorHAnsi"/>
          <w:sz w:val="20"/>
          <w:szCs w:val="20"/>
          <w:lang w:val="cs-CZ"/>
        </w:rPr>
        <w:t>Koordinaci a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řízení implementace Strategie zajišťuje Řídicí výbor Exportní strategie (ŘVES) ustanovený v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září 2023. Jeho členy jsou vedle Ministerstva průmyslu a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obchodu zástupci Ministerstva zahraničních věcí, Ministerstva financí, Ministerstva obrany a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Ministerstva zemědělství a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čtyř hlavních podnikatelských reprezentací – Hospodářské komory ČR, Svazu průmyslu a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dopravy ČR, Konfederace zaměstnavatelských a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podnikatelských svazů ČR a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Asociace malých a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 xml:space="preserve">středních podniků ČR. </w:t>
      </w:r>
    </w:p>
    <w:p w14:paraId="050228A1" w14:textId="745BDBC4" w:rsidR="00B77571" w:rsidRPr="00B77571" w:rsidRDefault="00B77571" w:rsidP="00B77571">
      <w:pPr>
        <w:spacing w:after="60" w:line="250" w:lineRule="auto"/>
        <w:jc w:val="both"/>
        <w:rPr>
          <w:rFonts w:asciiTheme="majorHAnsi" w:hAnsiTheme="majorHAnsi" w:cstheme="majorHAnsi"/>
          <w:sz w:val="20"/>
          <w:szCs w:val="20"/>
          <w:lang w:val="cs-CZ"/>
        </w:rPr>
      </w:pPr>
      <w:r w:rsidRPr="00B77571">
        <w:rPr>
          <w:rFonts w:asciiTheme="majorHAnsi" w:hAnsiTheme="majorHAnsi" w:cstheme="majorHAnsi"/>
          <w:sz w:val="20"/>
          <w:szCs w:val="20"/>
          <w:lang w:val="cs-CZ"/>
        </w:rPr>
        <w:t>ŘVES se schází pravidelně čtyřikrát ročně a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plní roli koordinační platformy implementace opatření Strategie,  současně zajišťuje koordinaci reakce státu a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podnikatelských reprezentací na aktuální výzvy v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oblasti podpory exportu. V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roce 2025 to byla zejména reakce na dopady obchodních sporů EU–USA na české vývozce. Výbor při své činnosti využívá i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výstupů a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práce dalších platforem, a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to zejména Pracovní skupiny pro exportní financování a</w:t>
      </w:r>
      <w:r w:rsidR="004C135E">
        <w:rPr>
          <w:rFonts w:asciiTheme="majorHAnsi" w:hAnsiTheme="majorHAnsi" w:cstheme="majorHAnsi"/>
          <w:sz w:val="20"/>
          <w:szCs w:val="20"/>
          <w:lang w:val="cs-CZ"/>
        </w:rPr>
        <w:t> 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pojišťování</w:t>
      </w:r>
      <w:r>
        <w:rPr>
          <w:rFonts w:asciiTheme="majorHAnsi" w:hAnsiTheme="majorHAnsi" w:cstheme="majorHAnsi"/>
          <w:sz w:val="20"/>
          <w:szCs w:val="20"/>
          <w:lang w:val="cs-CZ"/>
        </w:rPr>
        <w:t xml:space="preserve"> (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>MPO, MF, MZV, ČEB, EGAP, NRB, ČBA, SP ČR, HK ČR</w:t>
      </w:r>
      <w:r>
        <w:rPr>
          <w:rFonts w:asciiTheme="majorHAnsi" w:hAnsiTheme="majorHAnsi" w:cstheme="majorHAnsi"/>
          <w:sz w:val="20"/>
          <w:szCs w:val="20"/>
          <w:lang w:val="cs-CZ"/>
        </w:rPr>
        <w:t>)</w:t>
      </w:r>
      <w:r w:rsidRPr="00B77571">
        <w:rPr>
          <w:rFonts w:asciiTheme="majorHAnsi" w:hAnsiTheme="majorHAnsi" w:cstheme="majorHAnsi"/>
          <w:sz w:val="20"/>
          <w:szCs w:val="20"/>
          <w:lang w:val="cs-CZ"/>
        </w:rPr>
        <w:t xml:space="preserve">. </w:t>
      </w:r>
    </w:p>
    <w:p w14:paraId="6B0D6225" w14:textId="054155E6" w:rsidR="00AD6DCD" w:rsidRDefault="00AD6DCD" w:rsidP="00AD6DCD">
      <w:pPr>
        <w:rPr>
          <w:lang w:val="cs-CZ"/>
        </w:rPr>
      </w:pPr>
    </w:p>
    <w:p w14:paraId="3689109A" w14:textId="336084A9" w:rsidR="00E162D1" w:rsidRDefault="00E162D1" w:rsidP="00AD6DCD">
      <w:pPr>
        <w:rPr>
          <w:lang w:val="cs-CZ"/>
        </w:rPr>
      </w:pPr>
    </w:p>
    <w:p w14:paraId="18CE0AE8" w14:textId="33853302" w:rsidR="0079711F" w:rsidRDefault="0079711F" w:rsidP="00AD6DCD">
      <w:pPr>
        <w:rPr>
          <w:lang w:val="cs-CZ"/>
        </w:rPr>
      </w:pPr>
    </w:p>
    <w:p w14:paraId="1802AD91" w14:textId="77777777" w:rsidR="0079711F" w:rsidRDefault="0079711F" w:rsidP="00AD6DCD">
      <w:pPr>
        <w:rPr>
          <w:lang w:val="cs-CZ"/>
        </w:rPr>
      </w:pPr>
    </w:p>
    <w:p w14:paraId="4D14D56A" w14:textId="77777777" w:rsidR="00E162D1" w:rsidRPr="00E162D1" w:rsidRDefault="00E162D1" w:rsidP="00E162D1">
      <w:pPr>
        <w:spacing w:after="60" w:line="254" w:lineRule="auto"/>
        <w:rPr>
          <w:rFonts w:asciiTheme="majorHAnsi" w:eastAsia="Arial" w:hAnsiTheme="majorHAnsi" w:cstheme="majorHAnsi"/>
          <w:color w:val="2B2B2B"/>
          <w:lang w:val="cs-CZ"/>
        </w:rPr>
      </w:pPr>
      <w:r w:rsidRPr="00E162D1">
        <w:rPr>
          <w:rFonts w:asciiTheme="majorHAnsi" w:eastAsia="Arial" w:hAnsiTheme="majorHAnsi" w:cstheme="majorHAnsi"/>
          <w:b/>
          <w:color w:val="111111"/>
          <w:sz w:val="37"/>
          <w:lang w:val="cs-CZ"/>
        </w:rPr>
        <w:lastRenderedPageBreak/>
        <w:t>Příloha: Vybrané indikátory Exportní strategie</w:t>
      </w:r>
    </w:p>
    <w:tbl>
      <w:tblPr>
        <w:tblStyle w:val="Mkatabulky1"/>
        <w:tblW w:w="5000" w:type="pct"/>
        <w:jc w:val="center"/>
        <w:tblLook w:val="04A0" w:firstRow="1" w:lastRow="0" w:firstColumn="1" w:lastColumn="0" w:noHBand="0" w:noVBand="1"/>
      </w:tblPr>
      <w:tblGrid>
        <w:gridCol w:w="10472"/>
      </w:tblGrid>
      <w:tr w:rsidR="00E162D1" w:rsidRPr="00E162D1" w14:paraId="613E2C4D" w14:textId="77777777" w:rsidTr="00684DEB">
        <w:trPr>
          <w:jc w:val="center"/>
        </w:trPr>
        <w:tc>
          <w:tcPr>
            <w:tcW w:w="5000" w:type="pct"/>
            <w:tcBorders>
              <w:top w:val="single" w:sz="6" w:space="0" w:color="D9DDE2"/>
              <w:left w:val="single" w:sz="6" w:space="0" w:color="D9DDE2"/>
              <w:bottom w:val="single" w:sz="6" w:space="0" w:color="D9DDE2"/>
              <w:right w:val="single" w:sz="6" w:space="0" w:color="D9DDE2"/>
            </w:tcBorders>
            <w:shd w:val="clear" w:color="auto" w:fill="FBFBFB"/>
            <w:tcMar>
              <w:top w:w="105" w:type="dxa"/>
              <w:left w:w="170" w:type="dxa"/>
              <w:bottom w:w="100" w:type="dxa"/>
              <w:right w:w="170" w:type="dxa"/>
            </w:tcMar>
          </w:tcPr>
          <w:p w14:paraId="0D366CAB" w14:textId="77777777" w:rsidR="00E162D1" w:rsidRPr="00E162D1" w:rsidRDefault="00E162D1" w:rsidP="00E162D1">
            <w:pPr>
              <w:spacing w:line="259" w:lineRule="auto"/>
              <w:rPr>
                <w:rFonts w:asciiTheme="majorHAnsi" w:eastAsia="Arial" w:hAnsiTheme="majorHAnsi" w:cstheme="majorHAnsi"/>
                <w:color w:val="2B2B2B"/>
                <w:lang w:val="cs-CZ"/>
              </w:rPr>
            </w:pPr>
            <w:r w:rsidRPr="00E162D1">
              <w:rPr>
                <w:rFonts w:asciiTheme="majorHAnsi" w:eastAsia="Arial" w:hAnsiTheme="majorHAnsi" w:cstheme="majorHAnsi"/>
                <w:b/>
                <w:color w:val="111111"/>
                <w:sz w:val="23"/>
                <w:lang w:val="cs-CZ"/>
              </w:rPr>
              <w:t>Hlavní sdělení za rok 2025</w:t>
            </w:r>
          </w:p>
          <w:p w14:paraId="7BF38807" w14:textId="030AD861" w:rsidR="00E162D1" w:rsidRPr="00E162D1" w:rsidRDefault="00E162D1" w:rsidP="00E162D1">
            <w:pPr>
              <w:pStyle w:val="Odstavecseseznamem"/>
              <w:numPr>
                <w:ilvl w:val="0"/>
                <w:numId w:val="12"/>
              </w:numPr>
              <w:tabs>
                <w:tab w:val="num" w:pos="360"/>
              </w:tabs>
              <w:spacing w:line="259" w:lineRule="auto"/>
              <w:rPr>
                <w:rFonts w:ascii="Calibri" w:eastAsia="Arial" w:hAnsi="Calibri" w:cs="Calibri"/>
                <w:color w:val="2B2B2B"/>
                <w:szCs w:val="18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Vývoz zboží v</w:t>
            </w:r>
            <w:r w:rsidR="004C135E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běžných cenách meziročně vzrostl na 4,79 bil. Kč (+126,4 mld. Kč; +2,71 %). Přebytek obchodní bilance zůstal vysoký, ale mírně se snížil na 212,9 mld. Kč.</w:t>
            </w:r>
          </w:p>
          <w:p w14:paraId="48B65F51" w14:textId="0E29C88D" w:rsidR="00E162D1" w:rsidRPr="00E162D1" w:rsidRDefault="00E162D1" w:rsidP="00E162D1">
            <w:pPr>
              <w:pStyle w:val="Odstavecseseznamem"/>
              <w:numPr>
                <w:ilvl w:val="0"/>
                <w:numId w:val="12"/>
              </w:numPr>
              <w:tabs>
                <w:tab w:val="num" w:pos="360"/>
              </w:tabs>
              <w:spacing w:line="259" w:lineRule="auto"/>
              <w:rPr>
                <w:rFonts w:ascii="Calibri" w:eastAsia="Arial" w:hAnsi="Calibri" w:cs="Calibri"/>
                <w:color w:val="2B2B2B"/>
                <w:szCs w:val="18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Teritoriální diverzifikace se zlepšila: podíl vývozu mimo EU27 vzrostl z</w:t>
            </w:r>
            <w:r w:rsidR="004C135E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22,0 % na 22,4 %; po vyloučení energetických položek SITC 32-35 z</w:t>
            </w:r>
            <w:r w:rsidR="004C135E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22,4 % na 22,9 %.</w:t>
            </w:r>
          </w:p>
          <w:p w14:paraId="17737A20" w14:textId="47E008AB" w:rsidR="00E162D1" w:rsidRPr="00E162D1" w:rsidRDefault="00E162D1" w:rsidP="00E162D1">
            <w:pPr>
              <w:pStyle w:val="Odstavecseseznamem"/>
              <w:numPr>
                <w:ilvl w:val="0"/>
                <w:numId w:val="12"/>
              </w:numPr>
              <w:tabs>
                <w:tab w:val="num" w:pos="360"/>
              </w:tabs>
              <w:spacing w:line="259" w:lineRule="auto"/>
              <w:rPr>
                <w:rFonts w:ascii="Calibri" w:eastAsia="Arial" w:hAnsi="Calibri" w:cs="Calibri"/>
                <w:color w:val="2B2B2B"/>
                <w:szCs w:val="18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Růst byl tažen především silničními vozidly, odbornými a</w:t>
            </w:r>
            <w:r w:rsidR="004C135E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vědeckými přístroji, stroji k</w:t>
            </w:r>
            <w:r w:rsidR="004C135E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výrobě energie a</w:t>
            </w:r>
            <w:r w:rsidR="004C135E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vybranými high-tech položkami.</w:t>
            </w:r>
          </w:p>
          <w:p w14:paraId="39648B3B" w14:textId="3188C4C0" w:rsidR="00E162D1" w:rsidRPr="000B6D35" w:rsidRDefault="00E162D1" w:rsidP="000B6D35">
            <w:pPr>
              <w:pStyle w:val="Odstavecseseznamem"/>
              <w:numPr>
                <w:ilvl w:val="0"/>
                <w:numId w:val="12"/>
              </w:numPr>
              <w:tabs>
                <w:tab w:val="num" w:pos="360"/>
              </w:tabs>
              <w:spacing w:line="259" w:lineRule="auto"/>
              <w:rPr>
                <w:rFonts w:ascii="Calibri" w:eastAsia="Arial" w:hAnsi="Calibri" w:cs="Calibri"/>
                <w:color w:val="2B2B2B"/>
                <w:szCs w:val="18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Počet rezidentních exportérů meziročně klesl o</w:t>
            </w:r>
            <w:r w:rsidR="004C135E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2,09 %, zatímco počet ekonomických subjektů se zjištěnou aktivitou vzrostl o</w:t>
            </w:r>
            <w:r w:rsidR="004C135E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3,77 %. Podíl exportérů na ekonomických subjektech se snížil z</w:t>
            </w:r>
            <w:r w:rsidR="004C135E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Cs w:val="18"/>
                <w:lang w:val="cs-CZ"/>
              </w:rPr>
              <w:t>1,17 % na 1,10 %.</w:t>
            </w:r>
          </w:p>
        </w:tc>
      </w:tr>
    </w:tbl>
    <w:p w14:paraId="293665F5" w14:textId="77777777" w:rsidR="00E162D1" w:rsidRPr="00E162D1" w:rsidRDefault="00E162D1" w:rsidP="00E162D1">
      <w:pPr>
        <w:keepNext/>
        <w:keepLines/>
        <w:spacing w:before="240" w:after="120" w:line="254" w:lineRule="auto"/>
        <w:outlineLvl w:val="0"/>
        <w:rPr>
          <w:rFonts w:asciiTheme="majorHAnsi" w:eastAsiaTheme="majorEastAsia" w:hAnsiTheme="majorHAnsi" w:cstheme="majorHAnsi"/>
          <w:b/>
          <w:bCs/>
          <w:color w:val="111111"/>
          <w:sz w:val="30"/>
          <w:szCs w:val="28"/>
          <w:lang w:val="cs-CZ"/>
        </w:rPr>
      </w:pPr>
      <w:r w:rsidRPr="00E162D1">
        <w:rPr>
          <w:rFonts w:asciiTheme="majorHAnsi" w:eastAsia="Arial" w:hAnsiTheme="majorHAnsi" w:cstheme="majorHAnsi"/>
          <w:b/>
          <w:bCs/>
          <w:color w:val="111111"/>
          <w:sz w:val="30"/>
          <w:szCs w:val="28"/>
          <w:lang w:val="cs-CZ"/>
        </w:rPr>
        <w:t>1. Hlavní ukazatele zahraničního obchodu</w:t>
      </w:r>
    </w:p>
    <w:tbl>
      <w:tblPr>
        <w:tblStyle w:val="Mkatabulky1"/>
        <w:tblW w:w="5000" w:type="pct"/>
        <w:jc w:val="center"/>
        <w:tblLook w:val="04A0" w:firstRow="1" w:lastRow="0" w:firstColumn="1" w:lastColumn="0" w:noHBand="0" w:noVBand="1"/>
      </w:tblPr>
      <w:tblGrid>
        <w:gridCol w:w="2771"/>
        <w:gridCol w:w="2108"/>
        <w:gridCol w:w="2590"/>
        <w:gridCol w:w="3009"/>
      </w:tblGrid>
      <w:tr w:rsidR="00E162D1" w:rsidRPr="00E162D1" w14:paraId="1330D6E6" w14:textId="77777777" w:rsidTr="00684DEB">
        <w:trPr>
          <w:cantSplit/>
          <w:tblHeader/>
          <w:jc w:val="center"/>
        </w:trPr>
        <w:tc>
          <w:tcPr>
            <w:tcW w:w="1322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6F235A2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Oblast / indikátor</w:t>
            </w:r>
          </w:p>
        </w:tc>
        <w:tc>
          <w:tcPr>
            <w:tcW w:w="100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35004239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2025 / aktuální hodnota</w:t>
            </w:r>
          </w:p>
        </w:tc>
        <w:tc>
          <w:tcPr>
            <w:tcW w:w="12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65F94B4A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Meziročně / srovnání</w:t>
            </w:r>
          </w:p>
        </w:tc>
        <w:tc>
          <w:tcPr>
            <w:tcW w:w="14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7CA33C5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Hodnocení</w:t>
            </w:r>
          </w:p>
        </w:tc>
      </w:tr>
      <w:tr w:rsidR="00E162D1" w:rsidRPr="00DD3F8C" w14:paraId="02D589A8" w14:textId="77777777" w:rsidTr="00684DEB">
        <w:trPr>
          <w:cantSplit/>
          <w:jc w:val="center"/>
        </w:trPr>
        <w:tc>
          <w:tcPr>
            <w:tcW w:w="1322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3B0F039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Celkový vývoz zboží</w:t>
            </w:r>
          </w:p>
        </w:tc>
        <w:tc>
          <w:tcPr>
            <w:tcW w:w="100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45FC9D2A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4,79 bil. Kč</w:t>
            </w:r>
          </w:p>
        </w:tc>
        <w:tc>
          <w:tcPr>
            <w:tcW w:w="12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072621AA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+126,4 mld. Kč / +2,71 % proti roku 2024</w:t>
            </w:r>
          </w:p>
        </w:tc>
        <w:tc>
          <w:tcPr>
            <w:tcW w:w="14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CE61C38" w14:textId="087882BB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Růst vývozu pokračoval</w:t>
            </w:r>
          </w:p>
        </w:tc>
      </w:tr>
      <w:tr w:rsidR="00E162D1" w:rsidRPr="00DD3F8C" w14:paraId="581287A7" w14:textId="77777777" w:rsidTr="00684DEB">
        <w:trPr>
          <w:cantSplit/>
          <w:jc w:val="center"/>
        </w:trPr>
        <w:tc>
          <w:tcPr>
            <w:tcW w:w="1322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50EA86E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Obchodní bilance</w:t>
            </w:r>
          </w:p>
        </w:tc>
        <w:tc>
          <w:tcPr>
            <w:tcW w:w="100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E6058DC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+212,9 mld. Kč</w:t>
            </w:r>
          </w:p>
        </w:tc>
        <w:tc>
          <w:tcPr>
            <w:tcW w:w="12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413DB2AF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2024: +220,5 mld. Kč</w:t>
            </w:r>
          </w:p>
        </w:tc>
        <w:tc>
          <w:tcPr>
            <w:tcW w:w="14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76FCB757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Přebytek zůstal vysoký, meziročně se mírně snížil.</w:t>
            </w:r>
          </w:p>
        </w:tc>
      </w:tr>
      <w:tr w:rsidR="00E162D1" w:rsidRPr="00E162D1" w14:paraId="1989B275" w14:textId="77777777" w:rsidTr="00684DEB">
        <w:trPr>
          <w:cantSplit/>
          <w:jc w:val="center"/>
        </w:trPr>
        <w:tc>
          <w:tcPr>
            <w:tcW w:w="1322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9EB0608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Vývoz mimo EU27</w:t>
            </w:r>
          </w:p>
        </w:tc>
        <w:tc>
          <w:tcPr>
            <w:tcW w:w="100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8533E1E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22,4 % celkového vývozu</w:t>
            </w:r>
          </w:p>
        </w:tc>
        <w:tc>
          <w:tcPr>
            <w:tcW w:w="12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1C82DD3E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2024: 22,0 %</w:t>
            </w:r>
          </w:p>
        </w:tc>
        <w:tc>
          <w:tcPr>
            <w:tcW w:w="14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636E4CEB" w14:textId="2F488A32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Mírné </w:t>
            </w:r>
            <w:r w:rsidR="008E0DE0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zvýšení 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teritoriální diverzifikace.</w:t>
            </w:r>
          </w:p>
        </w:tc>
      </w:tr>
      <w:tr w:rsidR="00E162D1" w:rsidRPr="00DD3F8C" w14:paraId="59B50330" w14:textId="77777777" w:rsidTr="00684DEB">
        <w:trPr>
          <w:cantSplit/>
          <w:jc w:val="center"/>
        </w:trPr>
        <w:tc>
          <w:tcPr>
            <w:tcW w:w="1322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28FF93C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Běžný účet PB - kredit</w:t>
            </w:r>
          </w:p>
        </w:tc>
        <w:tc>
          <w:tcPr>
            <w:tcW w:w="100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78595E9E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EU27 +1,8 %, ostatní země +1,9 %</w:t>
            </w:r>
          </w:p>
        </w:tc>
        <w:tc>
          <w:tcPr>
            <w:tcW w:w="12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178FBBDA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Zboží: +2,5 % / +2,6 %; služby: +1,2 % / +5,9 %</w:t>
            </w:r>
          </w:p>
        </w:tc>
        <w:tc>
          <w:tcPr>
            <w:tcW w:w="14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002655C4" w14:textId="3B8B4C39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Růst je patrný v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EU i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mimo EU; služby mimo EU rostly výrazně rychleji.</w:t>
            </w:r>
          </w:p>
        </w:tc>
      </w:tr>
      <w:tr w:rsidR="00E162D1" w:rsidRPr="00DD3F8C" w14:paraId="1F0595A8" w14:textId="77777777" w:rsidTr="00684DEB">
        <w:trPr>
          <w:cantSplit/>
          <w:jc w:val="center"/>
        </w:trPr>
        <w:tc>
          <w:tcPr>
            <w:tcW w:w="1322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1048311E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Přímé investice</w:t>
            </w:r>
          </w:p>
        </w:tc>
        <w:tc>
          <w:tcPr>
            <w:tcW w:w="100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3C91043F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Aktiva vůči zahraničí +146 mld. Kč; pasiva +321 mld. Kč</w:t>
            </w:r>
          </w:p>
        </w:tc>
        <w:tc>
          <w:tcPr>
            <w:tcW w:w="12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25CAF25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Aktiva +5,4 %, pasiva +5,2 % proti konci roku 2024</w:t>
            </w:r>
          </w:p>
        </w:tc>
        <w:tc>
          <w:tcPr>
            <w:tcW w:w="14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8B7D224" w14:textId="69F8044A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Pokračuje růst zahraniční investiční pozice i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přílivu PZI.</w:t>
            </w:r>
          </w:p>
        </w:tc>
      </w:tr>
      <w:tr w:rsidR="00E162D1" w:rsidRPr="00DD3F8C" w14:paraId="74AAB8A8" w14:textId="77777777" w:rsidTr="00684DEB">
        <w:trPr>
          <w:cantSplit/>
          <w:jc w:val="center"/>
        </w:trPr>
        <w:tc>
          <w:tcPr>
            <w:tcW w:w="1322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344B1B0F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Vývoz bez SITC 32-35</w:t>
            </w:r>
          </w:p>
        </w:tc>
        <w:tc>
          <w:tcPr>
            <w:tcW w:w="100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4059DDCC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4,67 bil. Kč</w:t>
            </w:r>
          </w:p>
        </w:tc>
        <w:tc>
          <w:tcPr>
            <w:tcW w:w="12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29EC2A9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+112,4 mld. Kč / +2,46 %</w:t>
            </w:r>
          </w:p>
        </w:tc>
        <w:tc>
          <w:tcPr>
            <w:tcW w:w="14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F9EA849" w14:textId="50290554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Růst přetrvává i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po vyloučení topného plynu, fosilních paliv a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elektřiny.</w:t>
            </w:r>
          </w:p>
        </w:tc>
      </w:tr>
      <w:tr w:rsidR="00E162D1" w:rsidRPr="00DD3F8C" w14:paraId="2ACCEF79" w14:textId="77777777" w:rsidTr="00684DEB">
        <w:trPr>
          <w:cantSplit/>
          <w:jc w:val="center"/>
        </w:trPr>
        <w:tc>
          <w:tcPr>
            <w:tcW w:w="1322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47AF174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Vývoz mimo EU27 bez SITC 32-35</w:t>
            </w:r>
          </w:p>
        </w:tc>
        <w:tc>
          <w:tcPr>
            <w:tcW w:w="100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0B8DC2B0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22,9 %</w:t>
            </w:r>
          </w:p>
        </w:tc>
        <w:tc>
          <w:tcPr>
            <w:tcW w:w="12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872A1B8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2024: 22,4 %</w:t>
            </w:r>
          </w:p>
        </w:tc>
        <w:tc>
          <w:tcPr>
            <w:tcW w:w="1436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40B2EA22" w14:textId="50BE488C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Diverzifikace je zřetelnější po očištění o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energetické položky.</w:t>
            </w:r>
          </w:p>
        </w:tc>
      </w:tr>
    </w:tbl>
    <w:p w14:paraId="130BB5A0" w14:textId="15C2C1D4" w:rsidR="00E162D1" w:rsidRPr="00E162D1" w:rsidRDefault="00E162D1" w:rsidP="00E162D1">
      <w:pPr>
        <w:spacing w:before="40" w:after="160"/>
        <w:rPr>
          <w:rFonts w:ascii="Calibri" w:eastAsia="Arial" w:hAnsi="Calibri" w:cs="Calibri"/>
          <w:i/>
          <w:color w:val="595959"/>
          <w:sz w:val="16"/>
          <w:szCs w:val="16"/>
          <w:lang w:val="cs-CZ"/>
        </w:rPr>
      </w:pPr>
      <w:r w:rsidRPr="00E162D1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Zdroj: ČSÚ (údaje bez dopočtů), ČNB; tabulky a</w:t>
      </w:r>
      <w:r w:rsidR="004C135E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 </w:t>
      </w:r>
      <w:r w:rsidRPr="00E162D1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výpočty MPO. Údaje za rok 2025 jsou předběžné, ČSÚ k</w:t>
      </w:r>
      <w:r w:rsidR="004C135E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 </w:t>
      </w:r>
      <w:r w:rsidRPr="00E162D1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1. 4. 2026.</w:t>
      </w:r>
    </w:p>
    <w:p w14:paraId="4343653C" w14:textId="6B92ADD7" w:rsidR="00E162D1" w:rsidRPr="00E162D1" w:rsidRDefault="00E162D1" w:rsidP="00E162D1">
      <w:pPr>
        <w:keepNext/>
        <w:keepLines/>
        <w:spacing w:before="240" w:after="120" w:line="254" w:lineRule="auto"/>
        <w:outlineLvl w:val="0"/>
        <w:rPr>
          <w:rFonts w:asciiTheme="majorHAnsi" w:eastAsiaTheme="majorEastAsia" w:hAnsiTheme="majorHAnsi" w:cstheme="majorHAnsi"/>
          <w:b/>
          <w:bCs/>
          <w:color w:val="111111"/>
          <w:sz w:val="30"/>
          <w:szCs w:val="28"/>
          <w:lang w:val="cs-CZ"/>
        </w:rPr>
      </w:pPr>
      <w:r w:rsidRPr="00E162D1">
        <w:rPr>
          <w:rFonts w:asciiTheme="majorHAnsi" w:eastAsia="Arial" w:hAnsiTheme="majorHAnsi" w:cstheme="majorHAnsi"/>
          <w:b/>
          <w:bCs/>
          <w:color w:val="111111"/>
          <w:sz w:val="30"/>
          <w:szCs w:val="28"/>
          <w:lang w:val="cs-CZ"/>
        </w:rPr>
        <w:t>2. Růst vývozu a</w:t>
      </w:r>
      <w:r w:rsidR="004C135E">
        <w:rPr>
          <w:rFonts w:asciiTheme="majorHAnsi" w:eastAsia="Arial" w:hAnsiTheme="majorHAnsi" w:cstheme="majorHAnsi"/>
          <w:b/>
          <w:bCs/>
          <w:color w:val="111111"/>
          <w:sz w:val="30"/>
          <w:szCs w:val="28"/>
          <w:lang w:val="cs-CZ"/>
        </w:rPr>
        <w:t> </w:t>
      </w:r>
      <w:r w:rsidRPr="00E162D1">
        <w:rPr>
          <w:rFonts w:asciiTheme="majorHAnsi" w:eastAsia="Arial" w:hAnsiTheme="majorHAnsi" w:cstheme="majorHAnsi"/>
          <w:b/>
          <w:bCs/>
          <w:color w:val="111111"/>
          <w:sz w:val="30"/>
          <w:szCs w:val="28"/>
          <w:lang w:val="cs-CZ"/>
        </w:rPr>
        <w:t>diverzifikace exportního portfolia</w:t>
      </w:r>
    </w:p>
    <w:p w14:paraId="0B8F8BC9" w14:textId="31701F31" w:rsidR="00E162D1" w:rsidRPr="00E162D1" w:rsidRDefault="00E162D1" w:rsidP="00E162D1">
      <w:pPr>
        <w:keepNext/>
        <w:keepLines/>
        <w:spacing w:before="160" w:after="80" w:line="254" w:lineRule="auto"/>
        <w:outlineLvl w:val="1"/>
        <w:rPr>
          <w:rFonts w:asciiTheme="majorHAnsi" w:eastAsiaTheme="majorEastAsia" w:hAnsiTheme="majorHAnsi" w:cstheme="majorHAnsi"/>
          <w:b/>
          <w:bCs/>
          <w:color w:val="111111"/>
          <w:sz w:val="22"/>
          <w:szCs w:val="26"/>
          <w:lang w:val="cs-CZ"/>
        </w:rPr>
      </w:pPr>
      <w:r w:rsidRPr="00E162D1">
        <w:rPr>
          <w:rFonts w:asciiTheme="majorHAnsi" w:eastAsia="Arial" w:hAnsiTheme="majorHAnsi" w:cstheme="majorHAnsi"/>
          <w:b/>
          <w:bCs/>
          <w:color w:val="111111"/>
          <w:sz w:val="22"/>
          <w:szCs w:val="26"/>
          <w:lang w:val="cs-CZ"/>
        </w:rPr>
        <w:t>2.1 Tahouni meziročního růstu vývozu podle SITC a</w:t>
      </w:r>
      <w:r w:rsidR="007F0737">
        <w:rPr>
          <w:rFonts w:asciiTheme="majorHAnsi" w:eastAsia="Arial" w:hAnsiTheme="majorHAnsi" w:cstheme="majorHAnsi"/>
          <w:b/>
          <w:bCs/>
          <w:color w:val="111111"/>
          <w:sz w:val="22"/>
          <w:szCs w:val="26"/>
          <w:lang w:val="cs-CZ"/>
        </w:rPr>
        <w:t> </w:t>
      </w:r>
      <w:r w:rsidRPr="00E162D1">
        <w:rPr>
          <w:rFonts w:asciiTheme="majorHAnsi" w:eastAsia="Arial" w:hAnsiTheme="majorHAnsi" w:cstheme="majorHAnsi"/>
          <w:b/>
          <w:bCs/>
          <w:color w:val="111111"/>
          <w:sz w:val="22"/>
          <w:szCs w:val="26"/>
          <w:lang w:val="cs-CZ"/>
        </w:rPr>
        <w:t>zemí</w:t>
      </w:r>
    </w:p>
    <w:tbl>
      <w:tblPr>
        <w:tblStyle w:val="Mkatabulky1"/>
        <w:tblW w:w="5000" w:type="pct"/>
        <w:jc w:val="center"/>
        <w:tblLook w:val="04A0" w:firstRow="1" w:lastRow="0" w:firstColumn="1" w:lastColumn="0" w:noHBand="0" w:noVBand="1"/>
      </w:tblPr>
      <w:tblGrid>
        <w:gridCol w:w="2944"/>
        <w:gridCol w:w="7534"/>
      </w:tblGrid>
      <w:tr w:rsidR="00E162D1" w:rsidRPr="00DD3F8C" w14:paraId="7F98674C" w14:textId="77777777" w:rsidTr="000B6D35">
        <w:trPr>
          <w:cantSplit/>
          <w:tblHeader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1CF26175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bookmarkStart w:id="6" w:name="_Hlk231995709"/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SITC / oblast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19918B44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Nejvýznamnější meziroční růsty podle zemí</w:t>
            </w:r>
          </w:p>
        </w:tc>
      </w:tr>
      <w:tr w:rsidR="00B30763" w:rsidRPr="00DD3F8C" w14:paraId="02DB73E5" w14:textId="77777777" w:rsidTr="00217DE8">
        <w:trPr>
          <w:cantSplit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auto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E0577FF" w14:textId="05F839B2" w:rsidR="00B30763" w:rsidRPr="00E162D1" w:rsidRDefault="000B6D35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0B6D35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Země s nejvyšším přírůstkem</w:t>
            </w:r>
            <w:r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hodnoty </w:t>
            </w:r>
            <w:r w:rsidRPr="000B6D35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vývozu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auto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2D93BE5" w14:textId="5F68D989" w:rsidR="00B30763" w:rsidRPr="00E162D1" w:rsidRDefault="00B30763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Německ</w:t>
            </w:r>
            <w:r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o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(+34,8 mld.</w:t>
            </w:r>
            <w:r w:rsidR="008E0DE0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Kč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, 2,5 %), Slovensko (+13,6 mld.</w:t>
            </w:r>
            <w:r w:rsidR="008E0DE0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Kč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, 3,2 %)</w:t>
            </w:r>
            <w:r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, 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Francie (+13,4 mld.</w:t>
            </w:r>
            <w:r w:rsidR="008E0DE0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Kč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, 6,0 %)</w:t>
            </w:r>
            <w:r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, 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Tureck</w:t>
            </w:r>
            <w:r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o 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(+7,7 mld.</w:t>
            </w:r>
            <w:r w:rsidR="008E0DE0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Kč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, 10,0 %), Ukrajin</w:t>
            </w:r>
            <w:r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a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(+7,6 mld.</w:t>
            </w:r>
            <w:r w:rsidR="008E0DE0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Kč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, 16,9 %), Dánsk</w:t>
            </w:r>
            <w:r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o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(+7,0 mld.</w:t>
            </w:r>
            <w:r w:rsidR="008E0DE0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Kč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, 18,8 %), Rakousk</w:t>
            </w:r>
            <w:r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o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(+6,9 mld.</w:t>
            </w:r>
            <w:r w:rsidR="008E0DE0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Kč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, 3,9 %), Švédsk</w:t>
            </w:r>
            <w:r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o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(+6,2 mld.</w:t>
            </w:r>
            <w:r w:rsidR="008E0DE0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Kč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, 9,0 %), Belgie (+6,3 mld.</w:t>
            </w:r>
            <w:r w:rsidR="008E0DE0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Kč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, 6,1 %) a Švýcarsk</w:t>
            </w:r>
            <w:r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o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(+5,6 mld.</w:t>
            </w:r>
            <w:r w:rsidR="008E0DE0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 xml:space="preserve"> Kč</w:t>
            </w:r>
            <w:r w:rsidRPr="00B30763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,7,2 %).</w:t>
            </w:r>
          </w:p>
        </w:tc>
      </w:tr>
      <w:tr w:rsidR="00E162D1" w:rsidRPr="00DD3F8C" w14:paraId="7DF53685" w14:textId="77777777" w:rsidTr="000B6D35">
        <w:trPr>
          <w:cantSplit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14BFC646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78 Silniční vozidla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1C26220E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Německo (+27 mld. Kč; +7,3 %), Francie (+10 mld. Kč; +12,2 %), Dánsko (+7 mld. Kč; +61,9 %), Maroko (+5 mld. Kč; +70,7 %), Turecko (+5 mld. Kč; +12,5 %), Nizozemsko (+4 mld. Kč; +15,6 %), Slovensko (+3 mld. Kč; +4,9 %)</w:t>
            </w:r>
          </w:p>
        </w:tc>
      </w:tr>
      <w:tr w:rsidR="00E162D1" w:rsidRPr="00E162D1" w14:paraId="1949177A" w14:textId="77777777" w:rsidTr="00217DE8">
        <w:trPr>
          <w:cantSplit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auto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43397870" w14:textId="75240A69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87 Odborné, vědecké a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řídicí přístroje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auto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0ECE3EBA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Německo (+7 mld. Kč; +26,9 %), Čína (+3 mld. Kč; +32,1 %)</w:t>
            </w:r>
          </w:p>
        </w:tc>
      </w:tr>
      <w:tr w:rsidR="00E162D1" w:rsidRPr="00E162D1" w14:paraId="5FCD8493" w14:textId="77777777" w:rsidTr="00217DE8">
        <w:trPr>
          <w:cantSplit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41655C0" w14:textId="439348E8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71 Stroje a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zařízení k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výrobě energie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07E46398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Spojené státy (+5 mld. Kč; +34,5 %), Ukrajina (+4 mld. Kč; +80,2 %)</w:t>
            </w:r>
          </w:p>
        </w:tc>
      </w:tr>
      <w:tr w:rsidR="00E162D1" w:rsidRPr="00E162D1" w14:paraId="02D8772E" w14:textId="77777777" w:rsidTr="00217DE8">
        <w:trPr>
          <w:cantSplit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auto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6A63EABE" w14:textId="0460C142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77 Elektrická zařízení, přístroje a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spotřebiče, j. n.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auto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16317815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Slovensko (+4 mld. Kč; +11,6 %)</w:t>
            </w:r>
          </w:p>
        </w:tc>
      </w:tr>
      <w:tr w:rsidR="00E162D1" w:rsidRPr="00E162D1" w14:paraId="052B008F" w14:textId="77777777" w:rsidTr="00217DE8">
        <w:trPr>
          <w:cantSplit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4560C001" w14:textId="27C7939F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75 Kancelářské stroje a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zařízení k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automatickému zpracování dat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BB2CB38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Švédsko (+3 mld. Kč; +121,9 %), Německo (+3 mld. Kč; +9,7 %)</w:t>
            </w:r>
          </w:p>
        </w:tc>
      </w:tr>
      <w:tr w:rsidR="00E162D1" w:rsidRPr="00E162D1" w14:paraId="7BF7FEA4" w14:textId="77777777" w:rsidTr="00217DE8">
        <w:trPr>
          <w:cantSplit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auto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DC11FED" w14:textId="2E76F176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76 Telekomunikační zařízení a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zařízení pro záznam/reprodukci zvuku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auto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4F2A6DB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Spojené státy (+3 mld. Kč; +104,8 %)</w:t>
            </w:r>
          </w:p>
        </w:tc>
      </w:tr>
    </w:tbl>
    <w:bookmarkEnd w:id="6"/>
    <w:p w14:paraId="73F0C6AC" w14:textId="241A0646" w:rsidR="00E162D1" w:rsidRPr="00E162D1" w:rsidRDefault="00E162D1" w:rsidP="00E162D1">
      <w:pPr>
        <w:keepNext/>
        <w:keepLines/>
        <w:spacing w:before="160" w:after="80" w:line="254" w:lineRule="auto"/>
        <w:outlineLvl w:val="1"/>
        <w:rPr>
          <w:rFonts w:asciiTheme="majorHAnsi" w:eastAsiaTheme="majorEastAsia" w:hAnsiTheme="majorHAnsi" w:cstheme="majorHAnsi"/>
          <w:b/>
          <w:bCs/>
          <w:color w:val="111111"/>
          <w:sz w:val="22"/>
          <w:szCs w:val="26"/>
          <w:lang w:val="cs-CZ"/>
        </w:rPr>
      </w:pPr>
      <w:r w:rsidRPr="00E162D1">
        <w:rPr>
          <w:rFonts w:asciiTheme="majorHAnsi" w:eastAsia="Arial" w:hAnsiTheme="majorHAnsi" w:cstheme="majorHAnsi"/>
          <w:b/>
          <w:bCs/>
          <w:color w:val="111111"/>
          <w:sz w:val="22"/>
          <w:szCs w:val="26"/>
          <w:lang w:val="cs-CZ"/>
        </w:rPr>
        <w:t>2.2 High-tech: hlavní růstové oblasti a</w:t>
      </w:r>
      <w:r w:rsidR="004C135E">
        <w:rPr>
          <w:rFonts w:asciiTheme="majorHAnsi" w:eastAsia="Arial" w:hAnsiTheme="majorHAnsi" w:cstheme="majorHAnsi"/>
          <w:b/>
          <w:bCs/>
          <w:color w:val="111111"/>
          <w:sz w:val="22"/>
          <w:szCs w:val="26"/>
          <w:lang w:val="cs-CZ"/>
        </w:rPr>
        <w:t> </w:t>
      </w:r>
      <w:r w:rsidRPr="00E162D1">
        <w:rPr>
          <w:rFonts w:asciiTheme="majorHAnsi" w:eastAsia="Arial" w:hAnsiTheme="majorHAnsi" w:cstheme="majorHAnsi"/>
          <w:b/>
          <w:bCs/>
          <w:color w:val="111111"/>
          <w:sz w:val="22"/>
          <w:szCs w:val="26"/>
          <w:lang w:val="cs-CZ"/>
        </w:rPr>
        <w:t>trhy</w:t>
      </w:r>
    </w:p>
    <w:tbl>
      <w:tblPr>
        <w:tblStyle w:val="Mkatabulky1"/>
        <w:tblW w:w="5000" w:type="pct"/>
        <w:jc w:val="center"/>
        <w:tblLook w:val="04A0" w:firstRow="1" w:lastRow="0" w:firstColumn="1" w:lastColumn="0" w:noHBand="0" w:noVBand="1"/>
      </w:tblPr>
      <w:tblGrid>
        <w:gridCol w:w="2944"/>
        <w:gridCol w:w="7534"/>
      </w:tblGrid>
      <w:tr w:rsidR="00E162D1" w:rsidRPr="00E162D1" w14:paraId="5ADCB8BF" w14:textId="77777777" w:rsidTr="00684DEB">
        <w:trPr>
          <w:cantSplit/>
          <w:tblHeader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7702A04E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Pohyb zboží přes hranice - high-tech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3ACCB8DD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Nejvyšší meziroční růsty</w:t>
            </w:r>
          </w:p>
        </w:tc>
      </w:tr>
      <w:tr w:rsidR="00E162D1" w:rsidRPr="00E162D1" w14:paraId="24748CF7" w14:textId="77777777" w:rsidTr="00684DEB">
        <w:trPr>
          <w:cantSplit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60A855A5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Kategorie zboží SITC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34EA881D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Výpočetní technika (+41 mld. Kč; +10,0 %), neelektrické stroje (+8 mld. Kč; +41,3 %), letecká technika (+5 mld. Kč; +23,3 %), vědecké přístroje (+5 mld. Kč; +4,7 %)</w:t>
            </w:r>
          </w:p>
        </w:tc>
      </w:tr>
      <w:tr w:rsidR="00E162D1" w:rsidRPr="00E162D1" w14:paraId="13D32B2F" w14:textId="77777777" w:rsidTr="00684DEB">
        <w:trPr>
          <w:cantSplit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6509DB3" w14:textId="0026F80D" w:rsidR="00E162D1" w:rsidRPr="00E162D1" w:rsidRDefault="008E0DE0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Země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7DBE97D1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Dánsko (+10 mld. Kč; +59,5 %), Spojené státy (+7 mld. Kč; +12,8 %), Španělsko (+7 mld. Kč; +33,1 %), Francie (+5 mld. Kč; +11,0 %), Spojené arabské emiráty (+4 mld. Kč; +40,0 %)</w:t>
            </w:r>
          </w:p>
        </w:tc>
      </w:tr>
    </w:tbl>
    <w:p w14:paraId="272C6019" w14:textId="77777777" w:rsidR="00E162D1" w:rsidRPr="00E162D1" w:rsidRDefault="00E162D1" w:rsidP="00E162D1">
      <w:pPr>
        <w:keepNext/>
        <w:keepLines/>
        <w:spacing w:before="160" w:after="80" w:line="254" w:lineRule="auto"/>
        <w:outlineLvl w:val="1"/>
        <w:rPr>
          <w:rFonts w:ascii="Calibri" w:eastAsiaTheme="majorEastAsia" w:hAnsi="Calibri" w:cs="Calibri"/>
          <w:b/>
          <w:bCs/>
          <w:color w:val="111111"/>
          <w:sz w:val="22"/>
          <w:szCs w:val="26"/>
          <w:lang w:val="cs-CZ"/>
        </w:rPr>
      </w:pPr>
      <w:r w:rsidRPr="00E162D1">
        <w:rPr>
          <w:rFonts w:ascii="Calibri" w:eastAsia="Arial" w:hAnsi="Calibri" w:cs="Calibri"/>
          <w:b/>
          <w:bCs/>
          <w:color w:val="111111"/>
          <w:sz w:val="22"/>
          <w:szCs w:val="26"/>
          <w:lang w:val="cs-CZ"/>
        </w:rPr>
        <w:lastRenderedPageBreak/>
        <w:t>2.3 Hlavní meziroční poklesy podle kategorie zboží nebo země</w:t>
      </w:r>
    </w:p>
    <w:tbl>
      <w:tblPr>
        <w:tblStyle w:val="Mkatabulky1"/>
        <w:tblW w:w="5000" w:type="pct"/>
        <w:jc w:val="center"/>
        <w:tblLook w:val="04A0" w:firstRow="1" w:lastRow="0" w:firstColumn="1" w:lastColumn="0" w:noHBand="0" w:noVBand="1"/>
      </w:tblPr>
      <w:tblGrid>
        <w:gridCol w:w="2944"/>
        <w:gridCol w:w="7534"/>
      </w:tblGrid>
      <w:tr w:rsidR="00E162D1" w:rsidRPr="00E162D1" w14:paraId="6A7ADE52" w14:textId="77777777" w:rsidTr="00684DEB">
        <w:trPr>
          <w:cantSplit/>
          <w:tblHeader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6C6F777F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Oblast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0B4829DE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Nejvýznamnější poklesy</w:t>
            </w:r>
          </w:p>
        </w:tc>
      </w:tr>
      <w:tr w:rsidR="00E162D1" w:rsidRPr="00E162D1" w14:paraId="5D799078" w14:textId="77777777" w:rsidTr="00684DEB">
        <w:trPr>
          <w:cantSplit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06AFE43B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Kategorie zboží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4D36940" w14:textId="6534E295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SITC 75 Kancelářské stroje a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zařízení k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automatickému zpracování dat (-7 mld. Kč; -3,5 %), SITC 82 Nábytek a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jeho díly (-6 mld. Kč; -5,8 %), SITC 57 Plasty v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prvotní formě (-5 mld. Kč; -10,3 %), SITC 76 Telekomunikační zařízení a</w:t>
            </w:r>
            <w:r w:rsidR="004C135E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zařízení pro záznam/reprodukci zvuku (-4 mld. Kč; -3,5 %)</w:t>
            </w:r>
          </w:p>
        </w:tc>
      </w:tr>
      <w:tr w:rsidR="00E162D1" w:rsidRPr="00E162D1" w14:paraId="7868A2D7" w14:textId="77777777" w:rsidTr="00684DEB">
        <w:trPr>
          <w:cantSplit/>
          <w:jc w:val="center"/>
        </w:trPr>
        <w:tc>
          <w:tcPr>
            <w:tcW w:w="14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1BA82BBB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Země</w:t>
            </w:r>
          </w:p>
        </w:tc>
        <w:tc>
          <w:tcPr>
            <w:tcW w:w="359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1DA25A23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Nizozemsko (-5 mld. Kč; -3,2 %), Polsko (-4 mld. Kč; -1,3 %), Saúdská Arábie (-3 mld. Kč; -24,0 %), Ruská federace (-3 mld. Kč; -23,3 %), Španělsko (-3 mld. Kč; -2,0 %)</w:t>
            </w:r>
          </w:p>
        </w:tc>
      </w:tr>
    </w:tbl>
    <w:p w14:paraId="7EC94354" w14:textId="6D4D258F" w:rsidR="00E162D1" w:rsidRPr="00E162D1" w:rsidRDefault="00E162D1" w:rsidP="00EA6F1A">
      <w:pPr>
        <w:keepNext/>
        <w:keepLines/>
        <w:spacing w:before="120" w:after="80" w:line="254" w:lineRule="auto"/>
        <w:outlineLvl w:val="1"/>
        <w:rPr>
          <w:rFonts w:ascii="Calibri" w:eastAsia="Arial" w:hAnsi="Calibri" w:cs="Calibri"/>
          <w:i/>
          <w:color w:val="595959"/>
          <w:sz w:val="16"/>
          <w:szCs w:val="16"/>
          <w:lang w:val="cs-CZ"/>
        </w:rPr>
      </w:pPr>
      <w:r w:rsidRPr="00E162D1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Zdroj: ČSÚ (údaje bez dopočtů), ČNB; tabulky a</w:t>
      </w:r>
      <w:r w:rsidR="004C135E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 </w:t>
      </w:r>
      <w:r w:rsidRPr="00E162D1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výpočty MPO. Údaje za rok 2025 jsou předběžné, ČSÚ k</w:t>
      </w:r>
      <w:r w:rsidR="004C135E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 </w:t>
      </w:r>
      <w:r w:rsidRPr="00E162D1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1. 4. 2026.</w:t>
      </w:r>
    </w:p>
    <w:p w14:paraId="0A28DFDC" w14:textId="77777777" w:rsidR="00E162D1" w:rsidRPr="00E162D1" w:rsidRDefault="00E162D1" w:rsidP="00E162D1">
      <w:pPr>
        <w:keepNext/>
        <w:keepLines/>
        <w:spacing w:before="240" w:after="120" w:line="254" w:lineRule="auto"/>
        <w:outlineLvl w:val="0"/>
        <w:rPr>
          <w:rFonts w:asciiTheme="majorHAnsi" w:eastAsiaTheme="majorEastAsia" w:hAnsiTheme="majorHAnsi" w:cstheme="majorHAnsi"/>
          <w:b/>
          <w:bCs/>
          <w:color w:val="111111"/>
          <w:sz w:val="30"/>
          <w:szCs w:val="28"/>
          <w:lang w:val="cs-CZ"/>
        </w:rPr>
      </w:pPr>
      <w:r w:rsidRPr="00E162D1">
        <w:rPr>
          <w:rFonts w:asciiTheme="majorHAnsi" w:eastAsia="Arial" w:hAnsiTheme="majorHAnsi" w:cstheme="majorHAnsi"/>
          <w:b/>
          <w:bCs/>
          <w:color w:val="111111"/>
          <w:sz w:val="30"/>
          <w:szCs w:val="28"/>
          <w:lang w:val="cs-CZ"/>
        </w:rPr>
        <w:t>3. Rezidentní exportéři podle velikosti</w:t>
      </w:r>
    </w:p>
    <w:p w14:paraId="5D20B597" w14:textId="77777777" w:rsidR="00E162D1" w:rsidRPr="00E162D1" w:rsidRDefault="00E162D1" w:rsidP="00E162D1">
      <w:pPr>
        <w:keepNext/>
        <w:keepLines/>
        <w:spacing w:before="160" w:after="80" w:line="254" w:lineRule="auto"/>
        <w:outlineLvl w:val="1"/>
        <w:rPr>
          <w:rFonts w:asciiTheme="majorHAnsi" w:eastAsiaTheme="majorEastAsia" w:hAnsiTheme="majorHAnsi" w:cstheme="majorHAnsi"/>
          <w:b/>
          <w:bCs/>
          <w:color w:val="111111"/>
          <w:sz w:val="22"/>
          <w:szCs w:val="26"/>
          <w:lang w:val="cs-CZ"/>
        </w:rPr>
      </w:pPr>
      <w:r w:rsidRPr="00E162D1">
        <w:rPr>
          <w:rFonts w:asciiTheme="majorHAnsi" w:eastAsia="Arial" w:hAnsiTheme="majorHAnsi" w:cstheme="majorHAnsi"/>
          <w:b/>
          <w:bCs/>
          <w:color w:val="111111"/>
          <w:sz w:val="22"/>
          <w:szCs w:val="26"/>
          <w:lang w:val="cs-CZ"/>
        </w:rPr>
        <w:t>3.1 Podíl na hodnotě vývozu zboží podle počtu zaměstnanců (%)</w:t>
      </w:r>
    </w:p>
    <w:tbl>
      <w:tblPr>
        <w:tblStyle w:val="Mkatabulky1"/>
        <w:tblW w:w="5000" w:type="pct"/>
        <w:jc w:val="center"/>
        <w:tblLook w:val="04A0" w:firstRow="1" w:lastRow="0" w:firstColumn="1" w:lastColumn="0" w:noHBand="0" w:noVBand="1"/>
      </w:tblPr>
      <w:tblGrid>
        <w:gridCol w:w="1615"/>
        <w:gridCol w:w="1478"/>
        <w:gridCol w:w="1477"/>
        <w:gridCol w:w="1477"/>
        <w:gridCol w:w="1477"/>
        <w:gridCol w:w="1477"/>
        <w:gridCol w:w="1477"/>
      </w:tblGrid>
      <w:tr w:rsidR="00E162D1" w:rsidRPr="00E162D1" w14:paraId="3456FF5E" w14:textId="77777777" w:rsidTr="00684DEB">
        <w:trPr>
          <w:cantSplit/>
          <w:tblHeader/>
          <w:jc w:val="center"/>
        </w:trPr>
        <w:tc>
          <w:tcPr>
            <w:tcW w:w="770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4AE34450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Rok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0BC07E78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0 až 9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72C0670E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10 až 49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A3E7D65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50 až 249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A5D6887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nad 250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C7FDEE7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7F7F7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30973848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Celkem</w:t>
            </w:r>
          </w:p>
        </w:tc>
      </w:tr>
      <w:tr w:rsidR="00E162D1" w:rsidRPr="00E162D1" w14:paraId="70A31675" w14:textId="77777777" w:rsidTr="00684DEB">
        <w:trPr>
          <w:cantSplit/>
          <w:jc w:val="center"/>
        </w:trPr>
        <w:tc>
          <w:tcPr>
            <w:tcW w:w="770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088F917E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2023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06CD482C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4,8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0C5678B5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7,0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6C617E7C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18,5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733E46DE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63,0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37319B2D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6,7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051ACFD0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100,0</w:t>
            </w:r>
          </w:p>
        </w:tc>
      </w:tr>
      <w:tr w:rsidR="00E162D1" w:rsidRPr="00E162D1" w14:paraId="6FC942F0" w14:textId="77777777" w:rsidTr="00684DEB">
        <w:trPr>
          <w:cantSplit/>
          <w:jc w:val="center"/>
        </w:trPr>
        <w:tc>
          <w:tcPr>
            <w:tcW w:w="770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3BA173AD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2024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3BDF805A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6,6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084BC1A2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6,8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D501B86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18,8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653CBBF1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61,2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66030BB4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6,6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BFBFB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1DE4DB99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100,0</w:t>
            </w:r>
          </w:p>
        </w:tc>
      </w:tr>
      <w:tr w:rsidR="00E162D1" w:rsidRPr="00E162D1" w14:paraId="73F15B37" w14:textId="77777777" w:rsidTr="00684DEB">
        <w:trPr>
          <w:cantSplit/>
          <w:jc w:val="center"/>
        </w:trPr>
        <w:tc>
          <w:tcPr>
            <w:tcW w:w="770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1719E089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2025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6C7983F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4,8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422896BB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6,7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A2B68B7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19,8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5E5CF3B8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62,6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2EFEBF5F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6,1</w:t>
            </w:r>
          </w:p>
        </w:tc>
        <w:tc>
          <w:tcPr>
            <w:tcW w:w="705" w:type="pct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shd w:val="clear" w:color="auto" w:fill="FFFFFF"/>
            <w:tcMar>
              <w:top w:w="42" w:type="dxa"/>
              <w:left w:w="65" w:type="dxa"/>
              <w:bottom w:w="42" w:type="dxa"/>
              <w:right w:w="65" w:type="dxa"/>
            </w:tcMar>
            <w:vAlign w:val="center"/>
          </w:tcPr>
          <w:p w14:paraId="7E007E11" w14:textId="77777777" w:rsidR="00E162D1" w:rsidRPr="00E162D1" w:rsidRDefault="00E162D1" w:rsidP="00E162D1">
            <w:pPr>
              <w:spacing w:line="252" w:lineRule="auto"/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color w:val="2B2B2B"/>
                <w:sz w:val="16"/>
                <w:szCs w:val="16"/>
                <w:lang w:val="cs-CZ"/>
              </w:rPr>
              <w:t>100,0</w:t>
            </w:r>
          </w:p>
        </w:tc>
      </w:tr>
    </w:tbl>
    <w:p w14:paraId="0D4555BA" w14:textId="0E30E7A5" w:rsidR="00E162D1" w:rsidRPr="00E162D1" w:rsidRDefault="00E162D1" w:rsidP="00E162D1">
      <w:pPr>
        <w:spacing w:before="40" w:after="160"/>
        <w:rPr>
          <w:rFonts w:ascii="Calibri" w:eastAsia="Arial" w:hAnsi="Calibri" w:cs="Calibri"/>
          <w:i/>
          <w:color w:val="595959"/>
          <w:sz w:val="16"/>
          <w:szCs w:val="16"/>
          <w:lang w:val="cs-CZ"/>
        </w:rPr>
      </w:pPr>
      <w:r w:rsidRPr="00E162D1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Zdroj: ČSÚ (údaje bez dopočtů), tabulka a</w:t>
      </w:r>
      <w:r w:rsidR="004C135E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 </w:t>
      </w:r>
      <w:r w:rsidRPr="00E162D1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výpočty MPO.</w:t>
      </w:r>
    </w:p>
    <w:p w14:paraId="37F68714" w14:textId="053361F0" w:rsidR="00E162D1" w:rsidRPr="00E162D1" w:rsidRDefault="00E162D1" w:rsidP="00E162D1">
      <w:pPr>
        <w:keepNext/>
        <w:keepLines/>
        <w:spacing w:before="160" w:after="80" w:line="254" w:lineRule="auto"/>
        <w:outlineLvl w:val="1"/>
        <w:rPr>
          <w:rFonts w:asciiTheme="majorHAnsi" w:eastAsia="Arial" w:hAnsiTheme="majorHAnsi" w:cstheme="majorHAnsi"/>
          <w:b/>
          <w:bCs/>
          <w:color w:val="111111"/>
          <w:sz w:val="22"/>
          <w:szCs w:val="26"/>
          <w:lang w:val="cs-CZ"/>
        </w:rPr>
      </w:pPr>
      <w:r w:rsidRPr="00E162D1">
        <w:rPr>
          <w:rFonts w:asciiTheme="majorHAnsi" w:eastAsia="Arial" w:hAnsiTheme="majorHAnsi" w:cstheme="majorHAnsi"/>
          <w:b/>
          <w:bCs/>
          <w:color w:val="111111"/>
          <w:sz w:val="22"/>
          <w:szCs w:val="26"/>
          <w:lang w:val="cs-CZ"/>
        </w:rPr>
        <w:t>3.</w:t>
      </w:r>
      <w:r>
        <w:rPr>
          <w:rFonts w:asciiTheme="majorHAnsi" w:eastAsia="Arial" w:hAnsiTheme="majorHAnsi" w:cstheme="majorHAnsi"/>
          <w:b/>
          <w:bCs/>
          <w:color w:val="111111"/>
          <w:sz w:val="22"/>
          <w:szCs w:val="26"/>
          <w:lang w:val="cs-CZ"/>
        </w:rPr>
        <w:t>2</w:t>
      </w:r>
      <w:r w:rsidRPr="00E162D1">
        <w:rPr>
          <w:rFonts w:asciiTheme="majorHAnsi" w:eastAsia="Arial" w:hAnsiTheme="majorHAnsi" w:cstheme="majorHAnsi"/>
          <w:b/>
          <w:bCs/>
          <w:color w:val="111111"/>
          <w:sz w:val="22"/>
          <w:szCs w:val="26"/>
          <w:lang w:val="cs-CZ"/>
        </w:rPr>
        <w:t xml:space="preserve"> Růst velikosti českých firem a</w:t>
      </w:r>
      <w:r w:rsidR="004C135E">
        <w:rPr>
          <w:rFonts w:asciiTheme="majorHAnsi" w:eastAsia="Arial" w:hAnsiTheme="majorHAnsi" w:cstheme="majorHAnsi"/>
          <w:b/>
          <w:bCs/>
          <w:color w:val="111111"/>
          <w:sz w:val="22"/>
          <w:szCs w:val="26"/>
          <w:lang w:val="cs-CZ"/>
        </w:rPr>
        <w:t> </w:t>
      </w:r>
      <w:r w:rsidRPr="00E162D1">
        <w:rPr>
          <w:rFonts w:asciiTheme="majorHAnsi" w:eastAsia="Arial" w:hAnsiTheme="majorHAnsi" w:cstheme="majorHAnsi"/>
          <w:b/>
          <w:bCs/>
          <w:color w:val="111111"/>
          <w:sz w:val="22"/>
          <w:szCs w:val="26"/>
          <w:lang w:val="cs-CZ"/>
        </w:rPr>
        <w:t>zvyšování přítomnosti na zahraničních trzích</w:t>
      </w:r>
    </w:p>
    <w:p w14:paraId="07A8E130" w14:textId="144E5772" w:rsidR="00E162D1" w:rsidRPr="00E162D1" w:rsidRDefault="00E162D1" w:rsidP="00E162D1">
      <w:pPr>
        <w:spacing w:after="80" w:line="254" w:lineRule="auto"/>
        <w:rPr>
          <w:rFonts w:ascii="Calibri" w:eastAsia="Arial" w:hAnsi="Calibri" w:cs="Calibri"/>
          <w:color w:val="2B2B2B"/>
          <w:lang w:val="cs-CZ"/>
        </w:rPr>
      </w:pPr>
      <w:r w:rsidRPr="00E162D1">
        <w:rPr>
          <w:rFonts w:ascii="Calibri" w:eastAsia="Arial" w:hAnsi="Calibri" w:cs="Calibri"/>
          <w:color w:val="2B2B2B"/>
          <w:lang w:val="cs-CZ"/>
        </w:rPr>
        <w:t>Meziroční vývoj počtu rezidentních exportérů v</w:t>
      </w:r>
      <w:r w:rsidR="004C135E">
        <w:rPr>
          <w:rFonts w:ascii="Calibri" w:eastAsia="Arial" w:hAnsi="Calibri" w:cs="Calibri"/>
          <w:color w:val="2B2B2B"/>
          <w:lang w:val="cs-CZ"/>
        </w:rPr>
        <w:t> </w:t>
      </w:r>
      <w:r w:rsidRPr="00E162D1">
        <w:rPr>
          <w:rFonts w:ascii="Calibri" w:eastAsia="Arial" w:hAnsi="Calibri" w:cs="Calibri"/>
          <w:color w:val="2B2B2B"/>
          <w:lang w:val="cs-CZ"/>
        </w:rPr>
        <w:t>porovnání s</w:t>
      </w:r>
      <w:r w:rsidR="004C135E">
        <w:rPr>
          <w:rFonts w:ascii="Calibri" w:eastAsia="Arial" w:hAnsi="Calibri" w:cs="Calibri"/>
          <w:color w:val="2B2B2B"/>
          <w:lang w:val="cs-CZ"/>
        </w:rPr>
        <w:t> </w:t>
      </w:r>
      <w:r w:rsidRPr="00E162D1">
        <w:rPr>
          <w:rFonts w:ascii="Calibri" w:eastAsia="Arial" w:hAnsi="Calibri" w:cs="Calibri"/>
          <w:color w:val="2B2B2B"/>
          <w:lang w:val="cs-CZ"/>
        </w:rPr>
        <w:t>meziročním vývojem počtu rezidentních ekonomických subjektů v</w:t>
      </w:r>
      <w:r w:rsidR="004C135E">
        <w:rPr>
          <w:rFonts w:ascii="Calibri" w:eastAsia="Arial" w:hAnsi="Calibri" w:cs="Calibri"/>
          <w:color w:val="2B2B2B"/>
          <w:lang w:val="cs-CZ"/>
        </w:rPr>
        <w:t> </w:t>
      </w:r>
      <w:r w:rsidRPr="00E162D1">
        <w:rPr>
          <w:rFonts w:ascii="Calibri" w:eastAsia="Arial" w:hAnsi="Calibri" w:cs="Calibri"/>
          <w:color w:val="2B2B2B"/>
          <w:lang w:val="cs-CZ"/>
        </w:rPr>
        <w:t>kategoriích velikosti subjektu dle počtu zaměstnanců.</w:t>
      </w:r>
    </w:p>
    <w:tbl>
      <w:tblPr>
        <w:tblW w:w="5000" w:type="pct"/>
        <w:tblBorders>
          <w:top w:val="single" w:sz="4" w:space="0" w:color="E9ECEF"/>
          <w:left w:val="single" w:sz="4" w:space="0" w:color="E9ECEF"/>
          <w:bottom w:val="single" w:sz="4" w:space="0" w:color="E9ECEF"/>
          <w:right w:val="single" w:sz="4" w:space="0" w:color="E9ECEF"/>
          <w:insideH w:val="single" w:sz="4" w:space="0" w:color="E9ECEF"/>
          <w:insideV w:val="single" w:sz="4" w:space="0" w:color="E9ECE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848"/>
        <w:gridCol w:w="1000"/>
        <w:gridCol w:w="924"/>
        <w:gridCol w:w="935"/>
        <w:gridCol w:w="933"/>
        <w:gridCol w:w="1025"/>
        <w:gridCol w:w="937"/>
        <w:gridCol w:w="972"/>
        <w:gridCol w:w="767"/>
        <w:gridCol w:w="761"/>
      </w:tblGrid>
      <w:tr w:rsidR="00E162D1" w:rsidRPr="00E162D1" w14:paraId="1ADF9F4E" w14:textId="77777777" w:rsidTr="00684DEB">
        <w:trPr>
          <w:trHeight w:val="271"/>
        </w:trPr>
        <w:tc>
          <w:tcPr>
            <w:tcW w:w="657" w:type="pct"/>
            <w:shd w:val="clear" w:color="auto" w:fill="F7F7F7"/>
            <w:vAlign w:val="bottom"/>
            <w:hideMark/>
          </w:tcPr>
          <w:p w14:paraId="74D39685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 </w:t>
            </w:r>
          </w:p>
        </w:tc>
        <w:tc>
          <w:tcPr>
            <w:tcW w:w="1769" w:type="pct"/>
            <w:gridSpan w:val="4"/>
            <w:shd w:val="clear" w:color="auto" w:fill="F7F7F7"/>
            <w:vAlign w:val="center"/>
            <w:hideMark/>
          </w:tcPr>
          <w:p w14:paraId="74427356" w14:textId="77777777" w:rsidR="00E162D1" w:rsidRPr="00E162D1" w:rsidRDefault="00E162D1" w:rsidP="00E162D1">
            <w:pPr>
              <w:spacing w:after="0" w:line="252" w:lineRule="auto"/>
              <w:jc w:val="center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A</w:t>
            </w:r>
          </w:p>
          <w:p w14:paraId="344F905F" w14:textId="77777777" w:rsidR="00E162D1" w:rsidRPr="00E162D1" w:rsidRDefault="00E162D1" w:rsidP="00E162D1">
            <w:pPr>
              <w:spacing w:after="0" w:line="252" w:lineRule="auto"/>
              <w:jc w:val="center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Rezidentní ekonomické subjekty se zjištěnou aktivitou</w:t>
            </w:r>
          </w:p>
        </w:tc>
        <w:tc>
          <w:tcPr>
            <w:tcW w:w="1845" w:type="pct"/>
            <w:gridSpan w:val="4"/>
            <w:shd w:val="clear" w:color="auto" w:fill="F7F7F7"/>
          </w:tcPr>
          <w:p w14:paraId="6B62562A" w14:textId="77777777" w:rsidR="00E162D1" w:rsidRPr="00E162D1" w:rsidRDefault="00E162D1" w:rsidP="00E162D1">
            <w:pPr>
              <w:spacing w:after="0" w:line="252" w:lineRule="auto"/>
              <w:jc w:val="center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B</w:t>
            </w:r>
          </w:p>
          <w:p w14:paraId="3690784D" w14:textId="77777777" w:rsidR="00E162D1" w:rsidRPr="00E162D1" w:rsidRDefault="00E162D1" w:rsidP="00E162D1">
            <w:pPr>
              <w:spacing w:after="0" w:line="252" w:lineRule="auto"/>
              <w:jc w:val="center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Rezidentní exportéři</w:t>
            </w:r>
          </w:p>
        </w:tc>
        <w:tc>
          <w:tcPr>
            <w:tcW w:w="729" w:type="pct"/>
            <w:gridSpan w:val="2"/>
            <w:shd w:val="clear" w:color="auto" w:fill="F7F7F7"/>
            <w:vAlign w:val="center"/>
          </w:tcPr>
          <w:p w14:paraId="5F64034E" w14:textId="1C7D62EB" w:rsidR="00E162D1" w:rsidRPr="00E162D1" w:rsidRDefault="00E162D1" w:rsidP="00E162D1">
            <w:pPr>
              <w:spacing w:after="0" w:line="252" w:lineRule="auto"/>
              <w:jc w:val="center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Podíl počtu B</w:t>
            </w:r>
            <w:r w:rsidR="004C135E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 </w:t>
            </w: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na počtu A</w:t>
            </w:r>
          </w:p>
        </w:tc>
      </w:tr>
      <w:tr w:rsidR="00E162D1" w:rsidRPr="00E162D1" w14:paraId="2C2D6564" w14:textId="77777777" w:rsidTr="00684DEB">
        <w:trPr>
          <w:trHeight w:val="429"/>
        </w:trPr>
        <w:tc>
          <w:tcPr>
            <w:tcW w:w="657" w:type="pct"/>
            <w:shd w:val="clear" w:color="auto" w:fill="F7F7F7"/>
            <w:vAlign w:val="center"/>
            <w:hideMark/>
          </w:tcPr>
          <w:p w14:paraId="0FEF3042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 xml:space="preserve">Kategorie počtu zaměstnanců  </w:t>
            </w:r>
          </w:p>
        </w:tc>
        <w:tc>
          <w:tcPr>
            <w:tcW w:w="405" w:type="pct"/>
            <w:shd w:val="clear" w:color="auto" w:fill="F7F7F7"/>
            <w:vAlign w:val="center"/>
            <w:hideMark/>
          </w:tcPr>
          <w:p w14:paraId="661AFAF0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Počet 2023</w:t>
            </w:r>
          </w:p>
        </w:tc>
        <w:tc>
          <w:tcPr>
            <w:tcW w:w="477" w:type="pct"/>
            <w:shd w:val="clear" w:color="auto" w:fill="F7F7F7"/>
            <w:vAlign w:val="center"/>
          </w:tcPr>
          <w:p w14:paraId="3419B469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Počet 2024</w:t>
            </w:r>
          </w:p>
        </w:tc>
        <w:tc>
          <w:tcPr>
            <w:tcW w:w="441" w:type="pct"/>
            <w:shd w:val="clear" w:color="auto" w:fill="F7F7F7"/>
            <w:vAlign w:val="center"/>
          </w:tcPr>
          <w:p w14:paraId="592AF736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Počet 2025</w:t>
            </w:r>
          </w:p>
        </w:tc>
        <w:tc>
          <w:tcPr>
            <w:tcW w:w="446" w:type="pct"/>
            <w:shd w:val="clear" w:color="auto" w:fill="F7F7F7"/>
            <w:vAlign w:val="center"/>
            <w:hideMark/>
          </w:tcPr>
          <w:p w14:paraId="605AAF01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Odhad přírůstku 2025/24 (%)</w:t>
            </w:r>
          </w:p>
        </w:tc>
        <w:tc>
          <w:tcPr>
            <w:tcW w:w="445" w:type="pct"/>
            <w:shd w:val="clear" w:color="auto" w:fill="F7F7F7"/>
            <w:vAlign w:val="center"/>
            <w:hideMark/>
          </w:tcPr>
          <w:p w14:paraId="11F891C8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Počet 2023</w:t>
            </w:r>
          </w:p>
        </w:tc>
        <w:tc>
          <w:tcPr>
            <w:tcW w:w="489" w:type="pct"/>
            <w:shd w:val="clear" w:color="auto" w:fill="F7F7F7"/>
            <w:vAlign w:val="center"/>
          </w:tcPr>
          <w:p w14:paraId="07FD6606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Počet 2024</w:t>
            </w:r>
          </w:p>
        </w:tc>
        <w:tc>
          <w:tcPr>
            <w:tcW w:w="447" w:type="pct"/>
            <w:shd w:val="clear" w:color="auto" w:fill="F7F7F7"/>
            <w:vAlign w:val="center"/>
          </w:tcPr>
          <w:p w14:paraId="1F3FA8C8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Počet 2025</w:t>
            </w:r>
          </w:p>
        </w:tc>
        <w:tc>
          <w:tcPr>
            <w:tcW w:w="464" w:type="pct"/>
            <w:shd w:val="clear" w:color="auto" w:fill="F7F7F7"/>
            <w:vAlign w:val="center"/>
            <w:hideMark/>
          </w:tcPr>
          <w:p w14:paraId="683AC7C3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Odhad přírůstku 2025/24 (%)</w:t>
            </w:r>
          </w:p>
        </w:tc>
        <w:tc>
          <w:tcPr>
            <w:tcW w:w="366" w:type="pct"/>
            <w:shd w:val="clear" w:color="auto" w:fill="F7F7F7"/>
            <w:vAlign w:val="bottom"/>
          </w:tcPr>
          <w:p w14:paraId="320E6C24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2024 (%)</w:t>
            </w:r>
          </w:p>
        </w:tc>
        <w:tc>
          <w:tcPr>
            <w:tcW w:w="363" w:type="pct"/>
            <w:shd w:val="clear" w:color="auto" w:fill="F7F7F7"/>
            <w:vAlign w:val="bottom"/>
          </w:tcPr>
          <w:p w14:paraId="6E5774EC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/>
                <w:color w:val="111111"/>
                <w:sz w:val="16"/>
                <w:szCs w:val="16"/>
                <w:lang w:val="cs-CZ"/>
              </w:rPr>
              <w:t>2025 (%)</w:t>
            </w:r>
          </w:p>
        </w:tc>
      </w:tr>
      <w:tr w:rsidR="00E162D1" w:rsidRPr="00E162D1" w14:paraId="0660864F" w14:textId="77777777" w:rsidTr="00684DEB">
        <w:trPr>
          <w:trHeight w:val="218"/>
        </w:trPr>
        <w:tc>
          <w:tcPr>
            <w:tcW w:w="657" w:type="pct"/>
            <w:tcBorders>
              <w:bottom w:val="single" w:sz="4" w:space="0" w:color="E9ECEF"/>
            </w:tcBorders>
            <w:noWrap/>
            <w:vAlign w:val="center"/>
            <w:hideMark/>
          </w:tcPr>
          <w:p w14:paraId="64977748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0 až 9</w:t>
            </w:r>
          </w:p>
        </w:tc>
        <w:tc>
          <w:tcPr>
            <w:tcW w:w="405" w:type="pct"/>
            <w:tcBorders>
              <w:bottom w:val="single" w:sz="4" w:space="0" w:color="E9ECEF"/>
            </w:tcBorders>
            <w:noWrap/>
            <w:vAlign w:val="center"/>
          </w:tcPr>
          <w:p w14:paraId="21C7E9B6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1 251 066</w:t>
            </w:r>
          </w:p>
        </w:tc>
        <w:tc>
          <w:tcPr>
            <w:tcW w:w="477" w:type="pct"/>
            <w:tcBorders>
              <w:bottom w:val="single" w:sz="4" w:space="0" w:color="E9ECEF"/>
            </w:tcBorders>
            <w:vAlign w:val="bottom"/>
          </w:tcPr>
          <w:p w14:paraId="0D5DBBD2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1 295 895</w:t>
            </w:r>
          </w:p>
        </w:tc>
        <w:tc>
          <w:tcPr>
            <w:tcW w:w="441" w:type="pct"/>
            <w:tcBorders>
              <w:bottom w:val="single" w:sz="4" w:space="0" w:color="E9ECEF"/>
            </w:tcBorders>
            <w:noWrap/>
            <w:vAlign w:val="bottom"/>
          </w:tcPr>
          <w:p w14:paraId="5FFB0C74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1 342 474</w:t>
            </w:r>
          </w:p>
        </w:tc>
        <w:tc>
          <w:tcPr>
            <w:tcW w:w="446" w:type="pct"/>
            <w:tcBorders>
              <w:bottom w:val="single" w:sz="4" w:space="0" w:color="E9ECEF"/>
            </w:tcBorders>
            <w:noWrap/>
            <w:vAlign w:val="bottom"/>
          </w:tcPr>
          <w:p w14:paraId="3D199B94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3,59</w:t>
            </w:r>
          </w:p>
        </w:tc>
        <w:tc>
          <w:tcPr>
            <w:tcW w:w="445" w:type="pct"/>
            <w:tcBorders>
              <w:bottom w:val="single" w:sz="4" w:space="0" w:color="E9ECEF"/>
            </w:tcBorders>
            <w:noWrap/>
            <w:vAlign w:val="bottom"/>
          </w:tcPr>
          <w:p w14:paraId="1A7243A7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7 584</w:t>
            </w:r>
          </w:p>
        </w:tc>
        <w:tc>
          <w:tcPr>
            <w:tcW w:w="489" w:type="pct"/>
            <w:tcBorders>
              <w:bottom w:val="single" w:sz="4" w:space="0" w:color="E9ECEF"/>
            </w:tcBorders>
            <w:noWrap/>
            <w:vAlign w:val="bottom"/>
          </w:tcPr>
          <w:p w14:paraId="2C9A0AB4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7 792</w:t>
            </w:r>
          </w:p>
        </w:tc>
        <w:tc>
          <w:tcPr>
            <w:tcW w:w="447" w:type="pct"/>
            <w:tcBorders>
              <w:bottom w:val="single" w:sz="4" w:space="0" w:color="E9ECEF"/>
            </w:tcBorders>
            <w:vAlign w:val="bottom"/>
          </w:tcPr>
          <w:p w14:paraId="2C99553D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7 825</w:t>
            </w:r>
          </w:p>
        </w:tc>
        <w:tc>
          <w:tcPr>
            <w:tcW w:w="464" w:type="pct"/>
            <w:tcBorders>
              <w:bottom w:val="single" w:sz="4" w:space="0" w:color="E9ECEF"/>
            </w:tcBorders>
            <w:noWrap/>
            <w:vAlign w:val="bottom"/>
          </w:tcPr>
          <w:p w14:paraId="1167C155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0,42</w:t>
            </w:r>
          </w:p>
        </w:tc>
        <w:tc>
          <w:tcPr>
            <w:tcW w:w="366" w:type="pct"/>
            <w:tcBorders>
              <w:bottom w:val="single" w:sz="4" w:space="0" w:color="E9ECEF"/>
            </w:tcBorders>
            <w:vAlign w:val="bottom"/>
          </w:tcPr>
          <w:p w14:paraId="547087E2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0,60</w:t>
            </w:r>
          </w:p>
        </w:tc>
        <w:tc>
          <w:tcPr>
            <w:tcW w:w="363" w:type="pct"/>
            <w:tcBorders>
              <w:bottom w:val="single" w:sz="4" w:space="0" w:color="E9ECEF"/>
            </w:tcBorders>
            <w:vAlign w:val="bottom"/>
          </w:tcPr>
          <w:p w14:paraId="7C19D72B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0,58</w:t>
            </w:r>
          </w:p>
        </w:tc>
      </w:tr>
      <w:tr w:rsidR="00E162D1" w:rsidRPr="00E162D1" w14:paraId="7F69EE50" w14:textId="77777777" w:rsidTr="00684DEB">
        <w:trPr>
          <w:trHeight w:val="218"/>
        </w:trPr>
        <w:tc>
          <w:tcPr>
            <w:tcW w:w="657" w:type="pct"/>
            <w:shd w:val="clear" w:color="auto" w:fill="FBFBFB"/>
            <w:noWrap/>
            <w:vAlign w:val="center"/>
            <w:hideMark/>
          </w:tcPr>
          <w:p w14:paraId="400D3793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10 až 49</w:t>
            </w:r>
          </w:p>
        </w:tc>
        <w:tc>
          <w:tcPr>
            <w:tcW w:w="405" w:type="pct"/>
            <w:shd w:val="clear" w:color="auto" w:fill="FBFBFB"/>
            <w:noWrap/>
            <w:vAlign w:val="center"/>
          </w:tcPr>
          <w:p w14:paraId="5619E90E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44 330</w:t>
            </w:r>
          </w:p>
        </w:tc>
        <w:tc>
          <w:tcPr>
            <w:tcW w:w="477" w:type="pct"/>
            <w:shd w:val="clear" w:color="auto" w:fill="FBFBFB"/>
            <w:vAlign w:val="bottom"/>
          </w:tcPr>
          <w:p w14:paraId="3B0E9215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62 256</w:t>
            </w:r>
          </w:p>
        </w:tc>
        <w:tc>
          <w:tcPr>
            <w:tcW w:w="441" w:type="pct"/>
            <w:shd w:val="clear" w:color="auto" w:fill="FBFBFB"/>
            <w:noWrap/>
            <w:vAlign w:val="bottom"/>
          </w:tcPr>
          <w:p w14:paraId="3906FADC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65 780</w:t>
            </w:r>
          </w:p>
        </w:tc>
        <w:tc>
          <w:tcPr>
            <w:tcW w:w="446" w:type="pct"/>
            <w:shd w:val="clear" w:color="auto" w:fill="FBFBFB"/>
            <w:noWrap/>
            <w:vAlign w:val="bottom"/>
          </w:tcPr>
          <w:p w14:paraId="5BD28B7C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5,66</w:t>
            </w:r>
          </w:p>
        </w:tc>
        <w:tc>
          <w:tcPr>
            <w:tcW w:w="445" w:type="pct"/>
            <w:shd w:val="clear" w:color="auto" w:fill="FBFBFB"/>
            <w:noWrap/>
            <w:vAlign w:val="bottom"/>
          </w:tcPr>
          <w:p w14:paraId="373DEB6A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5 470</w:t>
            </w:r>
          </w:p>
        </w:tc>
        <w:tc>
          <w:tcPr>
            <w:tcW w:w="489" w:type="pct"/>
            <w:shd w:val="clear" w:color="auto" w:fill="FBFBFB"/>
            <w:noWrap/>
            <w:vAlign w:val="bottom"/>
          </w:tcPr>
          <w:p w14:paraId="5D7D1367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5 542</w:t>
            </w:r>
          </w:p>
        </w:tc>
        <w:tc>
          <w:tcPr>
            <w:tcW w:w="447" w:type="pct"/>
            <w:shd w:val="clear" w:color="auto" w:fill="FBFBFB"/>
            <w:vAlign w:val="bottom"/>
          </w:tcPr>
          <w:p w14:paraId="225E44B7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5 375</w:t>
            </w:r>
          </w:p>
        </w:tc>
        <w:tc>
          <w:tcPr>
            <w:tcW w:w="464" w:type="pct"/>
            <w:shd w:val="clear" w:color="auto" w:fill="FBFBFB"/>
            <w:noWrap/>
            <w:vAlign w:val="bottom"/>
          </w:tcPr>
          <w:p w14:paraId="157EE258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-3,01</w:t>
            </w:r>
          </w:p>
        </w:tc>
        <w:tc>
          <w:tcPr>
            <w:tcW w:w="366" w:type="pct"/>
            <w:shd w:val="clear" w:color="auto" w:fill="FBFBFB"/>
            <w:vAlign w:val="bottom"/>
          </w:tcPr>
          <w:p w14:paraId="3FBE16D8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8,90</w:t>
            </w:r>
          </w:p>
        </w:tc>
        <w:tc>
          <w:tcPr>
            <w:tcW w:w="363" w:type="pct"/>
            <w:shd w:val="clear" w:color="auto" w:fill="FBFBFB"/>
            <w:vAlign w:val="bottom"/>
          </w:tcPr>
          <w:p w14:paraId="7A7F443E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8,17</w:t>
            </w:r>
          </w:p>
        </w:tc>
      </w:tr>
      <w:tr w:rsidR="00E162D1" w:rsidRPr="00E162D1" w14:paraId="5F2E1EB6" w14:textId="77777777" w:rsidTr="00684DEB">
        <w:trPr>
          <w:trHeight w:val="218"/>
        </w:trPr>
        <w:tc>
          <w:tcPr>
            <w:tcW w:w="657" w:type="pct"/>
            <w:tcBorders>
              <w:bottom w:val="single" w:sz="4" w:space="0" w:color="E9ECEF"/>
            </w:tcBorders>
            <w:noWrap/>
            <w:vAlign w:val="center"/>
            <w:hideMark/>
          </w:tcPr>
          <w:p w14:paraId="1DE87391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50 až 249</w:t>
            </w:r>
          </w:p>
        </w:tc>
        <w:tc>
          <w:tcPr>
            <w:tcW w:w="405" w:type="pct"/>
            <w:tcBorders>
              <w:bottom w:val="single" w:sz="4" w:space="0" w:color="E9ECEF"/>
            </w:tcBorders>
            <w:noWrap/>
            <w:vAlign w:val="center"/>
          </w:tcPr>
          <w:p w14:paraId="79A648EE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12 123</w:t>
            </w:r>
          </w:p>
        </w:tc>
        <w:tc>
          <w:tcPr>
            <w:tcW w:w="477" w:type="pct"/>
            <w:tcBorders>
              <w:bottom w:val="single" w:sz="4" w:space="0" w:color="E9ECEF"/>
            </w:tcBorders>
            <w:vAlign w:val="bottom"/>
          </w:tcPr>
          <w:p w14:paraId="7B48C8B2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15 032</w:t>
            </w:r>
          </w:p>
        </w:tc>
        <w:tc>
          <w:tcPr>
            <w:tcW w:w="441" w:type="pct"/>
            <w:tcBorders>
              <w:bottom w:val="single" w:sz="4" w:space="0" w:color="E9ECEF"/>
            </w:tcBorders>
            <w:noWrap/>
            <w:vAlign w:val="bottom"/>
          </w:tcPr>
          <w:p w14:paraId="324846C8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15 741</w:t>
            </w:r>
          </w:p>
        </w:tc>
        <w:tc>
          <w:tcPr>
            <w:tcW w:w="446" w:type="pct"/>
            <w:tcBorders>
              <w:bottom w:val="single" w:sz="4" w:space="0" w:color="E9ECEF"/>
            </w:tcBorders>
            <w:noWrap/>
            <w:vAlign w:val="bottom"/>
          </w:tcPr>
          <w:p w14:paraId="19D032B6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4,72</w:t>
            </w:r>
          </w:p>
        </w:tc>
        <w:tc>
          <w:tcPr>
            <w:tcW w:w="445" w:type="pct"/>
            <w:tcBorders>
              <w:bottom w:val="single" w:sz="4" w:space="0" w:color="E9ECEF"/>
            </w:tcBorders>
            <w:noWrap/>
            <w:vAlign w:val="bottom"/>
          </w:tcPr>
          <w:p w14:paraId="6336319A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3 493</w:t>
            </w:r>
          </w:p>
        </w:tc>
        <w:tc>
          <w:tcPr>
            <w:tcW w:w="489" w:type="pct"/>
            <w:tcBorders>
              <w:bottom w:val="single" w:sz="4" w:space="0" w:color="E9ECEF"/>
            </w:tcBorders>
            <w:noWrap/>
            <w:vAlign w:val="bottom"/>
          </w:tcPr>
          <w:p w14:paraId="3119D7B5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3 690</w:t>
            </w:r>
          </w:p>
        </w:tc>
        <w:tc>
          <w:tcPr>
            <w:tcW w:w="447" w:type="pct"/>
            <w:tcBorders>
              <w:bottom w:val="single" w:sz="4" w:space="0" w:color="E9ECEF"/>
            </w:tcBorders>
            <w:vAlign w:val="bottom"/>
          </w:tcPr>
          <w:p w14:paraId="477510C5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3 725</w:t>
            </w:r>
          </w:p>
        </w:tc>
        <w:tc>
          <w:tcPr>
            <w:tcW w:w="464" w:type="pct"/>
            <w:tcBorders>
              <w:bottom w:val="single" w:sz="4" w:space="0" w:color="E9ECEF"/>
            </w:tcBorders>
            <w:noWrap/>
            <w:vAlign w:val="bottom"/>
          </w:tcPr>
          <w:p w14:paraId="7111437C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0,95</w:t>
            </w:r>
          </w:p>
        </w:tc>
        <w:tc>
          <w:tcPr>
            <w:tcW w:w="366" w:type="pct"/>
            <w:tcBorders>
              <w:bottom w:val="single" w:sz="4" w:space="0" w:color="E9ECEF"/>
            </w:tcBorders>
            <w:vAlign w:val="bottom"/>
          </w:tcPr>
          <w:p w14:paraId="3E56D7CB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24,55</w:t>
            </w:r>
          </w:p>
        </w:tc>
        <w:tc>
          <w:tcPr>
            <w:tcW w:w="363" w:type="pct"/>
            <w:tcBorders>
              <w:bottom w:val="single" w:sz="4" w:space="0" w:color="E9ECEF"/>
            </w:tcBorders>
            <w:vAlign w:val="bottom"/>
          </w:tcPr>
          <w:p w14:paraId="24A16861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23,66</w:t>
            </w:r>
          </w:p>
        </w:tc>
      </w:tr>
      <w:tr w:rsidR="00E162D1" w:rsidRPr="00E162D1" w14:paraId="0634958A" w14:textId="77777777" w:rsidTr="00684DEB">
        <w:trPr>
          <w:trHeight w:val="218"/>
        </w:trPr>
        <w:tc>
          <w:tcPr>
            <w:tcW w:w="657" w:type="pct"/>
            <w:shd w:val="clear" w:color="auto" w:fill="FBFBFB"/>
            <w:noWrap/>
            <w:vAlign w:val="center"/>
            <w:hideMark/>
          </w:tcPr>
          <w:p w14:paraId="075D2548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nad 250</w:t>
            </w:r>
          </w:p>
        </w:tc>
        <w:tc>
          <w:tcPr>
            <w:tcW w:w="405" w:type="pct"/>
            <w:shd w:val="clear" w:color="auto" w:fill="FBFBFB"/>
            <w:noWrap/>
            <w:vAlign w:val="center"/>
          </w:tcPr>
          <w:p w14:paraId="1B6BE39F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2 401</w:t>
            </w:r>
          </w:p>
        </w:tc>
        <w:tc>
          <w:tcPr>
            <w:tcW w:w="477" w:type="pct"/>
            <w:shd w:val="clear" w:color="auto" w:fill="FBFBFB"/>
            <w:vAlign w:val="bottom"/>
          </w:tcPr>
          <w:p w14:paraId="1508018A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2 816</w:t>
            </w:r>
          </w:p>
        </w:tc>
        <w:tc>
          <w:tcPr>
            <w:tcW w:w="441" w:type="pct"/>
            <w:shd w:val="clear" w:color="auto" w:fill="FBFBFB"/>
            <w:noWrap/>
            <w:vAlign w:val="bottom"/>
          </w:tcPr>
          <w:p w14:paraId="6F2FB624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2 838</w:t>
            </w:r>
          </w:p>
        </w:tc>
        <w:tc>
          <w:tcPr>
            <w:tcW w:w="446" w:type="pct"/>
            <w:shd w:val="clear" w:color="auto" w:fill="FBFBFB"/>
            <w:noWrap/>
            <w:vAlign w:val="bottom"/>
          </w:tcPr>
          <w:p w14:paraId="146B66F6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0,78</w:t>
            </w:r>
          </w:p>
        </w:tc>
        <w:tc>
          <w:tcPr>
            <w:tcW w:w="445" w:type="pct"/>
            <w:shd w:val="clear" w:color="auto" w:fill="FBFBFB"/>
            <w:noWrap/>
            <w:vAlign w:val="bottom"/>
          </w:tcPr>
          <w:p w14:paraId="7759A3C9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1 191</w:t>
            </w:r>
          </w:p>
        </w:tc>
        <w:tc>
          <w:tcPr>
            <w:tcW w:w="489" w:type="pct"/>
            <w:shd w:val="clear" w:color="auto" w:fill="FBFBFB"/>
            <w:noWrap/>
            <w:vAlign w:val="bottom"/>
          </w:tcPr>
          <w:p w14:paraId="44ED4D9B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1 187</w:t>
            </w:r>
          </w:p>
        </w:tc>
        <w:tc>
          <w:tcPr>
            <w:tcW w:w="447" w:type="pct"/>
            <w:shd w:val="clear" w:color="auto" w:fill="FBFBFB"/>
            <w:vAlign w:val="bottom"/>
          </w:tcPr>
          <w:p w14:paraId="5EC70940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1 178</w:t>
            </w:r>
          </w:p>
        </w:tc>
        <w:tc>
          <w:tcPr>
            <w:tcW w:w="464" w:type="pct"/>
            <w:shd w:val="clear" w:color="auto" w:fill="FBFBFB"/>
            <w:noWrap/>
            <w:vAlign w:val="bottom"/>
          </w:tcPr>
          <w:p w14:paraId="14BAC334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-0,76</w:t>
            </w:r>
          </w:p>
        </w:tc>
        <w:tc>
          <w:tcPr>
            <w:tcW w:w="366" w:type="pct"/>
            <w:shd w:val="clear" w:color="auto" w:fill="FBFBFB"/>
            <w:vAlign w:val="bottom"/>
          </w:tcPr>
          <w:p w14:paraId="5BDF6B65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42,15</w:t>
            </w:r>
          </w:p>
        </w:tc>
        <w:tc>
          <w:tcPr>
            <w:tcW w:w="363" w:type="pct"/>
            <w:shd w:val="clear" w:color="auto" w:fill="FBFBFB"/>
            <w:vAlign w:val="bottom"/>
          </w:tcPr>
          <w:p w14:paraId="2527E2CD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41,51</w:t>
            </w:r>
          </w:p>
        </w:tc>
      </w:tr>
      <w:tr w:rsidR="00E162D1" w:rsidRPr="00E162D1" w14:paraId="317A2B99" w14:textId="77777777" w:rsidTr="00684DEB">
        <w:trPr>
          <w:trHeight w:val="218"/>
        </w:trPr>
        <w:tc>
          <w:tcPr>
            <w:tcW w:w="657" w:type="pct"/>
            <w:tcBorders>
              <w:bottom w:val="single" w:sz="4" w:space="0" w:color="E9ECEF"/>
            </w:tcBorders>
            <w:noWrap/>
            <w:vAlign w:val="center"/>
            <w:hideMark/>
          </w:tcPr>
          <w:p w14:paraId="2A59720D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405" w:type="pct"/>
            <w:tcBorders>
              <w:bottom w:val="single" w:sz="4" w:space="0" w:color="E9ECEF"/>
            </w:tcBorders>
            <w:noWrap/>
            <w:vAlign w:val="center"/>
          </w:tcPr>
          <w:p w14:paraId="447928ED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358 596</w:t>
            </w:r>
          </w:p>
        </w:tc>
        <w:tc>
          <w:tcPr>
            <w:tcW w:w="477" w:type="pct"/>
            <w:tcBorders>
              <w:bottom w:val="single" w:sz="4" w:space="0" w:color="E9ECEF"/>
            </w:tcBorders>
            <w:vAlign w:val="bottom"/>
          </w:tcPr>
          <w:p w14:paraId="7723DB85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340 201</w:t>
            </w:r>
          </w:p>
        </w:tc>
        <w:tc>
          <w:tcPr>
            <w:tcW w:w="441" w:type="pct"/>
            <w:tcBorders>
              <w:bottom w:val="single" w:sz="4" w:space="0" w:color="E9ECEF"/>
            </w:tcBorders>
            <w:noWrap/>
            <w:vAlign w:val="bottom"/>
          </w:tcPr>
          <w:p w14:paraId="35A96BD6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354 137</w:t>
            </w:r>
          </w:p>
        </w:tc>
        <w:tc>
          <w:tcPr>
            <w:tcW w:w="446" w:type="pct"/>
            <w:tcBorders>
              <w:bottom w:val="single" w:sz="4" w:space="0" w:color="E9ECEF"/>
            </w:tcBorders>
            <w:noWrap/>
            <w:vAlign w:val="bottom"/>
          </w:tcPr>
          <w:p w14:paraId="3F9AC796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4,10</w:t>
            </w:r>
          </w:p>
        </w:tc>
        <w:tc>
          <w:tcPr>
            <w:tcW w:w="445" w:type="pct"/>
            <w:tcBorders>
              <w:bottom w:val="single" w:sz="4" w:space="0" w:color="E9ECEF"/>
            </w:tcBorders>
            <w:noWrap/>
            <w:vAlign w:val="bottom"/>
          </w:tcPr>
          <w:p w14:paraId="2FE78CFA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1 977</w:t>
            </w:r>
          </w:p>
        </w:tc>
        <w:tc>
          <w:tcPr>
            <w:tcW w:w="489" w:type="pct"/>
            <w:tcBorders>
              <w:bottom w:val="single" w:sz="4" w:space="0" w:color="E9ECEF"/>
            </w:tcBorders>
            <w:noWrap/>
            <w:vAlign w:val="bottom"/>
          </w:tcPr>
          <w:p w14:paraId="6118113C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1 813</w:t>
            </w:r>
          </w:p>
        </w:tc>
        <w:tc>
          <w:tcPr>
            <w:tcW w:w="447" w:type="pct"/>
            <w:tcBorders>
              <w:bottom w:val="single" w:sz="4" w:space="0" w:color="E9ECEF"/>
            </w:tcBorders>
            <w:vAlign w:val="bottom"/>
          </w:tcPr>
          <w:p w14:paraId="735A1066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1 502</w:t>
            </w:r>
          </w:p>
        </w:tc>
        <w:tc>
          <w:tcPr>
            <w:tcW w:w="464" w:type="pct"/>
            <w:tcBorders>
              <w:bottom w:val="single" w:sz="4" w:space="0" w:color="E9ECEF"/>
            </w:tcBorders>
            <w:noWrap/>
            <w:vAlign w:val="bottom"/>
          </w:tcPr>
          <w:p w14:paraId="6133FE95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-17,15</w:t>
            </w:r>
          </w:p>
        </w:tc>
        <w:tc>
          <w:tcPr>
            <w:tcW w:w="366" w:type="pct"/>
            <w:tcBorders>
              <w:bottom w:val="single" w:sz="4" w:space="0" w:color="E9ECEF"/>
            </w:tcBorders>
            <w:vAlign w:val="bottom"/>
          </w:tcPr>
          <w:p w14:paraId="22BA78C4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0,53</w:t>
            </w:r>
          </w:p>
        </w:tc>
        <w:tc>
          <w:tcPr>
            <w:tcW w:w="363" w:type="pct"/>
            <w:tcBorders>
              <w:bottom w:val="single" w:sz="4" w:space="0" w:color="E9ECEF"/>
            </w:tcBorders>
            <w:vAlign w:val="bottom"/>
          </w:tcPr>
          <w:p w14:paraId="66B7BA7D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0,42</w:t>
            </w:r>
          </w:p>
        </w:tc>
      </w:tr>
      <w:tr w:rsidR="00E162D1" w:rsidRPr="00E162D1" w14:paraId="07303C13" w14:textId="77777777" w:rsidTr="00684DEB">
        <w:trPr>
          <w:trHeight w:val="218"/>
        </w:trPr>
        <w:tc>
          <w:tcPr>
            <w:tcW w:w="657" w:type="pct"/>
            <w:shd w:val="clear" w:color="auto" w:fill="FBFBFB"/>
            <w:noWrap/>
            <w:vAlign w:val="center"/>
            <w:hideMark/>
          </w:tcPr>
          <w:p w14:paraId="36E74C6C" w14:textId="77777777" w:rsidR="00E162D1" w:rsidRPr="00E162D1" w:rsidRDefault="00E162D1" w:rsidP="00E162D1">
            <w:pPr>
              <w:spacing w:after="0" w:line="252" w:lineRule="auto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Celkem</w:t>
            </w:r>
          </w:p>
        </w:tc>
        <w:tc>
          <w:tcPr>
            <w:tcW w:w="405" w:type="pct"/>
            <w:shd w:val="clear" w:color="auto" w:fill="FBFBFB"/>
            <w:noWrap/>
            <w:vAlign w:val="center"/>
          </w:tcPr>
          <w:p w14:paraId="626B9BC8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1 668 516</w:t>
            </w:r>
          </w:p>
        </w:tc>
        <w:tc>
          <w:tcPr>
            <w:tcW w:w="477" w:type="pct"/>
            <w:shd w:val="clear" w:color="auto" w:fill="FBFBFB"/>
            <w:vAlign w:val="bottom"/>
          </w:tcPr>
          <w:p w14:paraId="55442B9C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1 716 200</w:t>
            </w:r>
          </w:p>
        </w:tc>
        <w:tc>
          <w:tcPr>
            <w:tcW w:w="441" w:type="pct"/>
            <w:shd w:val="clear" w:color="auto" w:fill="FBFBFB"/>
            <w:noWrap/>
            <w:vAlign w:val="bottom"/>
          </w:tcPr>
          <w:p w14:paraId="3349E55A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1 780 970</w:t>
            </w:r>
          </w:p>
        </w:tc>
        <w:tc>
          <w:tcPr>
            <w:tcW w:w="446" w:type="pct"/>
            <w:shd w:val="clear" w:color="auto" w:fill="FBFBFB"/>
            <w:noWrap/>
            <w:vAlign w:val="bottom"/>
          </w:tcPr>
          <w:p w14:paraId="34F073D4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3,77</w:t>
            </w:r>
          </w:p>
        </w:tc>
        <w:tc>
          <w:tcPr>
            <w:tcW w:w="445" w:type="pct"/>
            <w:shd w:val="clear" w:color="auto" w:fill="FBFBFB"/>
            <w:noWrap/>
            <w:vAlign w:val="bottom"/>
          </w:tcPr>
          <w:p w14:paraId="07986675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19 715</w:t>
            </w:r>
          </w:p>
        </w:tc>
        <w:tc>
          <w:tcPr>
            <w:tcW w:w="489" w:type="pct"/>
            <w:shd w:val="clear" w:color="auto" w:fill="FBFBFB"/>
            <w:noWrap/>
            <w:vAlign w:val="bottom"/>
          </w:tcPr>
          <w:p w14:paraId="7C9F5331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20 024</w:t>
            </w:r>
          </w:p>
        </w:tc>
        <w:tc>
          <w:tcPr>
            <w:tcW w:w="447" w:type="pct"/>
            <w:shd w:val="clear" w:color="auto" w:fill="FBFBFB"/>
            <w:vAlign w:val="bottom"/>
          </w:tcPr>
          <w:p w14:paraId="074783F4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19 605</w:t>
            </w:r>
          </w:p>
        </w:tc>
        <w:tc>
          <w:tcPr>
            <w:tcW w:w="464" w:type="pct"/>
            <w:shd w:val="clear" w:color="auto" w:fill="FBFBFB"/>
            <w:noWrap/>
            <w:vAlign w:val="bottom"/>
          </w:tcPr>
          <w:p w14:paraId="5D9DD293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-2,09</w:t>
            </w:r>
          </w:p>
        </w:tc>
        <w:tc>
          <w:tcPr>
            <w:tcW w:w="366" w:type="pct"/>
            <w:shd w:val="clear" w:color="auto" w:fill="FBFBFB"/>
            <w:vAlign w:val="bottom"/>
          </w:tcPr>
          <w:p w14:paraId="0AA42E51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1,17</w:t>
            </w:r>
          </w:p>
        </w:tc>
        <w:tc>
          <w:tcPr>
            <w:tcW w:w="363" w:type="pct"/>
            <w:shd w:val="clear" w:color="auto" w:fill="FBFBFB"/>
            <w:vAlign w:val="bottom"/>
          </w:tcPr>
          <w:p w14:paraId="579195E4" w14:textId="77777777" w:rsidR="00E162D1" w:rsidRPr="00E162D1" w:rsidRDefault="00E162D1" w:rsidP="00E162D1">
            <w:pPr>
              <w:spacing w:after="0" w:line="252" w:lineRule="auto"/>
              <w:jc w:val="right"/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</w:pPr>
            <w:r w:rsidRPr="00E162D1">
              <w:rPr>
                <w:rFonts w:ascii="Calibri" w:eastAsia="Arial" w:hAnsi="Calibri" w:cs="Calibri"/>
                <w:bCs/>
                <w:color w:val="111111"/>
                <w:sz w:val="16"/>
                <w:szCs w:val="16"/>
                <w:lang w:val="cs-CZ"/>
              </w:rPr>
              <w:t>1,10</w:t>
            </w:r>
          </w:p>
        </w:tc>
      </w:tr>
    </w:tbl>
    <w:p w14:paraId="607D5C1F" w14:textId="1148952F" w:rsidR="00E162D1" w:rsidRPr="00E162D1" w:rsidRDefault="00E162D1" w:rsidP="00E162D1">
      <w:pPr>
        <w:spacing w:before="40" w:after="160"/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</w:pPr>
      <w:r w:rsidRPr="00E162D1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Zdroj ČSÚ (údaje bez dopočtů), tabulka a</w:t>
      </w:r>
      <w:r w:rsidR="004C135E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 </w:t>
      </w:r>
      <w:r w:rsidRPr="00E162D1">
        <w:rPr>
          <w:rFonts w:ascii="Calibri" w:eastAsia="Arial" w:hAnsi="Calibri" w:cs="Calibri"/>
          <w:i/>
          <w:color w:val="666666"/>
          <w:sz w:val="16"/>
          <w:szCs w:val="16"/>
          <w:lang w:val="cs-CZ"/>
        </w:rPr>
        <w:t>výpočty MPO</w:t>
      </w:r>
    </w:p>
    <w:bookmarkEnd w:id="3"/>
    <w:bookmarkEnd w:id="4"/>
    <w:bookmarkEnd w:id="5"/>
    <w:p w14:paraId="68F71092" w14:textId="77777777" w:rsidR="00E162D1" w:rsidRPr="00AD6DCD" w:rsidRDefault="00E162D1" w:rsidP="00AD6DCD">
      <w:pPr>
        <w:rPr>
          <w:lang w:val="cs-CZ"/>
        </w:rPr>
      </w:pPr>
    </w:p>
    <w:sectPr w:rsidR="00E162D1" w:rsidRPr="00AD6DCD" w:rsidSect="00034616">
      <w:footerReference w:type="default" r:id="rId8"/>
      <w:pgSz w:w="11906" w:h="16838"/>
      <w:pgMar w:top="652" w:right="709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9D86" w14:textId="77777777" w:rsidR="009E5729" w:rsidRDefault="009E5729" w:rsidP="008068B0">
      <w:pPr>
        <w:spacing w:after="0" w:line="240" w:lineRule="auto"/>
      </w:pPr>
      <w:r>
        <w:separator/>
      </w:r>
    </w:p>
  </w:endnote>
  <w:endnote w:type="continuationSeparator" w:id="0">
    <w:p w14:paraId="4753E399" w14:textId="77777777" w:rsidR="009E5729" w:rsidRDefault="009E5729" w:rsidP="0080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9077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640B8E" w14:textId="5D14C745" w:rsidR="008068B0" w:rsidRDefault="008068B0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190F6" w14:textId="77777777" w:rsidR="008068B0" w:rsidRDefault="008068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1419" w14:textId="77777777" w:rsidR="009E5729" w:rsidRDefault="009E5729" w:rsidP="008068B0">
      <w:pPr>
        <w:spacing w:after="0" w:line="240" w:lineRule="auto"/>
      </w:pPr>
      <w:r>
        <w:separator/>
      </w:r>
    </w:p>
  </w:footnote>
  <w:footnote w:type="continuationSeparator" w:id="0">
    <w:p w14:paraId="5A4F0A06" w14:textId="77777777" w:rsidR="009E5729" w:rsidRDefault="009E5729" w:rsidP="00806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6B6C21"/>
    <w:multiLevelType w:val="hybridMultilevel"/>
    <w:tmpl w:val="D1CAE54C"/>
    <w:lvl w:ilvl="0" w:tplc="289C58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275A78"/>
    <w:multiLevelType w:val="hybridMultilevel"/>
    <w:tmpl w:val="10B40B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542257"/>
    <w:multiLevelType w:val="multilevel"/>
    <w:tmpl w:val="AD065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i w:val="0"/>
        <w:iCs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CB9"/>
    <w:rsid w:val="000A3B43"/>
    <w:rsid w:val="000B6D35"/>
    <w:rsid w:val="001323D9"/>
    <w:rsid w:val="0015074B"/>
    <w:rsid w:val="00155B95"/>
    <w:rsid w:val="00174C6F"/>
    <w:rsid w:val="0018142E"/>
    <w:rsid w:val="00206145"/>
    <w:rsid w:val="00217DE8"/>
    <w:rsid w:val="00243509"/>
    <w:rsid w:val="0029639D"/>
    <w:rsid w:val="00326F90"/>
    <w:rsid w:val="00334E2B"/>
    <w:rsid w:val="003D4399"/>
    <w:rsid w:val="003E46A0"/>
    <w:rsid w:val="004863E9"/>
    <w:rsid w:val="004C135E"/>
    <w:rsid w:val="005B2CB3"/>
    <w:rsid w:val="005D1454"/>
    <w:rsid w:val="005E24A4"/>
    <w:rsid w:val="00625236"/>
    <w:rsid w:val="00667CFE"/>
    <w:rsid w:val="0079711F"/>
    <w:rsid w:val="007F0737"/>
    <w:rsid w:val="008068B0"/>
    <w:rsid w:val="0081332B"/>
    <w:rsid w:val="00880DC5"/>
    <w:rsid w:val="008E0DE0"/>
    <w:rsid w:val="00922FF3"/>
    <w:rsid w:val="009378D3"/>
    <w:rsid w:val="009B6382"/>
    <w:rsid w:val="009E5729"/>
    <w:rsid w:val="00A07670"/>
    <w:rsid w:val="00AA1D8D"/>
    <w:rsid w:val="00AA2E31"/>
    <w:rsid w:val="00AD6DCD"/>
    <w:rsid w:val="00B30763"/>
    <w:rsid w:val="00B43EF0"/>
    <w:rsid w:val="00B47730"/>
    <w:rsid w:val="00B72CCE"/>
    <w:rsid w:val="00B77571"/>
    <w:rsid w:val="00BF41FF"/>
    <w:rsid w:val="00CB0664"/>
    <w:rsid w:val="00D26CC0"/>
    <w:rsid w:val="00DD3F8C"/>
    <w:rsid w:val="00E04234"/>
    <w:rsid w:val="00E162D1"/>
    <w:rsid w:val="00E3455E"/>
    <w:rsid w:val="00E822D2"/>
    <w:rsid w:val="00E92AFD"/>
    <w:rsid w:val="00E95337"/>
    <w:rsid w:val="00EA6F1A"/>
    <w:rsid w:val="00F17AB6"/>
    <w:rsid w:val="00F879BD"/>
    <w:rsid w:val="00FC693F"/>
    <w:rsid w:val="00FF01AF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F7CB5"/>
  <w14:defaultImageDpi w14:val="300"/>
  <w15:docId w15:val="{BF870FD7-D58F-4A47-8B5F-65F4D196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ptos" w:eastAsia="Aptos" w:hAnsi="Aptos"/>
      <w:color w:val="1D1D1F"/>
      <w:sz w:val="18"/>
    </w:rPr>
  </w:style>
  <w:style w:type="paragraph" w:styleId="Nadpis1">
    <w:name w:val="heading 1"/>
    <w:basedOn w:val="Normln"/>
    <w:next w:val="Normln"/>
    <w:link w:val="Nadpis1Char"/>
    <w:uiPriority w:val="7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link w:val="BezmezerChar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7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8068B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68B0"/>
    <w:pPr>
      <w:spacing w:after="0" w:line="240" w:lineRule="auto"/>
    </w:pPr>
    <w:rPr>
      <w:rFonts w:asciiTheme="minorHAnsi" w:eastAsiaTheme="minorHAnsi" w:hAnsiTheme="minorHAnsi"/>
      <w:color w:val="000000" w:themeColor="text1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68B0"/>
    <w:rPr>
      <w:rFonts w:eastAsiaTheme="minorHAnsi"/>
      <w:color w:val="000000" w:themeColor="text1"/>
      <w:sz w:val="20"/>
      <w:szCs w:val="20"/>
      <w:lang w:val="cs-CZ"/>
    </w:rPr>
  </w:style>
  <w:style w:type="table" w:customStyle="1" w:styleId="Mkatabulky1">
    <w:name w:val="Mřížka tabulky1"/>
    <w:basedOn w:val="Normlntabulka"/>
    <w:next w:val="Mkatabulky"/>
    <w:uiPriority w:val="59"/>
    <w:rsid w:val="00E162D1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378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78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78D3"/>
    <w:rPr>
      <w:rFonts w:ascii="Aptos" w:eastAsia="Aptos" w:hAnsi="Aptos"/>
      <w:color w:val="1D1D1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78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78D3"/>
    <w:rPr>
      <w:rFonts w:ascii="Aptos" w:eastAsia="Aptos" w:hAnsi="Aptos"/>
      <w:b/>
      <w:bCs/>
      <w:color w:val="1D1D1F"/>
      <w:sz w:val="20"/>
      <w:szCs w:val="20"/>
    </w:rPr>
  </w:style>
  <w:style w:type="paragraph" w:styleId="Revize">
    <w:name w:val="Revision"/>
    <w:hidden/>
    <w:uiPriority w:val="99"/>
    <w:semiHidden/>
    <w:rsid w:val="00DD3F8C"/>
    <w:pPr>
      <w:spacing w:after="0" w:line="240" w:lineRule="auto"/>
    </w:pPr>
    <w:rPr>
      <w:rFonts w:ascii="Aptos" w:eastAsia="Aptos" w:hAnsi="Aptos"/>
      <w:color w:val="1D1D1F"/>
      <w:sz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B77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2539</Words>
  <Characters>14985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Mička František</cp:lastModifiedBy>
  <cp:revision>7</cp:revision>
  <cp:lastPrinted>2026-06-01T16:10:00Z</cp:lastPrinted>
  <dcterms:created xsi:type="dcterms:W3CDTF">2026-06-11T05:39:00Z</dcterms:created>
  <dcterms:modified xsi:type="dcterms:W3CDTF">2026-06-11T06:29:00Z</dcterms:modified>
  <cp:category/>
</cp:coreProperties>
</file>