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86DC" w14:textId="77777777" w:rsidR="0002453B" w:rsidRPr="0002453B" w:rsidRDefault="007A1D94" w:rsidP="007B3947">
      <w:pPr>
        <w:spacing w:after="0"/>
        <w:rPr>
          <w:b/>
          <w:sz w:val="28"/>
          <w:szCs w:val="28"/>
        </w:rPr>
      </w:pPr>
      <w:r w:rsidRPr="0002453B">
        <w:rPr>
          <w:b/>
          <w:sz w:val="28"/>
          <w:szCs w:val="28"/>
        </w:rPr>
        <w:t xml:space="preserve">TISKOVÁ ZPRÁVA </w:t>
      </w:r>
    </w:p>
    <w:p w14:paraId="0BEBA9F3" w14:textId="5CD5083A" w:rsidR="00EE0F49" w:rsidRDefault="00A32E49" w:rsidP="00E57E0D">
      <w:pPr>
        <w:rPr>
          <w:rFonts w:ascii="Montserrat" w:hAnsi="Montserrat"/>
        </w:rPr>
      </w:pPr>
      <w:r>
        <w:rPr>
          <w:rFonts w:ascii="Montserrat" w:hAnsi="Montserrat"/>
        </w:rPr>
        <w:t>24</w:t>
      </w:r>
      <w:r w:rsidR="009771FF" w:rsidRPr="00E57E0D">
        <w:rPr>
          <w:rFonts w:ascii="Montserrat" w:hAnsi="Montserrat"/>
        </w:rPr>
        <w:t>.</w:t>
      </w:r>
      <w:r w:rsidR="00B0301A">
        <w:rPr>
          <w:rFonts w:ascii="Montserrat" w:hAnsi="Montserrat"/>
        </w:rPr>
        <w:t> </w:t>
      </w:r>
      <w:r w:rsidR="00BA69F6">
        <w:rPr>
          <w:rFonts w:ascii="Montserrat" w:hAnsi="Montserrat"/>
        </w:rPr>
        <w:t>červ</w:t>
      </w:r>
      <w:r w:rsidR="00FB1CFA">
        <w:rPr>
          <w:rFonts w:ascii="Montserrat" w:hAnsi="Montserrat"/>
        </w:rPr>
        <w:t>ence</w:t>
      </w:r>
      <w:r w:rsidR="00BA69F6">
        <w:rPr>
          <w:rFonts w:ascii="Montserrat" w:hAnsi="Montserrat"/>
        </w:rPr>
        <w:t> </w:t>
      </w:r>
      <w:r w:rsidR="009771FF" w:rsidRPr="00E57E0D">
        <w:rPr>
          <w:rFonts w:ascii="Montserrat" w:hAnsi="Montserrat"/>
        </w:rPr>
        <w:t>202</w:t>
      </w:r>
      <w:r w:rsidR="00AD63A0" w:rsidRPr="00E57E0D">
        <w:rPr>
          <w:rFonts w:ascii="Montserrat" w:hAnsi="Montserrat"/>
        </w:rPr>
        <w:t>6</w:t>
      </w:r>
    </w:p>
    <w:p w14:paraId="24AE8568" w14:textId="77777777" w:rsidR="007B3947" w:rsidRPr="00E57E0D" w:rsidRDefault="007B3947" w:rsidP="00E57E0D">
      <w:pPr>
        <w:rPr>
          <w:rFonts w:ascii="Montserrat" w:hAnsi="Montserrat"/>
        </w:rPr>
      </w:pPr>
    </w:p>
    <w:p w14:paraId="62FC778E" w14:textId="77777777" w:rsidR="00E57E0D" w:rsidRDefault="00E57E0D" w:rsidP="00B20F4F">
      <w:pPr>
        <w:spacing w:after="0"/>
        <w:jc w:val="both"/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</w:pPr>
    </w:p>
    <w:p w14:paraId="364BEF6F" w14:textId="6829C0CD" w:rsidR="00FB1CFA" w:rsidRPr="00FB1CFA" w:rsidRDefault="00E713AB" w:rsidP="00FB1CFA">
      <w:pPr>
        <w:spacing w:after="0"/>
        <w:jc w:val="both"/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</w:pPr>
      <w:r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>Do p</w:t>
      </w:r>
      <w:r w:rsidR="00FB1CFA" w:rsidRPr="00FB1CFA"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 xml:space="preserve">rogramu Národní záruka </w:t>
      </w:r>
      <w:r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>je zapojeno</w:t>
      </w:r>
      <w:r w:rsidR="00FB1CFA" w:rsidRPr="00FB1CFA"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 xml:space="preserve"> </w:t>
      </w:r>
      <w:r w:rsidR="001520E9"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>10</w:t>
      </w:r>
      <w:r w:rsidR="00FB1CFA" w:rsidRPr="00FB1CFA"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 xml:space="preserve"> finančních </w:t>
      </w:r>
      <w:r w:rsidR="001520E9">
        <w:rPr>
          <w:rFonts w:ascii="Montserrat" w:eastAsia="Montserrat" w:hAnsi="Montserrat" w:cs="Montserrat"/>
          <w:b/>
          <w:bCs/>
          <w:color w:val="00358E"/>
          <w:sz w:val="28"/>
          <w:szCs w:val="28"/>
          <w:lang w:eastAsia="cs-CZ"/>
        </w:rPr>
        <w:t>partnerů</w:t>
      </w:r>
    </w:p>
    <w:p w14:paraId="30628270" w14:textId="77777777" w:rsidR="009C3328" w:rsidRPr="00FB1CFA" w:rsidRDefault="009C3328" w:rsidP="00BF69E1">
      <w:pPr>
        <w:jc w:val="both"/>
        <w:rPr>
          <w:rFonts w:ascii="Montserrat" w:hAnsi="Montserrat"/>
        </w:rPr>
      </w:pPr>
    </w:p>
    <w:p w14:paraId="41EEB359" w14:textId="65FAA8B5" w:rsidR="00FB1CFA" w:rsidRPr="00994821" w:rsidRDefault="00FB1CFA" w:rsidP="00994821">
      <w:pPr>
        <w:spacing w:line="276" w:lineRule="auto"/>
        <w:jc w:val="both"/>
        <w:rPr>
          <w:rFonts w:ascii="Montserrat" w:hAnsi="Montserrat"/>
          <w:b/>
          <w:bCs/>
        </w:rPr>
      </w:pPr>
      <w:r w:rsidRPr="00994821">
        <w:rPr>
          <w:rFonts w:ascii="Montserrat" w:hAnsi="Montserrat"/>
          <w:b/>
          <w:bCs/>
        </w:rPr>
        <w:t>Národní záruka</w:t>
      </w:r>
      <w:r w:rsidR="007504A5" w:rsidRPr="00994821">
        <w:rPr>
          <w:rFonts w:ascii="Montserrat" w:hAnsi="Montserrat"/>
          <w:b/>
          <w:bCs/>
        </w:rPr>
        <w:t xml:space="preserve">, </w:t>
      </w:r>
      <w:r w:rsidR="00235B96" w:rsidRPr="00994821">
        <w:rPr>
          <w:rFonts w:ascii="Montserrat" w:hAnsi="Montserrat"/>
          <w:b/>
          <w:bCs/>
        </w:rPr>
        <w:t>p</w:t>
      </w:r>
      <w:r w:rsidR="000C0D65" w:rsidRPr="00994821">
        <w:rPr>
          <w:rFonts w:ascii="Montserrat" w:hAnsi="Montserrat"/>
          <w:b/>
          <w:bCs/>
        </w:rPr>
        <w:t xml:space="preserve">rogram Ministerstva průmyslu </w:t>
      </w:r>
      <w:r w:rsidR="00235B96" w:rsidRPr="00994821">
        <w:rPr>
          <w:rFonts w:ascii="Montserrat" w:hAnsi="Montserrat"/>
          <w:b/>
          <w:bCs/>
        </w:rPr>
        <w:t>a obchodu</w:t>
      </w:r>
      <w:r w:rsidR="000C0D65" w:rsidRPr="00994821">
        <w:rPr>
          <w:rFonts w:ascii="Montserrat" w:hAnsi="Montserrat"/>
          <w:b/>
          <w:bCs/>
        </w:rPr>
        <w:t xml:space="preserve"> realizovan</w:t>
      </w:r>
      <w:r w:rsidR="007504A5" w:rsidRPr="00994821">
        <w:rPr>
          <w:rFonts w:ascii="Montserrat" w:hAnsi="Montserrat"/>
          <w:b/>
          <w:bCs/>
        </w:rPr>
        <w:t>ý</w:t>
      </w:r>
      <w:r w:rsidR="000C0D65" w:rsidRPr="00994821">
        <w:rPr>
          <w:rFonts w:ascii="Montserrat" w:hAnsi="Montserrat"/>
          <w:b/>
          <w:bCs/>
        </w:rPr>
        <w:t xml:space="preserve"> </w:t>
      </w:r>
      <w:r w:rsidRPr="00994821">
        <w:rPr>
          <w:rFonts w:ascii="Montserrat" w:hAnsi="Montserrat"/>
          <w:b/>
          <w:bCs/>
        </w:rPr>
        <w:t>Národní rozvojov</w:t>
      </w:r>
      <w:r w:rsidR="000C0D65" w:rsidRPr="00994821">
        <w:rPr>
          <w:rFonts w:ascii="Montserrat" w:hAnsi="Montserrat"/>
          <w:b/>
          <w:bCs/>
        </w:rPr>
        <w:t xml:space="preserve">ou </w:t>
      </w:r>
      <w:r w:rsidRPr="00994821">
        <w:rPr>
          <w:rFonts w:ascii="Montserrat" w:hAnsi="Montserrat"/>
          <w:b/>
          <w:bCs/>
        </w:rPr>
        <w:t>bank</w:t>
      </w:r>
      <w:r w:rsidR="000C0D65" w:rsidRPr="00994821">
        <w:rPr>
          <w:rFonts w:ascii="Montserrat" w:hAnsi="Montserrat"/>
          <w:b/>
          <w:bCs/>
        </w:rPr>
        <w:t>ou</w:t>
      </w:r>
      <w:r w:rsidR="007504A5" w:rsidRPr="00994821">
        <w:rPr>
          <w:rFonts w:ascii="Montserrat" w:hAnsi="Montserrat"/>
          <w:b/>
          <w:bCs/>
        </w:rPr>
        <w:t>,</w:t>
      </w:r>
      <w:r w:rsidRPr="00994821">
        <w:rPr>
          <w:rFonts w:ascii="Montserrat" w:hAnsi="Montserrat"/>
          <w:b/>
          <w:bCs/>
        </w:rPr>
        <w:t xml:space="preserve"> potvrzuje svou pozici jednoho z klíčových </w:t>
      </w:r>
      <w:r w:rsidR="00E713AB" w:rsidRPr="00994821">
        <w:rPr>
          <w:rFonts w:ascii="Montserrat" w:hAnsi="Montserrat"/>
          <w:b/>
          <w:bCs/>
        </w:rPr>
        <w:t xml:space="preserve">současných </w:t>
      </w:r>
      <w:r w:rsidRPr="00994821">
        <w:rPr>
          <w:rFonts w:ascii="Montserrat" w:hAnsi="Montserrat"/>
          <w:b/>
          <w:bCs/>
        </w:rPr>
        <w:t>nástrojů podpory financování malých a</w:t>
      </w:r>
      <w:r w:rsidR="00235B96" w:rsidRPr="00994821">
        <w:rPr>
          <w:rFonts w:ascii="Montserrat" w:hAnsi="Montserrat"/>
          <w:b/>
          <w:bCs/>
        </w:rPr>
        <w:t> </w:t>
      </w:r>
      <w:r w:rsidRPr="00994821">
        <w:rPr>
          <w:rFonts w:ascii="Montserrat" w:hAnsi="Montserrat"/>
          <w:b/>
          <w:bCs/>
        </w:rPr>
        <w:t xml:space="preserve">středních podniků v České republice. Do programu je nyní zapojeno </w:t>
      </w:r>
      <w:r w:rsidR="00EB2CEF" w:rsidRPr="00994821">
        <w:rPr>
          <w:rFonts w:ascii="Montserrat" w:hAnsi="Montserrat"/>
          <w:b/>
          <w:bCs/>
        </w:rPr>
        <w:t>10 </w:t>
      </w:r>
      <w:r w:rsidRPr="00994821">
        <w:rPr>
          <w:rFonts w:ascii="Montserrat" w:hAnsi="Montserrat"/>
          <w:b/>
          <w:bCs/>
        </w:rPr>
        <w:t xml:space="preserve">finančních </w:t>
      </w:r>
      <w:r w:rsidR="001520E9" w:rsidRPr="00994821">
        <w:rPr>
          <w:rFonts w:ascii="Montserrat" w:hAnsi="Montserrat"/>
          <w:b/>
          <w:bCs/>
        </w:rPr>
        <w:t>institucí</w:t>
      </w:r>
      <w:r w:rsidR="007D1EE8" w:rsidRPr="00994821">
        <w:rPr>
          <w:rFonts w:ascii="Montserrat" w:hAnsi="Montserrat"/>
          <w:b/>
          <w:bCs/>
        </w:rPr>
        <w:t xml:space="preserve"> –</w:t>
      </w:r>
      <w:r w:rsidR="00E713AB" w:rsidRPr="00994821">
        <w:rPr>
          <w:rFonts w:ascii="Montserrat" w:hAnsi="Montserrat"/>
          <w:b/>
          <w:bCs/>
        </w:rPr>
        <w:t xml:space="preserve"> </w:t>
      </w:r>
      <w:r w:rsidR="004A2757" w:rsidRPr="00994821">
        <w:rPr>
          <w:rFonts w:ascii="Montserrat" w:hAnsi="Montserrat"/>
          <w:b/>
          <w:bCs/>
        </w:rPr>
        <w:t xml:space="preserve">ČSOB, Komerční banka, </w:t>
      </w:r>
      <w:r w:rsidRPr="00994821">
        <w:rPr>
          <w:rFonts w:ascii="Montserrat" w:hAnsi="Montserrat"/>
          <w:b/>
          <w:bCs/>
        </w:rPr>
        <w:t>Česká spořitelna,</w:t>
      </w:r>
      <w:r w:rsidR="004A2757" w:rsidRPr="00994821">
        <w:rPr>
          <w:rFonts w:ascii="Montserrat" w:hAnsi="Montserrat"/>
          <w:b/>
          <w:bCs/>
        </w:rPr>
        <w:t xml:space="preserve"> MONETA Money Bank, Raiffeisenbank, UniCredit Bank, </w:t>
      </w:r>
      <w:r w:rsidR="007D1EE8" w:rsidRPr="00994821">
        <w:rPr>
          <w:rFonts w:ascii="Montserrat" w:hAnsi="Montserrat"/>
          <w:b/>
          <w:bCs/>
        </w:rPr>
        <w:t>ČSOB Leasing,</w:t>
      </w:r>
      <w:r w:rsidR="004A2757" w:rsidRPr="00994821">
        <w:rPr>
          <w:rFonts w:ascii="Montserrat" w:hAnsi="Montserrat"/>
          <w:b/>
          <w:bCs/>
        </w:rPr>
        <w:t xml:space="preserve"> Raiffeisen Leasing, </w:t>
      </w:r>
      <w:r w:rsidR="007D1EE8" w:rsidRPr="00994821">
        <w:rPr>
          <w:rFonts w:ascii="Montserrat" w:hAnsi="Montserrat"/>
          <w:b/>
          <w:bCs/>
        </w:rPr>
        <w:t>Oberbank – pobočka Č</w:t>
      </w:r>
      <w:r w:rsidR="004A2757" w:rsidRPr="00994821">
        <w:rPr>
          <w:rFonts w:ascii="Montserrat" w:hAnsi="Montserrat"/>
          <w:b/>
          <w:bCs/>
        </w:rPr>
        <w:t xml:space="preserve">R </w:t>
      </w:r>
      <w:r w:rsidRPr="00994821">
        <w:rPr>
          <w:rFonts w:ascii="Montserrat" w:hAnsi="Montserrat"/>
          <w:b/>
          <w:bCs/>
        </w:rPr>
        <w:t>a Volksbank</w:t>
      </w:r>
      <w:r w:rsidR="007D1EE8" w:rsidRPr="00994821">
        <w:rPr>
          <w:rFonts w:ascii="Montserrat" w:hAnsi="Montserrat"/>
          <w:b/>
          <w:bCs/>
        </w:rPr>
        <w:t xml:space="preserve"> Raiffeisenbank Nordoberpfalz</w:t>
      </w:r>
      <w:r w:rsidRPr="00994821">
        <w:rPr>
          <w:rFonts w:ascii="Montserrat" w:hAnsi="Montserrat"/>
          <w:b/>
          <w:bCs/>
        </w:rPr>
        <w:t>.</w:t>
      </w:r>
    </w:p>
    <w:p w14:paraId="628D70D3" w14:textId="1D193F9D" w:rsidR="00AA7310" w:rsidRPr="00994821" w:rsidRDefault="00FA550B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</w:rPr>
        <w:t xml:space="preserve">Program </w:t>
      </w:r>
      <w:r w:rsidR="002A2764" w:rsidRPr="00994821">
        <w:rPr>
          <w:rFonts w:ascii="Montserrat" w:hAnsi="Montserrat"/>
        </w:rPr>
        <w:t xml:space="preserve">financovaný z národních zdrojů Ministerstva průmyslu a obchodu </w:t>
      </w:r>
      <w:r w:rsidRPr="00994821">
        <w:rPr>
          <w:rFonts w:ascii="Montserrat" w:hAnsi="Montserrat"/>
        </w:rPr>
        <w:t xml:space="preserve">byl spuštěný na sklonku loňského roku s alokací 578 mil. Kč a částka určená na podporu </w:t>
      </w:r>
      <w:r w:rsidR="008A1E54" w:rsidRPr="00994821">
        <w:rPr>
          <w:rFonts w:ascii="Montserrat" w:hAnsi="Montserrat"/>
        </w:rPr>
        <w:t>podnikání</w:t>
      </w:r>
      <w:r w:rsidRPr="00994821">
        <w:rPr>
          <w:rFonts w:ascii="Montserrat" w:hAnsi="Montserrat"/>
        </w:rPr>
        <w:t xml:space="preserve"> českých firem </w:t>
      </w:r>
      <w:r w:rsidR="003B3C41" w:rsidRPr="00994821">
        <w:rPr>
          <w:rFonts w:ascii="Montserrat" w:hAnsi="Montserrat"/>
        </w:rPr>
        <w:t xml:space="preserve">již </w:t>
      </w:r>
      <w:r w:rsidRPr="00994821">
        <w:rPr>
          <w:rFonts w:ascii="Montserrat" w:hAnsi="Montserrat"/>
        </w:rPr>
        <w:t xml:space="preserve">byla ze strany </w:t>
      </w:r>
      <w:r w:rsidR="003B3C41" w:rsidRPr="00994821">
        <w:rPr>
          <w:rFonts w:ascii="Montserrat" w:hAnsi="Montserrat"/>
        </w:rPr>
        <w:t xml:space="preserve">zadavatelského </w:t>
      </w:r>
      <w:r w:rsidR="002A2764" w:rsidRPr="00994821">
        <w:rPr>
          <w:rFonts w:ascii="Montserrat" w:hAnsi="Montserrat"/>
        </w:rPr>
        <w:t>m</w:t>
      </w:r>
      <w:r w:rsidR="003B3C41" w:rsidRPr="00994821">
        <w:rPr>
          <w:rFonts w:ascii="Montserrat" w:hAnsi="Montserrat"/>
        </w:rPr>
        <w:t xml:space="preserve">inisterstva </w:t>
      </w:r>
      <w:r w:rsidRPr="00994821">
        <w:rPr>
          <w:rFonts w:ascii="Montserrat" w:hAnsi="Montserrat"/>
        </w:rPr>
        <w:t xml:space="preserve">ztrojnásobena. </w:t>
      </w:r>
      <w:r w:rsidR="000C0D65" w:rsidRPr="00994821">
        <w:rPr>
          <w:rFonts w:ascii="Montserrat" w:hAnsi="Montserrat"/>
        </w:rPr>
        <w:t xml:space="preserve">Na podzim tento program plynule nahradí nový záruční program NRB Garant Invest EU, ve kterém bude sjednání záruky jednodušší – podnikatel bude komunikovat už pouze se svou úvěrující bankou a ta mu bude administrovat i záruku k úvěru. Alokace </w:t>
      </w:r>
      <w:r w:rsidR="00AA7310" w:rsidRPr="00994821">
        <w:rPr>
          <w:rFonts w:ascii="Montserrat" w:hAnsi="Montserrat"/>
        </w:rPr>
        <w:t xml:space="preserve">MPO vyčleněná na tento </w:t>
      </w:r>
      <w:r w:rsidR="00235B96" w:rsidRPr="00994821">
        <w:rPr>
          <w:rFonts w:ascii="Montserrat" w:hAnsi="Montserrat"/>
        </w:rPr>
        <w:t xml:space="preserve">nový </w:t>
      </w:r>
      <w:r w:rsidR="00AA7310" w:rsidRPr="00994821">
        <w:rPr>
          <w:rFonts w:ascii="Montserrat" w:hAnsi="Montserrat"/>
        </w:rPr>
        <w:t xml:space="preserve">produkt </w:t>
      </w:r>
      <w:r w:rsidR="000C0D65" w:rsidRPr="00994821">
        <w:rPr>
          <w:rFonts w:ascii="Montserrat" w:hAnsi="Montserrat"/>
        </w:rPr>
        <w:t>je plánovaná ve výši 2 mld. Kč</w:t>
      </w:r>
      <w:r w:rsidR="00235B96" w:rsidRPr="00994821">
        <w:rPr>
          <w:rFonts w:ascii="Montserrat" w:hAnsi="Montserrat"/>
        </w:rPr>
        <w:t>,</w:t>
      </w:r>
      <w:r w:rsidR="000C0D65" w:rsidRPr="00994821">
        <w:rPr>
          <w:rFonts w:ascii="Montserrat" w:hAnsi="Montserrat"/>
        </w:rPr>
        <w:t xml:space="preserve"> takže o budoucnost záruk se po</w:t>
      </w:r>
      <w:r w:rsidR="00AA7310" w:rsidRPr="00994821">
        <w:rPr>
          <w:rFonts w:ascii="Montserrat" w:hAnsi="Montserrat"/>
        </w:rPr>
        <w:t>dnikatelé rozhodně nemusí obávat.</w:t>
      </w:r>
    </w:p>
    <w:p w14:paraId="683D6054" w14:textId="63D606CC" w:rsidR="00C173A6" w:rsidRPr="00994821" w:rsidRDefault="00C173A6" w:rsidP="00994821">
      <w:pPr>
        <w:spacing w:line="276" w:lineRule="auto"/>
        <w:jc w:val="both"/>
        <w:rPr>
          <w:rFonts w:ascii="Montserrat" w:hAnsi="Montserrat"/>
          <w:b/>
          <w:bCs/>
        </w:rPr>
      </w:pPr>
      <w:r w:rsidRPr="00994821">
        <w:rPr>
          <w:rFonts w:ascii="Montserrat" w:hAnsi="Montserrat"/>
          <w:i/>
          <w:iCs/>
        </w:rPr>
        <w:t>„Malé a střední podniky tvoří páteř české ekonomiky. Národní záruka představuje moderní formu státní pomoci – je flexibilní, efektivní a staví na úzké spolupráci se soukromými bankami. Navyšování finančních prostředků je jasným signálem, že stojíme za českými firmami a vytváříme jim stabilní prostředí pro jejich růst</w:t>
      </w:r>
      <w:r w:rsidRPr="00994821">
        <w:rPr>
          <w:rFonts w:ascii="Montserrat" w:hAnsi="Montserrat"/>
          <w:i/>
          <w:iCs/>
        </w:rPr>
        <w:t>,</w:t>
      </w:r>
      <w:r w:rsidRPr="00994821">
        <w:rPr>
          <w:rFonts w:ascii="Montserrat" w:hAnsi="Montserrat"/>
          <w:i/>
          <w:iCs/>
        </w:rPr>
        <w:t>”</w:t>
      </w:r>
      <w:r w:rsidRPr="00994821">
        <w:rPr>
          <w:rFonts w:ascii="Montserrat" w:hAnsi="Montserrat"/>
        </w:rPr>
        <w:t xml:space="preserve"> uvedl </w:t>
      </w:r>
      <w:r w:rsidRPr="00994821">
        <w:rPr>
          <w:rFonts w:ascii="Montserrat" w:hAnsi="Montserrat"/>
          <w:b/>
          <w:bCs/>
        </w:rPr>
        <w:t xml:space="preserve">první místopředseda vlády a ministr průmyslu a obchodu Karel Havlíček. </w:t>
      </w:r>
    </w:p>
    <w:p w14:paraId="50980967" w14:textId="77777777" w:rsidR="00C173A6" w:rsidRPr="00994821" w:rsidRDefault="00A25E79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</w:rPr>
        <w:t>U stávající Národní záruky v</w:t>
      </w:r>
      <w:r w:rsidR="00835B2A" w:rsidRPr="00994821">
        <w:rPr>
          <w:rFonts w:ascii="Montserrat" w:hAnsi="Montserrat"/>
        </w:rPr>
        <w:t xml:space="preserve"> praxi podnikatel nebo firma </w:t>
      </w:r>
      <w:r w:rsidRPr="00994821">
        <w:rPr>
          <w:rFonts w:ascii="Montserrat" w:hAnsi="Montserrat"/>
        </w:rPr>
        <w:t xml:space="preserve">nejdříve </w:t>
      </w:r>
      <w:r w:rsidR="00835B2A" w:rsidRPr="00994821">
        <w:rPr>
          <w:rFonts w:ascii="Montserrat" w:hAnsi="Montserrat"/>
        </w:rPr>
        <w:t xml:space="preserve">jedná se svojí financující bankou o podmínkách úvěru a poté, pokud potřebuje dodatečné zajištění, žádá NRB o záruku. </w:t>
      </w:r>
      <w:r w:rsidR="007504A5" w:rsidRPr="00994821">
        <w:rPr>
          <w:rFonts w:ascii="Montserrat" w:hAnsi="Montserrat"/>
        </w:rPr>
        <w:t>Z</w:t>
      </w:r>
      <w:r w:rsidR="00FA550B" w:rsidRPr="00994821">
        <w:rPr>
          <w:rFonts w:ascii="Montserrat" w:hAnsi="Montserrat"/>
        </w:rPr>
        <w:t xml:space="preserve">apojením 10 významných finančních </w:t>
      </w:r>
      <w:r w:rsidR="001520E9" w:rsidRPr="00994821">
        <w:rPr>
          <w:rFonts w:ascii="Montserrat" w:hAnsi="Montserrat"/>
        </w:rPr>
        <w:t>partnerů</w:t>
      </w:r>
      <w:r w:rsidR="00FA550B" w:rsidRPr="00994821">
        <w:rPr>
          <w:rFonts w:ascii="Montserrat" w:hAnsi="Montserrat"/>
        </w:rPr>
        <w:t xml:space="preserve"> je </w:t>
      </w:r>
      <w:r w:rsidR="00E1260E" w:rsidRPr="00994821">
        <w:rPr>
          <w:rFonts w:ascii="Montserrat" w:hAnsi="Montserrat"/>
        </w:rPr>
        <w:t>Národní záruka</w:t>
      </w:r>
      <w:r w:rsidR="00FA550B" w:rsidRPr="00994821">
        <w:rPr>
          <w:rFonts w:ascii="Montserrat" w:hAnsi="Montserrat"/>
        </w:rPr>
        <w:t xml:space="preserve"> dostupn</w:t>
      </w:r>
      <w:r w:rsidR="00E1260E" w:rsidRPr="00994821">
        <w:rPr>
          <w:rFonts w:ascii="Montserrat" w:hAnsi="Montserrat"/>
        </w:rPr>
        <w:t>á</w:t>
      </w:r>
      <w:r w:rsidR="00FA550B" w:rsidRPr="00994821">
        <w:rPr>
          <w:rFonts w:ascii="Montserrat" w:hAnsi="Montserrat"/>
        </w:rPr>
        <w:t xml:space="preserve"> co nejširšímu okruhu podnikatelů napříč Českou republikou</w:t>
      </w:r>
      <w:r w:rsidR="008A7A4E" w:rsidRPr="00994821">
        <w:rPr>
          <w:rFonts w:ascii="Montserrat" w:hAnsi="Montserrat"/>
        </w:rPr>
        <w:t>.</w:t>
      </w:r>
    </w:p>
    <w:p w14:paraId="6F0389E4" w14:textId="3BF92844" w:rsidR="003B3C41" w:rsidRPr="00994821" w:rsidRDefault="00F92467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  <w:i/>
          <w:iCs/>
        </w:rPr>
        <w:t>„Obchodní úspěch Národní záruky financované ze zdrojů Ministerstva průmyslu a obchodu potvrzuje, že záruky představují účinný nástroj pro zlepšení přístupu malých a středních firem k financování</w:t>
      </w:r>
      <w:r w:rsidRPr="00994821">
        <w:rPr>
          <w:rFonts w:ascii="Montserrat" w:hAnsi="Montserrat"/>
          <w:i/>
          <w:iCs/>
          <w:color w:val="2E74B5" w:themeColor="accent1" w:themeShade="BF"/>
        </w:rPr>
        <w:t xml:space="preserve">. </w:t>
      </w:r>
      <w:r w:rsidRPr="00994821">
        <w:rPr>
          <w:rFonts w:ascii="Montserrat" w:hAnsi="Montserrat"/>
          <w:i/>
          <w:iCs/>
        </w:rPr>
        <w:t>Záruky jsou jedním z</w:t>
      </w:r>
      <w:r w:rsidR="00AA7310" w:rsidRPr="00994821">
        <w:rPr>
          <w:rFonts w:ascii="Montserrat" w:hAnsi="Montserrat"/>
          <w:i/>
          <w:iCs/>
        </w:rPr>
        <w:t xml:space="preserve"> klíčových </w:t>
      </w:r>
      <w:r w:rsidRPr="00994821">
        <w:rPr>
          <w:rFonts w:ascii="Montserrat" w:hAnsi="Montserrat"/>
          <w:i/>
          <w:iCs/>
        </w:rPr>
        <w:t xml:space="preserve">finančních nástrojů, který prostřednictvím Národní rozvojové banky dokáže z každé koruny vložených veřejných zdrojů mobilizovat násobně vyšší objem soukromého financování. Dosažené obchodní výsledky také dokazují, že roční kapacita trhu záruk dosahuje minimálně 25 mld Kč. Jde o významný potenciál, který českým firmám umožňuje nejen realizovat investice, ale také překonávat období zvýšené nejistoty a podporovat tak dlouhodobou konkurenceschopnost a odolnost české </w:t>
      </w:r>
      <w:r w:rsidRPr="00994821">
        <w:rPr>
          <w:rFonts w:ascii="Montserrat" w:hAnsi="Montserrat"/>
          <w:i/>
          <w:iCs/>
        </w:rPr>
        <w:lastRenderedPageBreak/>
        <w:t>ekonomiky</w:t>
      </w:r>
      <w:r w:rsidR="003B3C41" w:rsidRPr="00994821">
        <w:rPr>
          <w:rFonts w:ascii="Montserrat" w:hAnsi="Montserrat"/>
          <w:i/>
          <w:iCs/>
        </w:rPr>
        <w:t>,“</w:t>
      </w:r>
      <w:r w:rsidR="003B3C41" w:rsidRPr="00994821">
        <w:rPr>
          <w:rFonts w:ascii="Montserrat" w:hAnsi="Montserrat"/>
        </w:rPr>
        <w:t xml:space="preserve"> </w:t>
      </w:r>
      <w:r w:rsidR="001A4D47" w:rsidRPr="00994821">
        <w:rPr>
          <w:rFonts w:ascii="Montserrat" w:hAnsi="Montserrat"/>
        </w:rPr>
        <w:t>doplňuje</w:t>
      </w:r>
      <w:r w:rsidR="001A4D47" w:rsidRPr="00994821">
        <w:rPr>
          <w:rFonts w:ascii="Montserrat" w:hAnsi="Montserrat"/>
        </w:rPr>
        <w:t xml:space="preserve"> </w:t>
      </w:r>
      <w:r w:rsidR="003B3C41" w:rsidRPr="00994821">
        <w:rPr>
          <w:rFonts w:ascii="Montserrat" w:hAnsi="Montserrat"/>
          <w:b/>
          <w:bCs/>
        </w:rPr>
        <w:t>předseda představenstva Národní rozvojové banky Tomáš Nidetzký</w:t>
      </w:r>
      <w:r w:rsidR="003B3C41" w:rsidRPr="00994821">
        <w:rPr>
          <w:rFonts w:ascii="Montserrat" w:hAnsi="Montserrat"/>
        </w:rPr>
        <w:t>.</w:t>
      </w:r>
    </w:p>
    <w:p w14:paraId="7EE73A9B" w14:textId="2FB8E081" w:rsidR="00650D8D" w:rsidRPr="00994821" w:rsidRDefault="00F92467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</w:rPr>
        <w:t>Každá poskytnutá záruka představuje konkrétní firmu, kter</w:t>
      </w:r>
      <w:r w:rsidR="00235B96" w:rsidRPr="00994821">
        <w:rPr>
          <w:rFonts w:ascii="Montserrat" w:hAnsi="Montserrat"/>
        </w:rPr>
        <w:t>é NRB</w:t>
      </w:r>
      <w:r w:rsidRPr="00994821">
        <w:rPr>
          <w:rFonts w:ascii="Montserrat" w:hAnsi="Montserrat"/>
        </w:rPr>
        <w:t xml:space="preserve"> </w:t>
      </w:r>
      <w:r w:rsidR="00107F78" w:rsidRPr="00994821">
        <w:rPr>
          <w:rFonts w:ascii="Montserrat" w:hAnsi="Montserrat"/>
        </w:rPr>
        <w:t xml:space="preserve">pomohla získat úvěr na </w:t>
      </w:r>
      <w:r w:rsidRPr="00994821">
        <w:rPr>
          <w:rFonts w:ascii="Montserrat" w:hAnsi="Montserrat"/>
        </w:rPr>
        <w:t>invest</w:t>
      </w:r>
      <w:r w:rsidR="00107F78" w:rsidRPr="00994821">
        <w:rPr>
          <w:rFonts w:ascii="Montserrat" w:hAnsi="Montserrat"/>
        </w:rPr>
        <w:t>ici</w:t>
      </w:r>
      <w:r w:rsidRPr="00994821">
        <w:rPr>
          <w:rFonts w:ascii="Montserrat" w:hAnsi="Montserrat"/>
        </w:rPr>
        <w:t xml:space="preserve"> do svého rozvoje nebo financovat provoz. </w:t>
      </w:r>
      <w:r w:rsidR="00E713AB" w:rsidRPr="00994821">
        <w:rPr>
          <w:rFonts w:ascii="Montserrat" w:hAnsi="Montserrat"/>
        </w:rPr>
        <w:t xml:space="preserve">Za sedm měsíců využilo </w:t>
      </w:r>
      <w:r w:rsidR="00D10169" w:rsidRPr="00994821">
        <w:rPr>
          <w:rFonts w:ascii="Montserrat" w:hAnsi="Montserrat"/>
        </w:rPr>
        <w:t>Národní záruku</w:t>
      </w:r>
      <w:r w:rsidR="00E713AB" w:rsidRPr="00994821">
        <w:rPr>
          <w:rFonts w:ascii="Montserrat" w:hAnsi="Montserrat"/>
        </w:rPr>
        <w:t xml:space="preserve"> </w:t>
      </w:r>
      <w:r w:rsidR="00862F8C" w:rsidRPr="00994821">
        <w:rPr>
          <w:rFonts w:ascii="Montserrat" w:hAnsi="Montserrat"/>
        </w:rPr>
        <w:t>přes 1100</w:t>
      </w:r>
      <w:r w:rsidR="00D10169" w:rsidRPr="00994821">
        <w:rPr>
          <w:rFonts w:ascii="Montserrat" w:hAnsi="Montserrat"/>
        </w:rPr>
        <w:t xml:space="preserve"> </w:t>
      </w:r>
      <w:r w:rsidR="005F7BD2" w:rsidRPr="00994821">
        <w:rPr>
          <w:rFonts w:ascii="Montserrat" w:hAnsi="Montserrat"/>
        </w:rPr>
        <w:t>firem</w:t>
      </w:r>
      <w:r w:rsidR="00062B8D" w:rsidRPr="00994821">
        <w:rPr>
          <w:rFonts w:ascii="Montserrat" w:hAnsi="Montserrat"/>
        </w:rPr>
        <w:t xml:space="preserve">. Těm </w:t>
      </w:r>
      <w:r w:rsidR="00D10169" w:rsidRPr="00994821">
        <w:rPr>
          <w:rFonts w:ascii="Montserrat" w:hAnsi="Montserrat"/>
        </w:rPr>
        <w:t xml:space="preserve">NRB vydala záruky </w:t>
      </w:r>
      <w:r w:rsidR="00E713AB" w:rsidRPr="00994821">
        <w:rPr>
          <w:rFonts w:ascii="Montserrat" w:hAnsi="Montserrat"/>
        </w:rPr>
        <w:t xml:space="preserve">v celkové hodnotě </w:t>
      </w:r>
      <w:r w:rsidR="00862F8C" w:rsidRPr="00994821">
        <w:rPr>
          <w:rFonts w:ascii="Montserrat" w:hAnsi="Montserrat"/>
        </w:rPr>
        <w:t>7,6</w:t>
      </w:r>
      <w:r w:rsidR="00B559C6">
        <w:rPr>
          <w:rFonts w:ascii="Montserrat" w:hAnsi="Montserrat"/>
        </w:rPr>
        <w:t> </w:t>
      </w:r>
      <w:r w:rsidR="00D10169" w:rsidRPr="00994821">
        <w:rPr>
          <w:rFonts w:ascii="Montserrat" w:hAnsi="Montserrat"/>
        </w:rPr>
        <w:t>mld.</w:t>
      </w:r>
      <w:r w:rsidR="00B559C6">
        <w:rPr>
          <w:rFonts w:ascii="Montserrat" w:hAnsi="Montserrat"/>
        </w:rPr>
        <w:t> </w:t>
      </w:r>
      <w:r w:rsidR="00D10169" w:rsidRPr="00994821">
        <w:rPr>
          <w:rFonts w:ascii="Montserrat" w:hAnsi="Montserrat"/>
        </w:rPr>
        <w:t xml:space="preserve">Kč. </w:t>
      </w:r>
      <w:r w:rsidR="00523484" w:rsidRPr="00994821">
        <w:rPr>
          <w:rFonts w:ascii="Montserrat" w:hAnsi="Montserrat"/>
        </w:rPr>
        <w:t>Program</w:t>
      </w:r>
      <w:r w:rsidR="00CB48D4" w:rsidRPr="00994821">
        <w:rPr>
          <w:rFonts w:ascii="Montserrat" w:hAnsi="Montserrat"/>
        </w:rPr>
        <w:t xml:space="preserve"> </w:t>
      </w:r>
      <w:r w:rsidR="00523484" w:rsidRPr="00994821">
        <w:rPr>
          <w:rFonts w:ascii="Montserrat" w:hAnsi="Montserrat"/>
        </w:rPr>
        <w:t xml:space="preserve">již zapojil do ekonomiky úvěry v objemu </w:t>
      </w:r>
      <w:r w:rsidR="3C8C546E" w:rsidRPr="00994821">
        <w:rPr>
          <w:rFonts w:ascii="Montserrat" w:hAnsi="Montserrat"/>
        </w:rPr>
        <w:t>přesahujícím 11</w:t>
      </w:r>
      <w:r w:rsidR="00B559C6">
        <w:rPr>
          <w:rFonts w:ascii="Montserrat" w:hAnsi="Montserrat"/>
        </w:rPr>
        <w:t> </w:t>
      </w:r>
      <w:r w:rsidR="00523484" w:rsidRPr="00994821">
        <w:rPr>
          <w:rFonts w:ascii="Montserrat" w:hAnsi="Montserrat"/>
        </w:rPr>
        <w:t>mld.</w:t>
      </w:r>
      <w:r w:rsidR="00B559C6">
        <w:rPr>
          <w:rFonts w:ascii="Montserrat" w:hAnsi="Montserrat"/>
        </w:rPr>
        <w:t> </w:t>
      </w:r>
      <w:r w:rsidR="00523484" w:rsidRPr="00994821">
        <w:rPr>
          <w:rFonts w:ascii="Montserrat" w:hAnsi="Montserrat"/>
        </w:rPr>
        <w:t>Kč.</w:t>
      </w:r>
      <w:r w:rsidR="002A2764" w:rsidRPr="00994821">
        <w:rPr>
          <w:rFonts w:ascii="Montserrat" w:hAnsi="Montserrat"/>
        </w:rPr>
        <w:t xml:space="preserve"> </w:t>
      </w:r>
    </w:p>
    <w:p w14:paraId="54CC922D" w14:textId="37D933CD" w:rsidR="00205201" w:rsidRPr="00994821" w:rsidRDefault="006A3480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  <w:i/>
          <w:iCs/>
        </w:rPr>
        <w:t>„</w:t>
      </w:r>
      <w:r w:rsidR="00DA2079" w:rsidRPr="00994821">
        <w:rPr>
          <w:rFonts w:ascii="Montserrat" w:hAnsi="Montserrat"/>
          <w:i/>
          <w:iCs/>
        </w:rPr>
        <w:t xml:space="preserve">Dostupnost kapitálu rozhoduje o schopnosti firem růst, inovovat a obstát v konkurenci. Oceňujeme, že podnikatelé dnes mohou program využít prostřednictvím širokého spektra partnerů, což znamená rychlejší a jednodušší přístup firem k financování jejich investic i provozu. </w:t>
      </w:r>
      <w:r w:rsidRPr="00994821">
        <w:rPr>
          <w:rFonts w:ascii="Montserrat" w:hAnsi="Montserrat"/>
          <w:i/>
          <w:iCs/>
        </w:rPr>
        <w:t>První měsíce programu jasně ukazují, že poptávka po záručním financování byla mezi podnikateli skutečně vysoká</w:t>
      </w:r>
      <w:r w:rsidR="00DA2079" w:rsidRPr="00994821">
        <w:rPr>
          <w:rFonts w:ascii="Montserrat" w:hAnsi="Montserrat"/>
          <w:i/>
          <w:iCs/>
        </w:rPr>
        <w:t>,</w:t>
      </w:r>
      <w:r w:rsidRPr="00994821">
        <w:rPr>
          <w:rFonts w:ascii="Montserrat" w:hAnsi="Montserrat"/>
          <w:i/>
          <w:iCs/>
        </w:rPr>
        <w:t>“</w:t>
      </w:r>
      <w:r w:rsidRPr="00994821">
        <w:rPr>
          <w:rFonts w:ascii="Montserrat" w:hAnsi="Montserrat"/>
        </w:rPr>
        <w:t xml:space="preserve"> říká </w:t>
      </w:r>
      <w:r w:rsidR="00C173A6" w:rsidRPr="00994821">
        <w:rPr>
          <w:rFonts w:ascii="Montserrat" w:hAnsi="Montserrat"/>
          <w:b/>
          <w:bCs/>
        </w:rPr>
        <w:t>předseda představenstva AMSP ČR</w:t>
      </w:r>
      <w:r w:rsidR="00C173A6" w:rsidRPr="00994821">
        <w:rPr>
          <w:rFonts w:ascii="Montserrat" w:hAnsi="Montserrat"/>
          <w:b/>
          <w:bCs/>
        </w:rPr>
        <w:t xml:space="preserve"> </w:t>
      </w:r>
      <w:r w:rsidRPr="00994821">
        <w:rPr>
          <w:rFonts w:ascii="Montserrat" w:hAnsi="Montserrat"/>
          <w:b/>
          <w:bCs/>
        </w:rPr>
        <w:t>Josef Jaroš</w:t>
      </w:r>
      <w:r w:rsidRPr="00994821">
        <w:rPr>
          <w:rFonts w:ascii="Montserrat" w:hAnsi="Montserrat"/>
        </w:rPr>
        <w:t>.</w:t>
      </w:r>
    </w:p>
    <w:p w14:paraId="308C4CE6" w14:textId="02A32D96" w:rsidR="006A3480" w:rsidRPr="00994821" w:rsidRDefault="00062B8D" w:rsidP="00994821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</w:rPr>
        <w:t xml:space="preserve">NRB poskytuje podnikatelům záruku až do výše 70 % jistiny jejich úvěru a současně s tím kryje úvěrujícím bankám jejich riziko </w:t>
      </w:r>
      <w:r w:rsidR="00107F78" w:rsidRPr="00994821">
        <w:rPr>
          <w:rFonts w:ascii="Montserrat" w:hAnsi="Montserrat"/>
        </w:rPr>
        <w:t>až</w:t>
      </w:r>
      <w:r w:rsidRPr="00994821">
        <w:rPr>
          <w:rFonts w:ascii="Montserrat" w:hAnsi="Montserrat"/>
        </w:rPr>
        <w:t xml:space="preserve"> do výše 10 % </w:t>
      </w:r>
      <w:r w:rsidR="00107F78" w:rsidRPr="00994821">
        <w:rPr>
          <w:rFonts w:ascii="Montserrat" w:hAnsi="Montserrat"/>
        </w:rPr>
        <w:t xml:space="preserve">celého </w:t>
      </w:r>
      <w:r w:rsidRPr="00994821">
        <w:rPr>
          <w:rFonts w:ascii="Montserrat" w:hAnsi="Montserrat"/>
        </w:rPr>
        <w:t>zaručeného portfolia úvěrů. Multiplikační efekt takto nastaveného finančního nástroje je vysoký – banky poskytují úvěry na projekty a jedna koruna vydaná z veřejných peněz na záruku na sebe dokáže navázat až 9 Kč ze soukromých zdrojů.</w:t>
      </w:r>
    </w:p>
    <w:p w14:paraId="753309BF" w14:textId="1254A0C7" w:rsidR="004A2757" w:rsidRDefault="00650D8D" w:rsidP="00086CFC">
      <w:pPr>
        <w:spacing w:line="276" w:lineRule="auto"/>
        <w:jc w:val="both"/>
        <w:rPr>
          <w:rFonts w:ascii="Montserrat" w:hAnsi="Montserrat"/>
        </w:rPr>
      </w:pPr>
      <w:r w:rsidRPr="00994821">
        <w:rPr>
          <w:rFonts w:ascii="Montserrat" w:hAnsi="Montserrat"/>
        </w:rPr>
        <w:t xml:space="preserve">Další podrobnosti k </w:t>
      </w:r>
      <w:hyperlink r:id="rId10" w:history="1">
        <w:r w:rsidRPr="00994821">
          <w:rPr>
            <w:rStyle w:val="Hypertextovodkaz"/>
            <w:rFonts w:ascii="Montserrat" w:hAnsi="Montserrat"/>
          </w:rPr>
          <w:t>Národní záruce</w:t>
        </w:r>
      </w:hyperlink>
      <w:r w:rsidRPr="00994821">
        <w:rPr>
          <w:rFonts w:ascii="Montserrat" w:hAnsi="Montserrat"/>
        </w:rPr>
        <w:t xml:space="preserve"> a k </w:t>
      </w:r>
      <w:hyperlink r:id="rId11" w:history="1">
        <w:r w:rsidRPr="00994821">
          <w:rPr>
            <w:rStyle w:val="Hypertextovodkaz"/>
            <w:rFonts w:ascii="Montserrat" w:hAnsi="Montserrat"/>
          </w:rPr>
          <w:t>Záruce Transformace</w:t>
        </w:r>
      </w:hyperlink>
      <w:r w:rsidRPr="00994821">
        <w:rPr>
          <w:rFonts w:ascii="Montserrat" w:hAnsi="Montserrat"/>
        </w:rPr>
        <w:t xml:space="preserve">, která poskytuje výhodnější podmínky pro firmy a jejich záměry v uhelných regionech, najdete na webu NRB. </w:t>
      </w:r>
      <w:r w:rsidR="00ED01EB" w:rsidRPr="00994821">
        <w:rPr>
          <w:rFonts w:ascii="Montserrat" w:hAnsi="Montserrat"/>
        </w:rPr>
        <w:t>Vedle Národní záruky mohou podnikatelé a firmy o velikosti do 250</w:t>
      </w:r>
      <w:r w:rsidR="00AC2222" w:rsidRPr="00994821">
        <w:rPr>
          <w:rFonts w:ascii="Montserrat" w:hAnsi="Montserrat"/>
        </w:rPr>
        <w:t> </w:t>
      </w:r>
      <w:r w:rsidR="00ED01EB" w:rsidRPr="00994821">
        <w:rPr>
          <w:rFonts w:ascii="Montserrat" w:hAnsi="Montserrat"/>
        </w:rPr>
        <w:t xml:space="preserve">zaměstnanců využít pro své rozvojové financování programy NRB </w:t>
      </w:r>
      <w:hyperlink r:id="rId12" w:history="1">
        <w:r w:rsidR="00ED01EB" w:rsidRPr="00994821">
          <w:rPr>
            <w:rStyle w:val="Hypertextovodkaz"/>
            <w:rFonts w:ascii="Montserrat" w:hAnsi="Montserrat"/>
          </w:rPr>
          <w:t>Bezúročný úvěr Expanze</w:t>
        </w:r>
      </w:hyperlink>
      <w:r w:rsidR="00ED01EB" w:rsidRPr="00994821">
        <w:rPr>
          <w:rFonts w:ascii="Montserrat" w:hAnsi="Montserrat"/>
        </w:rPr>
        <w:t xml:space="preserve"> a </w:t>
      </w:r>
      <w:hyperlink r:id="rId13" w:history="1">
        <w:r w:rsidR="00ED01EB" w:rsidRPr="00994821">
          <w:rPr>
            <w:rStyle w:val="Hypertextovodkaz"/>
            <w:rFonts w:ascii="Montserrat" w:hAnsi="Montserrat"/>
          </w:rPr>
          <w:t>Úvěr Expanze pro rodinné podniky</w:t>
        </w:r>
      </w:hyperlink>
      <w:r w:rsidR="00ED01EB" w:rsidRPr="00994821">
        <w:rPr>
          <w:rFonts w:ascii="Montserrat" w:hAnsi="Montserrat"/>
        </w:rPr>
        <w:t>.</w:t>
      </w:r>
      <w:r w:rsidR="005F7BD2" w:rsidRPr="00994821">
        <w:rPr>
          <w:rFonts w:ascii="Montserrat" w:hAnsi="Montserrat"/>
        </w:rPr>
        <w:t xml:space="preserve"> </w:t>
      </w:r>
    </w:p>
    <w:p w14:paraId="0DC786E2" w14:textId="77777777" w:rsidR="004A2757" w:rsidRPr="00ED01EB" w:rsidRDefault="004A2757" w:rsidP="00BA69F6">
      <w:pPr>
        <w:jc w:val="both"/>
        <w:rPr>
          <w:rFonts w:ascii="Montserrat" w:hAnsi="Montserrat"/>
        </w:rPr>
      </w:pPr>
    </w:p>
    <w:sectPr w:rsidR="004A2757" w:rsidRPr="00ED01EB" w:rsidSect="008179B0">
      <w:headerReference w:type="first" r:id="rId14"/>
      <w:footerReference w:type="first" r:id="rId15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4D91" w14:textId="77777777" w:rsidR="00040C78" w:rsidRDefault="00040C78" w:rsidP="00295FEB">
      <w:pPr>
        <w:spacing w:after="0" w:line="240" w:lineRule="auto"/>
      </w:pPr>
      <w:r>
        <w:separator/>
      </w:r>
    </w:p>
  </w:endnote>
  <w:endnote w:type="continuationSeparator" w:id="0">
    <w:p w14:paraId="3428AB63" w14:textId="77777777" w:rsidR="00040C78" w:rsidRDefault="00040C78" w:rsidP="0029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62F6" w14:textId="2D0AD008" w:rsidR="00295FEB" w:rsidRDefault="00987D6A" w:rsidP="007B3947">
    <w:pPr>
      <w:pStyle w:val="Text-perex"/>
      <w:spacing w:after="0" w:line="276" w:lineRule="auto"/>
      <w:contextualSpacing w:val="0"/>
    </w:pPr>
    <w:r w:rsidRPr="00E850AD">
      <w:rPr>
        <w:sz w:val="18"/>
        <w:szCs w:val="20"/>
      </w:rPr>
      <w:t>Kontakt</w:t>
    </w:r>
    <w:r w:rsidRPr="00E850AD">
      <w:rPr>
        <w:b w:val="0"/>
        <w:bCs w:val="0"/>
        <w:sz w:val="18"/>
        <w:szCs w:val="20"/>
      </w:rPr>
      <w:t xml:space="preserve">: </w:t>
    </w:r>
    <w:r>
      <w:rPr>
        <w:b w:val="0"/>
        <w:bCs w:val="0"/>
        <w:sz w:val="18"/>
        <w:szCs w:val="20"/>
      </w:rPr>
      <w:t>Petra Vodstrčilová</w:t>
    </w:r>
    <w:r w:rsidRPr="00E850AD">
      <w:rPr>
        <w:b w:val="0"/>
        <w:bCs w:val="0"/>
        <w:sz w:val="18"/>
        <w:szCs w:val="20"/>
      </w:rPr>
      <w:t>, PR manažer, Národní rozvojová banka, tel.: 7</w:t>
    </w:r>
    <w:r>
      <w:rPr>
        <w:b w:val="0"/>
        <w:bCs w:val="0"/>
        <w:sz w:val="18"/>
        <w:szCs w:val="20"/>
      </w:rPr>
      <w:t>24 107 557</w:t>
    </w:r>
    <w:r w:rsidRPr="00E850AD">
      <w:rPr>
        <w:b w:val="0"/>
        <w:bCs w:val="0"/>
        <w:sz w:val="18"/>
        <w:szCs w:val="20"/>
      </w:rPr>
      <w:t xml:space="preserve">, </w:t>
    </w:r>
    <w:r>
      <w:rPr>
        <w:b w:val="0"/>
        <w:bCs w:val="0"/>
        <w:sz w:val="18"/>
        <w:szCs w:val="20"/>
      </w:rPr>
      <w:t>m</w:t>
    </w:r>
    <w:r w:rsidRPr="00E850AD">
      <w:rPr>
        <w:b w:val="0"/>
        <w:bCs w:val="0"/>
        <w:sz w:val="18"/>
        <w:szCs w:val="20"/>
      </w:rPr>
      <w:t>ail:</w:t>
    </w:r>
    <w:r>
      <w:rPr>
        <w:b w:val="0"/>
        <w:bCs w:val="0"/>
        <w:sz w:val="18"/>
        <w:szCs w:val="20"/>
      </w:rPr>
      <w:t xml:space="preserve"> petra.vodstrcilova</w:t>
    </w:r>
    <w:r w:rsidRPr="00E850AD">
      <w:rPr>
        <w:b w:val="0"/>
        <w:bCs w:val="0"/>
        <w:sz w:val="18"/>
        <w:szCs w:val="20"/>
      </w:rPr>
      <w:t>@nrb.cz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2414" w14:textId="77777777" w:rsidR="00040C78" w:rsidRDefault="00040C78" w:rsidP="00295FEB">
      <w:pPr>
        <w:spacing w:after="0" w:line="240" w:lineRule="auto"/>
      </w:pPr>
      <w:r>
        <w:separator/>
      </w:r>
    </w:p>
  </w:footnote>
  <w:footnote w:type="continuationSeparator" w:id="0">
    <w:p w14:paraId="24FAE2A8" w14:textId="77777777" w:rsidR="00040C78" w:rsidRDefault="00040C78" w:rsidP="0029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637B" w14:textId="5D8DF6AB" w:rsidR="00804662" w:rsidRDefault="00AF50D1">
    <w:pPr>
      <w:pStyle w:val="Zhlav"/>
    </w:pPr>
    <w:r w:rsidRPr="00AD76D7">
      <w:rPr>
        <w:noProof/>
      </w:rPr>
      <w:drawing>
        <wp:anchor distT="0" distB="0" distL="114300" distR="114300" simplePos="0" relativeHeight="251659264" behindDoc="0" locked="0" layoutInCell="1" hidden="0" allowOverlap="1" wp14:anchorId="3209D42A" wp14:editId="2A3CE18D">
          <wp:simplePos x="0" y="0"/>
          <wp:positionH relativeFrom="margin">
            <wp:align>right</wp:align>
          </wp:positionH>
          <wp:positionV relativeFrom="paragraph">
            <wp:posOffset>716915</wp:posOffset>
          </wp:positionV>
          <wp:extent cx="1765935" cy="769923"/>
          <wp:effectExtent l="0" t="0" r="0" b="0"/>
          <wp:wrapNone/>
          <wp:docPr id="10405355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769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08A"/>
    <w:multiLevelType w:val="multilevel"/>
    <w:tmpl w:val="A53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37AE7"/>
    <w:multiLevelType w:val="hybridMultilevel"/>
    <w:tmpl w:val="73504218"/>
    <w:lvl w:ilvl="0" w:tplc="0102E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23E"/>
    <w:multiLevelType w:val="multilevel"/>
    <w:tmpl w:val="514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D218D"/>
    <w:multiLevelType w:val="multilevel"/>
    <w:tmpl w:val="9EA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863DA"/>
    <w:multiLevelType w:val="hybridMultilevel"/>
    <w:tmpl w:val="DF58C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00D3E"/>
    <w:multiLevelType w:val="multilevel"/>
    <w:tmpl w:val="63A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51A67"/>
    <w:multiLevelType w:val="hybridMultilevel"/>
    <w:tmpl w:val="1EA02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90C60"/>
    <w:multiLevelType w:val="hybridMultilevel"/>
    <w:tmpl w:val="F67480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52AF6"/>
    <w:multiLevelType w:val="multilevel"/>
    <w:tmpl w:val="A336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202A0"/>
    <w:multiLevelType w:val="hybridMultilevel"/>
    <w:tmpl w:val="BCE40B3E"/>
    <w:lvl w:ilvl="0" w:tplc="040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733743D6"/>
    <w:multiLevelType w:val="hybridMultilevel"/>
    <w:tmpl w:val="3056CA72"/>
    <w:lvl w:ilvl="0" w:tplc="0102E7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063190">
    <w:abstractNumId w:val="7"/>
  </w:num>
  <w:num w:numId="2" w16cid:durableId="187913282">
    <w:abstractNumId w:val="10"/>
  </w:num>
  <w:num w:numId="3" w16cid:durableId="249512150">
    <w:abstractNumId w:val="1"/>
  </w:num>
  <w:num w:numId="4" w16cid:durableId="958487992">
    <w:abstractNumId w:val="5"/>
  </w:num>
  <w:num w:numId="5" w16cid:durableId="243997392">
    <w:abstractNumId w:val="0"/>
  </w:num>
  <w:num w:numId="6" w16cid:durableId="172034159">
    <w:abstractNumId w:val="3"/>
  </w:num>
  <w:num w:numId="7" w16cid:durableId="709845307">
    <w:abstractNumId w:val="2"/>
  </w:num>
  <w:num w:numId="8" w16cid:durableId="1342244608">
    <w:abstractNumId w:val="8"/>
  </w:num>
  <w:num w:numId="9" w16cid:durableId="1500922062">
    <w:abstractNumId w:val="6"/>
  </w:num>
  <w:num w:numId="10" w16cid:durableId="1189639933">
    <w:abstractNumId w:val="4"/>
  </w:num>
  <w:num w:numId="11" w16cid:durableId="1494878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94"/>
    <w:rsid w:val="00013191"/>
    <w:rsid w:val="00013CD2"/>
    <w:rsid w:val="00016853"/>
    <w:rsid w:val="0002453B"/>
    <w:rsid w:val="00040C78"/>
    <w:rsid w:val="000434AD"/>
    <w:rsid w:val="000458D7"/>
    <w:rsid w:val="00051F71"/>
    <w:rsid w:val="00062B8D"/>
    <w:rsid w:val="00075E50"/>
    <w:rsid w:val="00086CFC"/>
    <w:rsid w:val="00087C47"/>
    <w:rsid w:val="000B2104"/>
    <w:rsid w:val="000B7BF5"/>
    <w:rsid w:val="000C0B34"/>
    <w:rsid w:val="000C0D65"/>
    <w:rsid w:val="000C2C75"/>
    <w:rsid w:val="000C4200"/>
    <w:rsid w:val="000C48BB"/>
    <w:rsid w:val="000C5FFA"/>
    <w:rsid w:val="000D02FA"/>
    <w:rsid w:val="000E0A3B"/>
    <w:rsid w:val="000F4281"/>
    <w:rsid w:val="00104C3B"/>
    <w:rsid w:val="00107F78"/>
    <w:rsid w:val="00114A46"/>
    <w:rsid w:val="001166E3"/>
    <w:rsid w:val="00120DAC"/>
    <w:rsid w:val="001269E6"/>
    <w:rsid w:val="001361B0"/>
    <w:rsid w:val="001446DF"/>
    <w:rsid w:val="001520E9"/>
    <w:rsid w:val="001623FE"/>
    <w:rsid w:val="0016573B"/>
    <w:rsid w:val="00180CFB"/>
    <w:rsid w:val="00186891"/>
    <w:rsid w:val="001A4D47"/>
    <w:rsid w:val="001E283F"/>
    <w:rsid w:val="001F1F8E"/>
    <w:rsid w:val="001F4ED1"/>
    <w:rsid w:val="00205201"/>
    <w:rsid w:val="002254C0"/>
    <w:rsid w:val="00226BC7"/>
    <w:rsid w:val="00231DFB"/>
    <w:rsid w:val="00235B96"/>
    <w:rsid w:val="00273A97"/>
    <w:rsid w:val="00274619"/>
    <w:rsid w:val="00280A76"/>
    <w:rsid w:val="00295FEB"/>
    <w:rsid w:val="002A199A"/>
    <w:rsid w:val="002A2764"/>
    <w:rsid w:val="002C4006"/>
    <w:rsid w:val="002C6B3C"/>
    <w:rsid w:val="002C6C5D"/>
    <w:rsid w:val="002D32BF"/>
    <w:rsid w:val="002E324F"/>
    <w:rsid w:val="002F063E"/>
    <w:rsid w:val="002F5BBE"/>
    <w:rsid w:val="00300051"/>
    <w:rsid w:val="00363270"/>
    <w:rsid w:val="0037034F"/>
    <w:rsid w:val="00373123"/>
    <w:rsid w:val="00397836"/>
    <w:rsid w:val="003B00B4"/>
    <w:rsid w:val="003B3C41"/>
    <w:rsid w:val="003C494F"/>
    <w:rsid w:val="003D33D0"/>
    <w:rsid w:val="003D35D7"/>
    <w:rsid w:val="003E4CFA"/>
    <w:rsid w:val="003F5A47"/>
    <w:rsid w:val="00400456"/>
    <w:rsid w:val="00406631"/>
    <w:rsid w:val="0040706C"/>
    <w:rsid w:val="00413649"/>
    <w:rsid w:val="004170E4"/>
    <w:rsid w:val="004256F6"/>
    <w:rsid w:val="004552CB"/>
    <w:rsid w:val="00465105"/>
    <w:rsid w:val="00470261"/>
    <w:rsid w:val="00471B3B"/>
    <w:rsid w:val="00482778"/>
    <w:rsid w:val="00484984"/>
    <w:rsid w:val="004A2757"/>
    <w:rsid w:val="004B392C"/>
    <w:rsid w:val="00503B86"/>
    <w:rsid w:val="0050471A"/>
    <w:rsid w:val="005107E7"/>
    <w:rsid w:val="005150DC"/>
    <w:rsid w:val="00515200"/>
    <w:rsid w:val="00523484"/>
    <w:rsid w:val="0054645D"/>
    <w:rsid w:val="00550A2B"/>
    <w:rsid w:val="0055634D"/>
    <w:rsid w:val="00557E30"/>
    <w:rsid w:val="0058793B"/>
    <w:rsid w:val="00593E6D"/>
    <w:rsid w:val="00595998"/>
    <w:rsid w:val="0059758E"/>
    <w:rsid w:val="005A4373"/>
    <w:rsid w:val="005A5F30"/>
    <w:rsid w:val="005B312B"/>
    <w:rsid w:val="005D4A93"/>
    <w:rsid w:val="005E015C"/>
    <w:rsid w:val="005E1BAC"/>
    <w:rsid w:val="005E5D44"/>
    <w:rsid w:val="005F1257"/>
    <w:rsid w:val="005F7BD2"/>
    <w:rsid w:val="006015D9"/>
    <w:rsid w:val="00604A36"/>
    <w:rsid w:val="006065BA"/>
    <w:rsid w:val="00617FD2"/>
    <w:rsid w:val="00636900"/>
    <w:rsid w:val="00650D8D"/>
    <w:rsid w:val="00667E70"/>
    <w:rsid w:val="00684F4B"/>
    <w:rsid w:val="006900AB"/>
    <w:rsid w:val="006946C0"/>
    <w:rsid w:val="00694C6B"/>
    <w:rsid w:val="006976F1"/>
    <w:rsid w:val="006A0408"/>
    <w:rsid w:val="006A15F0"/>
    <w:rsid w:val="006A3480"/>
    <w:rsid w:val="006B05C1"/>
    <w:rsid w:val="006B25D0"/>
    <w:rsid w:val="006C13B1"/>
    <w:rsid w:val="006C1FA4"/>
    <w:rsid w:val="006E34E1"/>
    <w:rsid w:val="006F7AEA"/>
    <w:rsid w:val="00704FA4"/>
    <w:rsid w:val="007072D6"/>
    <w:rsid w:val="00724B64"/>
    <w:rsid w:val="0073488B"/>
    <w:rsid w:val="007439F3"/>
    <w:rsid w:val="00747DC3"/>
    <w:rsid w:val="007500CF"/>
    <w:rsid w:val="007504A5"/>
    <w:rsid w:val="00763D37"/>
    <w:rsid w:val="007716E9"/>
    <w:rsid w:val="00796291"/>
    <w:rsid w:val="007A1D94"/>
    <w:rsid w:val="007A4572"/>
    <w:rsid w:val="007B3299"/>
    <w:rsid w:val="007B3947"/>
    <w:rsid w:val="007B6BD9"/>
    <w:rsid w:val="007D1B54"/>
    <w:rsid w:val="007D1EE8"/>
    <w:rsid w:val="00804662"/>
    <w:rsid w:val="00805486"/>
    <w:rsid w:val="008179B0"/>
    <w:rsid w:val="0082156C"/>
    <w:rsid w:val="00834BBA"/>
    <w:rsid w:val="00835B2A"/>
    <w:rsid w:val="008400CC"/>
    <w:rsid w:val="008439F3"/>
    <w:rsid w:val="00854E37"/>
    <w:rsid w:val="00857894"/>
    <w:rsid w:val="00860218"/>
    <w:rsid w:val="00862F8C"/>
    <w:rsid w:val="00880472"/>
    <w:rsid w:val="0089660B"/>
    <w:rsid w:val="008A1E54"/>
    <w:rsid w:val="008A7A4E"/>
    <w:rsid w:val="008C2805"/>
    <w:rsid w:val="008D1BEF"/>
    <w:rsid w:val="008E4495"/>
    <w:rsid w:val="008E5A7A"/>
    <w:rsid w:val="008F7775"/>
    <w:rsid w:val="009028D2"/>
    <w:rsid w:val="009129C2"/>
    <w:rsid w:val="00916BC2"/>
    <w:rsid w:val="009364F7"/>
    <w:rsid w:val="00943932"/>
    <w:rsid w:val="009466E0"/>
    <w:rsid w:val="0095028A"/>
    <w:rsid w:val="00960515"/>
    <w:rsid w:val="00960716"/>
    <w:rsid w:val="009771FF"/>
    <w:rsid w:val="0098140D"/>
    <w:rsid w:val="009828F9"/>
    <w:rsid w:val="00987D6A"/>
    <w:rsid w:val="00993881"/>
    <w:rsid w:val="00994821"/>
    <w:rsid w:val="00996276"/>
    <w:rsid w:val="009C3328"/>
    <w:rsid w:val="009D2169"/>
    <w:rsid w:val="009E7714"/>
    <w:rsid w:val="00A0037C"/>
    <w:rsid w:val="00A14AC9"/>
    <w:rsid w:val="00A25505"/>
    <w:rsid w:val="00A25E79"/>
    <w:rsid w:val="00A26084"/>
    <w:rsid w:val="00A32E49"/>
    <w:rsid w:val="00A74F22"/>
    <w:rsid w:val="00A76805"/>
    <w:rsid w:val="00A82EE8"/>
    <w:rsid w:val="00A878EF"/>
    <w:rsid w:val="00A9327C"/>
    <w:rsid w:val="00AA50F4"/>
    <w:rsid w:val="00AA7310"/>
    <w:rsid w:val="00AC2222"/>
    <w:rsid w:val="00AD02F9"/>
    <w:rsid w:val="00AD63A0"/>
    <w:rsid w:val="00AD79A7"/>
    <w:rsid w:val="00AF50D1"/>
    <w:rsid w:val="00B0301A"/>
    <w:rsid w:val="00B106BE"/>
    <w:rsid w:val="00B17E0C"/>
    <w:rsid w:val="00B20F4F"/>
    <w:rsid w:val="00B2693D"/>
    <w:rsid w:val="00B42B40"/>
    <w:rsid w:val="00B4449D"/>
    <w:rsid w:val="00B44A28"/>
    <w:rsid w:val="00B559C6"/>
    <w:rsid w:val="00B602D5"/>
    <w:rsid w:val="00B727DA"/>
    <w:rsid w:val="00B74A8E"/>
    <w:rsid w:val="00B75C88"/>
    <w:rsid w:val="00B84682"/>
    <w:rsid w:val="00B847EB"/>
    <w:rsid w:val="00B9652C"/>
    <w:rsid w:val="00BA69F6"/>
    <w:rsid w:val="00BB318F"/>
    <w:rsid w:val="00BB35B5"/>
    <w:rsid w:val="00BC3071"/>
    <w:rsid w:val="00BD54DF"/>
    <w:rsid w:val="00BD5D6B"/>
    <w:rsid w:val="00BE0DA0"/>
    <w:rsid w:val="00BF67DB"/>
    <w:rsid w:val="00BF69E1"/>
    <w:rsid w:val="00BF750E"/>
    <w:rsid w:val="00C1675A"/>
    <w:rsid w:val="00C1720E"/>
    <w:rsid w:val="00C173A6"/>
    <w:rsid w:val="00C2685E"/>
    <w:rsid w:val="00C3193C"/>
    <w:rsid w:val="00C53590"/>
    <w:rsid w:val="00C6735C"/>
    <w:rsid w:val="00C97F73"/>
    <w:rsid w:val="00CB0030"/>
    <w:rsid w:val="00CB48D4"/>
    <w:rsid w:val="00CC024E"/>
    <w:rsid w:val="00CC7A51"/>
    <w:rsid w:val="00CE1222"/>
    <w:rsid w:val="00D0524A"/>
    <w:rsid w:val="00D07268"/>
    <w:rsid w:val="00D10169"/>
    <w:rsid w:val="00D12370"/>
    <w:rsid w:val="00D12E68"/>
    <w:rsid w:val="00D21A77"/>
    <w:rsid w:val="00D34979"/>
    <w:rsid w:val="00D36201"/>
    <w:rsid w:val="00D36645"/>
    <w:rsid w:val="00D55875"/>
    <w:rsid w:val="00D55981"/>
    <w:rsid w:val="00D8185E"/>
    <w:rsid w:val="00D969EC"/>
    <w:rsid w:val="00D97BE6"/>
    <w:rsid w:val="00DA2079"/>
    <w:rsid w:val="00DA2C95"/>
    <w:rsid w:val="00DD2D9B"/>
    <w:rsid w:val="00E1260E"/>
    <w:rsid w:val="00E22ED8"/>
    <w:rsid w:val="00E3298C"/>
    <w:rsid w:val="00E57E0D"/>
    <w:rsid w:val="00E675ED"/>
    <w:rsid w:val="00E713AB"/>
    <w:rsid w:val="00E717A1"/>
    <w:rsid w:val="00E7301C"/>
    <w:rsid w:val="00E92487"/>
    <w:rsid w:val="00EB24FF"/>
    <w:rsid w:val="00EB2CEF"/>
    <w:rsid w:val="00EB7DFF"/>
    <w:rsid w:val="00EC44F1"/>
    <w:rsid w:val="00ED01EB"/>
    <w:rsid w:val="00EE0276"/>
    <w:rsid w:val="00EE0F49"/>
    <w:rsid w:val="00EF0884"/>
    <w:rsid w:val="00F2415B"/>
    <w:rsid w:val="00F30F5A"/>
    <w:rsid w:val="00F77204"/>
    <w:rsid w:val="00F91140"/>
    <w:rsid w:val="00F92467"/>
    <w:rsid w:val="00FA550B"/>
    <w:rsid w:val="00FA6E81"/>
    <w:rsid w:val="00FB1CFA"/>
    <w:rsid w:val="00FC671E"/>
    <w:rsid w:val="00FD24E6"/>
    <w:rsid w:val="00FD6C45"/>
    <w:rsid w:val="0572947E"/>
    <w:rsid w:val="3C8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35D"/>
  <w15:chartTrackingRefBased/>
  <w15:docId w15:val="{5B521039-7377-49A6-987D-8335857D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6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0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2E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494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FEB"/>
  </w:style>
  <w:style w:type="paragraph" w:styleId="Zpat">
    <w:name w:val="footer"/>
    <w:basedOn w:val="Normln"/>
    <w:link w:val="ZpatChar"/>
    <w:uiPriority w:val="99"/>
    <w:unhideWhenUsed/>
    <w:rsid w:val="0029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FEB"/>
  </w:style>
  <w:style w:type="paragraph" w:styleId="Normlnweb">
    <w:name w:val="Normal (Web)"/>
    <w:basedOn w:val="Normln"/>
    <w:uiPriority w:val="99"/>
    <w:unhideWhenUsed/>
    <w:rsid w:val="002F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2453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0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03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B003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8140D"/>
    <w:rPr>
      <w:b/>
      <w:bCs/>
    </w:rPr>
  </w:style>
  <w:style w:type="character" w:styleId="Zdraznn">
    <w:name w:val="Emphasis"/>
    <w:basedOn w:val="Standardnpsmoodstavce"/>
    <w:uiPriority w:val="20"/>
    <w:qFormat/>
    <w:rsid w:val="00B17E0C"/>
    <w:rPr>
      <w:i/>
      <w:iCs/>
    </w:rPr>
  </w:style>
  <w:style w:type="character" w:customStyle="1" w:styleId="relative">
    <w:name w:val="relative"/>
    <w:basedOn w:val="Standardnpsmoodstavce"/>
    <w:rsid w:val="00D97BE6"/>
  </w:style>
  <w:style w:type="paragraph" w:customStyle="1" w:styleId="not-prose">
    <w:name w:val="not-prose"/>
    <w:basedOn w:val="Normln"/>
    <w:rsid w:val="00D9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4FA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73A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73A9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73A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73A97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isselectedend">
    <w:name w:val="isselectedend"/>
    <w:basedOn w:val="Normln"/>
    <w:rsid w:val="008E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A2C9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60515"/>
    <w:pPr>
      <w:spacing w:after="0" w:line="240" w:lineRule="auto"/>
    </w:pPr>
  </w:style>
  <w:style w:type="character" w:customStyle="1" w:styleId="Times18">
    <w:name w:val="Times18"/>
    <w:basedOn w:val="Standardnpsmoodstavce"/>
    <w:uiPriority w:val="1"/>
    <w:qFormat/>
    <w:rsid w:val="007B6BD9"/>
    <w:rPr>
      <w:rFonts w:ascii="Times New Roman" w:hAnsi="Times New Roman" w:cs="Times New Roman" w:hint="default"/>
      <w:sz w:val="36"/>
    </w:rPr>
  </w:style>
  <w:style w:type="paragraph" w:styleId="Nzev">
    <w:name w:val="Title"/>
    <w:basedOn w:val="Normln"/>
    <w:next w:val="Normln"/>
    <w:link w:val="NzevChar"/>
    <w:rsid w:val="00AF50D1"/>
    <w:pPr>
      <w:keepNext/>
      <w:keepLines/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Montserrat" w:cs="Montserrat"/>
      <w:b/>
      <w:color w:val="5B9BD5" w:themeColor="accent1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AF50D1"/>
    <w:rPr>
      <w:rFonts w:eastAsia="Montserrat" w:cs="Montserrat"/>
      <w:b/>
      <w:color w:val="5B9BD5" w:themeColor="accent1"/>
      <w:sz w:val="40"/>
      <w:szCs w:val="40"/>
      <w:lang w:eastAsia="cs-CZ"/>
    </w:rPr>
  </w:style>
  <w:style w:type="character" w:styleId="Odkaznakoment">
    <w:name w:val="annotation reference"/>
    <w:basedOn w:val="Standardnpsmoodstavce"/>
    <w:semiHidden/>
    <w:rsid w:val="00AF50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F50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Montserrat" w:cs="Montserrat"/>
      <w:sz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F50D1"/>
    <w:rPr>
      <w:rFonts w:eastAsia="Montserrat" w:cs="Montserrat"/>
      <w:sz w:val="20"/>
      <w:lang w:eastAsia="cs-CZ"/>
    </w:rPr>
  </w:style>
  <w:style w:type="paragraph" w:customStyle="1" w:styleId="Text-perex">
    <w:name w:val="Text - perex"/>
    <w:basedOn w:val="Normln"/>
    <w:qFormat/>
    <w:rsid w:val="00AF50D1"/>
    <w:pPr>
      <w:overflowPunct w:val="0"/>
      <w:autoSpaceDE w:val="0"/>
      <w:autoSpaceDN w:val="0"/>
      <w:adjustRightInd w:val="0"/>
      <w:spacing w:before="120" w:after="360" w:line="300" w:lineRule="auto"/>
      <w:contextualSpacing/>
      <w:jc w:val="both"/>
      <w:textAlignment w:val="baseline"/>
    </w:pPr>
    <w:rPr>
      <w:rFonts w:eastAsia="Montserrat" w:cs="Montserrat"/>
      <w:b/>
      <w:bCs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0D1"/>
    <w:pPr>
      <w:overflowPunct/>
      <w:autoSpaceDE/>
      <w:autoSpaceDN/>
      <w:adjustRightInd/>
      <w:spacing w:after="160"/>
      <w:jc w:val="left"/>
      <w:textAlignment w:val="auto"/>
    </w:pPr>
    <w:rPr>
      <w:rFonts w:eastAsiaTheme="minorHAnsi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0D1"/>
    <w:rPr>
      <w:rFonts w:eastAsia="Montserrat" w:cs="Montserrat"/>
      <w:b/>
      <w:bCs/>
      <w:sz w:val="20"/>
      <w:szCs w:val="20"/>
      <w:lang w:eastAsia="cs-CZ"/>
    </w:rPr>
  </w:style>
  <w:style w:type="paragraph" w:customStyle="1" w:styleId="xmsonormal">
    <w:name w:val="x_msonormal"/>
    <w:basedOn w:val="Normln"/>
    <w:rsid w:val="00D36201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69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0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0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rb.cz/produkt/uver-expanz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rb.cz/produkt/uver-expanz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b.cz/produkt/zaruka-transformac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rb.cz/produkt/narodni-zaru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ad0687-9723-4230-956d-26b50b6e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E5225EED2AF48810D03292EE11879" ma:contentTypeVersion="12" ma:contentTypeDescription="Vytvoří nový dokument" ma:contentTypeScope="" ma:versionID="365900f281d36897d2d485c5e5e114fd">
  <xsd:schema xmlns:xsd="http://www.w3.org/2001/XMLSchema" xmlns:xs="http://www.w3.org/2001/XMLSchema" xmlns:p="http://schemas.microsoft.com/office/2006/metadata/properties" xmlns:ns3="01ad0687-9723-4230-956d-26b50b6e0151" targetNamespace="http://schemas.microsoft.com/office/2006/metadata/properties" ma:root="true" ma:fieldsID="be3f880740749ec02b66c39b26d605ae" ns3:_="">
    <xsd:import namespace="01ad0687-9723-4230-956d-26b50b6e01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0687-9723-4230-956d-26b50b6e01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BA660-3AF0-42C2-B2D9-E0068A692B4F}">
  <ds:schemaRefs>
    <ds:schemaRef ds:uri="http://schemas.microsoft.com/office/2006/metadata/properties"/>
    <ds:schemaRef ds:uri="http://schemas.microsoft.com/office/infopath/2007/PartnerControls"/>
    <ds:schemaRef ds:uri="01ad0687-9723-4230-956d-26b50b6e0151"/>
  </ds:schemaRefs>
</ds:datastoreItem>
</file>

<file path=customXml/itemProps2.xml><?xml version="1.0" encoding="utf-8"?>
<ds:datastoreItem xmlns:ds="http://schemas.openxmlformats.org/officeDocument/2006/customXml" ds:itemID="{3F03987C-4C04-42E8-8D8B-BB3A1DDE9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3C51A-FC44-4A6C-9DBD-0DEC5D921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0687-9723-4230-956d-26b50b6e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Scheiner</dc:creator>
  <cp:keywords/>
  <dc:description/>
  <cp:lastModifiedBy>Vodstrčilová Petra Ing.</cp:lastModifiedBy>
  <cp:revision>3</cp:revision>
  <dcterms:created xsi:type="dcterms:W3CDTF">2026-07-24T08:24:00Z</dcterms:created>
  <dcterms:modified xsi:type="dcterms:W3CDTF">2026-07-24T08:25:00Z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0de75-5a0d-4392-bbb6-59aa8e061af6_Enabled">
    <vt:lpwstr>true</vt:lpwstr>
  </property>
  <property fmtid="{D5CDD505-2E9C-101B-9397-08002B2CF9AE}" pid="3" name="MSIP_Label_8310de75-5a0d-4392-bbb6-59aa8e061af6_SetDate">
    <vt:lpwstr>2026-03-18T11:35:30Z</vt:lpwstr>
  </property>
  <property fmtid="{D5CDD505-2E9C-101B-9397-08002B2CF9AE}" pid="4" name="MSIP_Label_8310de75-5a0d-4392-bbb6-59aa8e061af6_Method">
    <vt:lpwstr>Privileged</vt:lpwstr>
  </property>
  <property fmtid="{D5CDD505-2E9C-101B-9397-08002B2CF9AE}" pid="5" name="MSIP_Label_8310de75-5a0d-4392-bbb6-59aa8e061af6_Name">
    <vt:lpwstr>Veřejná informace</vt:lpwstr>
  </property>
  <property fmtid="{D5CDD505-2E9C-101B-9397-08002B2CF9AE}" pid="6" name="MSIP_Label_8310de75-5a0d-4392-bbb6-59aa8e061af6_SiteId">
    <vt:lpwstr>4d1a3907-6ad7-4739-80b5-b7ed4066a30b</vt:lpwstr>
  </property>
  <property fmtid="{D5CDD505-2E9C-101B-9397-08002B2CF9AE}" pid="7" name="MSIP_Label_8310de75-5a0d-4392-bbb6-59aa8e061af6_ActionId">
    <vt:lpwstr>0ff480bf-122e-4799-bf66-da624741672e</vt:lpwstr>
  </property>
  <property fmtid="{D5CDD505-2E9C-101B-9397-08002B2CF9AE}" pid="8" name="MSIP_Label_8310de75-5a0d-4392-bbb6-59aa8e061af6_ContentBits">
    <vt:lpwstr>0</vt:lpwstr>
  </property>
  <property fmtid="{D5CDD505-2E9C-101B-9397-08002B2CF9AE}" pid="9" name="MSIP_Label_8310de75-5a0d-4392-bbb6-59aa8e061af6_Tag">
    <vt:lpwstr>10, 0, 1, 1</vt:lpwstr>
  </property>
  <property fmtid="{D5CDD505-2E9C-101B-9397-08002B2CF9AE}" pid="10" name="MSIP_Label_296db974-983c-4868-8628-e426985202e0_Enabled">
    <vt:lpwstr>true</vt:lpwstr>
  </property>
  <property fmtid="{D5CDD505-2E9C-101B-9397-08002B2CF9AE}" pid="11" name="MSIP_Label_296db974-983c-4868-8628-e426985202e0_SetDate">
    <vt:lpwstr>2026-04-09T05:44:51Z</vt:lpwstr>
  </property>
  <property fmtid="{D5CDD505-2E9C-101B-9397-08002B2CF9AE}" pid="12" name="MSIP_Label_296db974-983c-4868-8628-e426985202e0_Method">
    <vt:lpwstr>Privileged</vt:lpwstr>
  </property>
  <property fmtid="{D5CDD505-2E9C-101B-9397-08002B2CF9AE}" pid="13" name="MSIP_Label_296db974-983c-4868-8628-e426985202e0_Name">
    <vt:lpwstr>296db974-983c-4868-8628-e426985202e0</vt:lpwstr>
  </property>
  <property fmtid="{D5CDD505-2E9C-101B-9397-08002B2CF9AE}" pid="14" name="MSIP_Label_296db974-983c-4868-8628-e426985202e0_SiteId">
    <vt:lpwstr>64af2aee-7d6c-49ac-a409-192d3fee73b8</vt:lpwstr>
  </property>
  <property fmtid="{D5CDD505-2E9C-101B-9397-08002B2CF9AE}" pid="15" name="MSIP_Label_296db974-983c-4868-8628-e426985202e0_ActionId">
    <vt:lpwstr>cb6ce311-ac65-4ba7-b02a-ee8efe0a85f5</vt:lpwstr>
  </property>
  <property fmtid="{D5CDD505-2E9C-101B-9397-08002B2CF9AE}" pid="16" name="MSIP_Label_296db974-983c-4868-8628-e426985202e0_ContentBits">
    <vt:lpwstr>0</vt:lpwstr>
  </property>
  <property fmtid="{D5CDD505-2E9C-101B-9397-08002B2CF9AE}" pid="17" name="MSIP_Label_296db974-983c-4868-8628-e426985202e0_Tag">
    <vt:lpwstr>10, 0, 1, 1</vt:lpwstr>
  </property>
  <property fmtid="{D5CDD505-2E9C-101B-9397-08002B2CF9AE}" pid="18" name="ContentTypeId">
    <vt:lpwstr>0x010100644E5225EED2AF48810D03292EE11879</vt:lpwstr>
  </property>
</Properties>
</file>