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A77B3E"/>
    <w:p w:rsidR="00A77B3E">
      <w:pPr>
        <w:pStyle w:val="1"/>
      </w:pPr>
    </w:p>
    <w:p w:rsidR="00A77B3E">
      <w:pPr>
        <w:pStyle w:val="2"/>
      </w:pPr>
      <w:r>
        <w:t>IV.</w:t>
      </w:r>
    </w:p>
    <w:p w:rsidR="00A77B3E">
      <w:pPr>
        <w:pStyle w:val="1"/>
      </w:pPr>
    </w:p>
    <w:p w:rsidR="00A77B3E">
      <w:pPr>
        <w:pStyle w:val="3"/>
      </w:pPr>
      <w:r>
        <w:t>Důvodová zpráva</w:t>
      </w:r>
    </w:p>
    <w:p w:rsidR="00A77B3E">
      <w:pPr>
        <w:pStyle w:val="4"/>
      </w:pPr>
      <w:r>
        <w:t>Návrh nařízení vlády, kterým se mění nařízení vlády č. 417/2025 Sb., k provedení zákona o jednotném měsíčním hlášení zaměstnavatele</w:t>
      </w:r>
    </w:p>
    <w:p w:rsidR="00A77B3E">
      <w:pPr>
        <w:pStyle w:val="1"/>
      </w:pPr>
    </w:p>
    <w:p w:rsidR="00A77B3E">
      <w:pPr>
        <w:pStyle w:val="5"/>
      </w:pPr>
      <w:r>
        <w:t>I. Obecná část</w:t>
      </w:r>
    </w:p>
    <w:p w:rsidR="00A77B3E">
      <w:pPr>
        <w:pStyle w:val="6"/>
      </w:pPr>
      <w:r>
        <w:t>1.</w:t>
      </w:r>
      <w:r>
        <w:t>   Vysvětlení nezbytnosti navrhované právní úpravy, odůvodnění jejích hlavních principů</w:t>
      </w:r>
    </w:p>
    <w:p w:rsidR="00A77B3E">
      <w:pPr>
        <w:pStyle w:val="7"/>
      </w:pPr>
      <w:r>
        <w:t>Návrh novely nařízení vlády č. 417/2025 Sb., k provedení zákona o jednotném měsíčním hlášení zaměstnavatele (dále jen „návrh novely nařízení vlády“) vychází ze zmocnění upraveného v § 6 odst. 4, § 9 odst. 4, § 11 odst. 6, § 16 odst. 4, § 18 odst. 4 a § 31 odst. 5 zákona č. 323/2025 Sb., o jednotném měsíčním hlášení zaměstnavatele (dále jen „zákon o JMHZ“). Cílem tohoto návrhu novely nařízení vlády je sladění podoby nařízení vlády s podobou zákona o JMHZ a také s vývojem informačních povinností zaměstnavatelů, které plní prostřednictvím jednotného měsíčního hlášení zaměstnavatele (dále jen „JMHZ“).</w:t>
      </w:r>
    </w:p>
    <w:p w:rsidR="00A77B3E">
      <w:pPr>
        <w:pStyle w:val="8"/>
      </w:pPr>
      <w:r>
        <w:t>V návrhu novely nařízení vlády jsou aktualizovány tabulky údajů sdělovaných v rámci jednotlivých typů podání (jednotné měsíční hlášení, evidence zaměstnavatele, evidence zaměstnance). Jde jednak o úpravy vyplývající ze změn právních předpisů, které informační povinnosti plněné prostřednictvím JMHZ ukládají a dále pak úpravy vyplývající z praktických zkušeností, které směřují k většímu či menšímu detailu hlášených údajů.</w:t>
      </w:r>
    </w:p>
    <w:p w:rsidR="00A77B3E">
      <w:pPr>
        <w:pStyle w:val="8"/>
      </w:pPr>
      <w:r>
        <w:t>Pokud jde o legislativní změny, návrh novely nařízení vlády reaguje zejména na připravovanou právní úpravu obsaženou v návrhu zákona o platformové práci a v návrhu novely zákona č. 262/2006 Sb., zákoník práce, ve znění pozdějších předpisů (dále jen „zákoník práce“) v oblasti transparentnosti odměňování, jakož i na novelu zákona č. 258/2000 Sb., o ochraně veřejného zdraví a o změně některých souvisejících zákonů, ve znění pozdějších předpisů (dále jen „zákon o ochraně veřejného zdraví“). Tyto změny se promítají zejména do rozšíření hlášených údajů a současně do rozšíření okruhu jejich uživatelů o Státní úřad inspekce práce a oblastní inspektoráty práce, jakož i o Ministerstvo zdravotnictví a krajské hygienické stanice. V souladu se zákonem o JMHZ je pak v přílohách uváděn nový uživatel údajů, kterým je Ministerstvo spravedlnosti. Doplnění Ministerstva spravedlnosti jako uživatele údajů nezakládá zaměstnavatelům novou povinnost hlásit další údaje, neboť jde o čerpání údajů, které jsou prostřednictvím JMHZ již hlášeny. Další změny souvisejí se zrušením zákona č. 234/2014 Sb., o státní službě, kdy zaniká dosavadní institut služebního poměru podle tohoto zákona a nahrazuje jej běžný pracovněprávní vztah. Tyto změny jsou zohledněny v úvodním ustanovení § 1 nařízení.</w:t>
      </w:r>
    </w:p>
    <w:p w:rsidR="00A77B3E">
      <w:pPr>
        <w:pStyle w:val="8"/>
      </w:pPr>
      <w:r>
        <w:t>Součástí každé z tabulek uvedených v přílohách nařízení zůstává nad rámec výslovného zákonného zmocnění také sloupec obsahující údaje o tom, kterému uživateli nebo uživatelům se příslušné údaje zpřístupňují způsobem podle § 26 zákona o JMHZ, a to s uvedením odkazu na příslušný zvláštní právní předpis (popř. zákon o JMHZ), v němž je stanovena povinnost zaměstnavatelů sdělovat daný údaj prostřednictvím jednotného měsíčního hlášení orgánu veřejné moci, který je v pozici tohoto uživatele.</w:t>
      </w:r>
    </w:p>
    <w:p w:rsidR="00A77B3E">
      <w:pPr>
        <w:pStyle w:val="9"/>
      </w:pPr>
      <w:r>
        <w:t>Na základě výjimky stanovené usnesením vlády č. 175 ze dne 23. března 2026 není k tomuto návrhu zpracováno hodnocení dopadů regulace (RIA).</w:t>
      </w:r>
    </w:p>
    <w:p w:rsidR="00A77B3E">
      <w:pPr>
        <w:pStyle w:val="6"/>
      </w:pPr>
      <w:r>
        <w:t>2.</w:t>
      </w:r>
      <w:r>
        <w:t>   Zhodnocení souladu navrhované právní úpravy se zákonem, k jehož provedení je navržena, včetně souladu se zákonným zmocněním k jejímu vydání, je-li nařízení vlády navrhováno na základě tohoto zmocnění</w:t>
      </w:r>
    </w:p>
    <w:p w:rsidR="00A77B3E">
      <w:pPr>
        <w:pStyle w:val="10"/>
      </w:pPr>
      <w:r>
        <w:t>Návrh novely nařízení vlády pro plnění informačních povinností zaměstnavatele se předkládá na základě zmocňovacích ustanovení v § 6 odst. 4, § 9 odst. 4, § 11 odst. 6, § 16 odst. 4, § 18 odst. 4 a § 31 odst. 5 zákona o JMHZ a je s nimi v souladu.</w:t>
      </w:r>
    </w:p>
    <w:p w:rsidR="00A77B3E">
      <w:pPr>
        <w:pStyle w:val="6"/>
      </w:pPr>
      <w:r>
        <w:t>3.</w:t>
      </w:r>
      <w:r>
        <w:t>   Zhodnocení souladu navrhované právní úpravy s předpisy Evropské unie, judikaturou soudních orgánů Evropské unie a obecnými právními zásadami práva Evropské unie (čl. 2 odst. 1 písm. a), f) a g) metodických pokynů), pokud se na vztahy, jež mají být předmětem právní úpravy, vztahují, s uvedením těchto předpisů Evropské unie, judikatury soudních orgánů Evropské unie a obecných právních zásad práva Evropské unie a jejich základní charakteristiky; zhodnocení se provede způsobem podle čl. 9 odst. 2 písm. e)</w:t>
      </w:r>
    </w:p>
    <w:p w:rsidR="00A77B3E">
      <w:pPr>
        <w:pStyle w:val="7"/>
      </w:pPr>
      <w:r>
        <w:t>Vzhledem k tomu, že jedním z uživatelů sbíraných údajů je, v potřebném rozsahu, Český statistický úřad, existuje souvislost navrhované právní úpravy s nařízením Evropského parlamentu a Rady (ES) č. 223/2009 ze dne 11. března 2009 o evropské statistice, v platném znění, kterým se stanoví právo národních statistických úřadů na rychlý a bezplatný přístup a využívání všech administrativních záznamů v systému veřejné správy a právo integrovat tyto záznamy do statistik a do databází administrativních údajů, bez ohledu na to, jaký je primární účel jejich vedení. V tomto ohledu návrh naplňuje požadavky citovaného nařízení, a je tak v souladu s tímto právním přepisem Evropské unie. Efektivnější výkon státní statistické služby, vyplývající z navrhované úpravy, bude mít pozitivní dopady i na naplňování cílů úmluvy Mezinárodní organizace práce č. 160 o statistikách práce, kterou je Česká republika vázána a jež byla ve Sbírce zákonů vyhlášena pod č. 144/1988 Sb.</w:t>
      </w:r>
    </w:p>
    <w:p w:rsidR="00A77B3E">
      <w:pPr>
        <w:pStyle w:val="8"/>
      </w:pPr>
      <w:r>
        <w:t>Prostřednictvím JMHZ je, pokud jde o evropskou legislativu, realizován sběr údajů pro plnění povinností členského státu vyplývajících z nařízení Evropského parlamentu a Rady (EU) 2025/941 ze dne 7. května 2025 o statistikách trhu práce Evropské unie týkající se podniků a o zrušení nařízení rady (ES) č. 530/1999 a nařízení Evropského parlamentu a Rady (ES) č. 450/2003 a (ES) č. 453/2008, v platném znění, nařízení Evropského parlamentu a Rady (ES) č. 450/2003 ze dne 27. února 2003 o indexu nákladů práce, v platném znění, nařízení Evropského parlamentu a Rady (EU) 2019/2152 ze dne 27. listopadu 2019 o evropských podnikových statistikách a zrušení deseti právních aktů v oblasti podnikových statistik, v platném znění.</w:t>
      </w:r>
    </w:p>
    <w:p w:rsidR="00A77B3E">
      <w:pPr>
        <w:pStyle w:val="9"/>
      </w:pPr>
      <w:r>
        <w:t>Návrh nařízení vlády upravuje podobu datových vět pro registraci zaměstnavatele, registraci zaměstnance a měsíčního hlášení. Podoba datové věty pro tato hlášení je předmětem pouze vnitrostátní legislativy.</w:t>
      </w:r>
    </w:p>
    <w:p w:rsidR="00A77B3E">
      <w:pPr>
        <w:pStyle w:val="6"/>
      </w:pPr>
      <w:r>
        <w:t>4.</w:t>
      </w:r>
      <w:r>
        <w:t>   Zhodnocení platného právního stavu a odůvodnění nezbytnosti jeho změny, je-li navrhována novela nařízení vlády</w:t>
      </w:r>
    </w:p>
    <w:p w:rsidR="00A77B3E">
      <w:pPr>
        <w:pStyle w:val="10"/>
      </w:pPr>
      <w:r>
        <w:t>Charakter JMHZ slučujícího informační povinnosti zaměstnavatelů z principu předpokládá, že se rozsah těchto povinností bude v čase měnit, zejména na základě vývoje právních předpisů, které tyto povinnosti ukládají, což bude vyžadovat pravidelnou (přičemž se vychází z obecného záměru jednoroční frekvence, vždy k 1. lednu) novelizaci (aktualizaci) příslušného nařízení vlády.</w:t>
      </w:r>
    </w:p>
    <w:p w:rsidR="00A77B3E">
      <w:pPr>
        <w:pStyle w:val="6"/>
      </w:pPr>
      <w:r>
        <w:t>5.</w:t>
      </w:r>
      <w:r>
        <w:t>   Předpokládaný hospodářský a finanční dopad navrhované právní úpravy na státní rozpočet, ostatní veřejné rozpočty a na podnikatelské prostředí České republiky</w:t>
      </w:r>
    </w:p>
    <w:p w:rsidR="00A77B3E">
      <w:pPr>
        <w:pStyle w:val="7"/>
      </w:pPr>
      <w:r>
        <w:t>Návrh novely nařízení vlády nebude mít dopad do státního rozpočtu, na ostatní veřejné rozpočty a na podnikatelské prostředí České republiky. Návrhem nařízení vlády se stanoví aktualizovaná podoba datových vět pro registraci zaměstnavatele, zaměstnance a jednotného měsíčního hlášení.</w:t>
      </w:r>
    </w:p>
    <w:p w:rsidR="00A77B3E">
      <w:pPr>
        <w:pStyle w:val="8"/>
      </w:pPr>
      <w:r>
        <w:t>Aktualizace informačních povinností může přinést jednorázové nebo krátkodobé náklady podnikatelských subjektů nebo obecně subjektů, které provádějí hlášení údajů vůči orgánům veřejné moci, které však nevyplývají z tohoto návrhu nařízení vlády, ale z jiných právních předpisů, které informační povinnosti stanovují.</w:t>
      </w:r>
    </w:p>
    <w:p w:rsidR="00A77B3E">
      <w:pPr>
        <w:pStyle w:val="9"/>
      </w:pPr>
      <w:r>
        <w:t>Tato novela nařízení vlády je tak pouhým prováděcím právním předpisem, který definuje přesnou strukturu údajů hlášených prostřednictvím JMHZ. Samotná formalizace podoby hlášených údajů v návrhu novely nařízení vlády nepřináší žádné finanční dopady.</w:t>
      </w:r>
    </w:p>
    <w:p w:rsidR="00A77B3E">
      <w:pPr>
        <w:pStyle w:val="6"/>
      </w:pPr>
      <w:r>
        <w:t>6.</w:t>
      </w:r>
      <w:r>
        <w:t>   Zhodnocení, zda návrhem nařízení vlády není zakládána veřejná podpora</w:t>
      </w:r>
    </w:p>
    <w:p w:rsidR="00A77B3E">
      <w:pPr>
        <w:pStyle w:val="10"/>
      </w:pPr>
      <w:r>
        <w:t>Návrhem novely nařízení vlády není zakládána veřejná podpora.</w:t>
      </w:r>
    </w:p>
    <w:p w:rsidR="00A77B3E">
      <w:pPr>
        <w:pStyle w:val="6"/>
      </w:pPr>
      <w:r>
        <w:t>7.</w:t>
      </w:r>
      <w:r>
        <w:t>   Zhodnocení dopadů na práva a povinnosti fyzických a právnických osob</w:t>
      </w:r>
    </w:p>
    <w:p w:rsidR="00A77B3E">
      <w:pPr>
        <w:pStyle w:val="10"/>
      </w:pPr>
      <w:r>
        <w:t>Návrh novely nařízení vlády na vymezení práv a povinností fyzických a právnických osob, které jsou v pozici zaměstnavatele, nic nemění, stanoví strukturu jednotlivých datových vět na základě zmocnění v zákoně o JMHZ. Povinnosti poskytovat údaje jsou zakotveny v jednotlivých zvláštních právních předpisech.</w:t>
      </w:r>
    </w:p>
    <w:p w:rsidR="00A77B3E">
      <w:pPr>
        <w:pStyle w:val="6"/>
      </w:pPr>
      <w:r>
        <w:t>8.</w:t>
      </w:r>
      <w:r>
        <w:t>   Zhodnocení sociálních dopadů, včetně dopadů na specifické skupiny obyvatel, zejména osoby sociálně slabé, osoby se zdravotním postižením a národnostní menšiny, dopadů na ochranu práv dětí a dopadů na životní prostředí</w:t>
      </w:r>
    </w:p>
    <w:p w:rsidR="00A77B3E">
      <w:pPr>
        <w:pStyle w:val="10"/>
      </w:pPr>
      <w:r>
        <w:t>Návrh novely nařízení vlády nemá žádné sociální dopady, včetně dopadů na specifické skupiny obyvatel, tj. osoby sociálně slabé, osoby se zdravotním postižením a národnostní menšiny. Navrhovaná právní úprava nemá dopad na životní prostředí.</w:t>
      </w:r>
    </w:p>
    <w:p w:rsidR="00A77B3E">
      <w:pPr>
        <w:pStyle w:val="6"/>
      </w:pPr>
      <w:r>
        <w:t>9.</w:t>
      </w:r>
      <w:r>
        <w:t>   Zhodnocení současného stavu a dopadů navrhovaného řešení ve vztahu k zákazu diskriminace a ve vztahu k rovnosti mužů a žen; zhodnocení musí obsahovat vysvětlení příčin případných rozdílů, očekávaných dopadů nebo očekávaného vývoje, s využitím statistických a jiných údajů, jsou-li tyto údaje k dispozici</w:t>
      </w:r>
    </w:p>
    <w:p w:rsidR="00A77B3E">
      <w:pPr>
        <w:pStyle w:val="10"/>
      </w:pPr>
      <w:r>
        <w:t>Návrh novely nařízení vlády nebude mít dopad na oblast zákazu diskriminace ani ve vztahu k rovnosti mužů a žen.</w:t>
      </w:r>
    </w:p>
    <w:p w:rsidR="00A77B3E">
      <w:pPr>
        <w:pStyle w:val="6"/>
      </w:pPr>
      <w:r>
        <w:t>10.</w:t>
      </w:r>
      <w:r>
        <w:t>   Zhodnocení dopadů navrhovaného řešení ve vztahu k ochraně soukromí a osobních údajů, které musí obsahovat vysvětlení účelu navrhovaného zpracování osobních údajů a popis návaznosti na stávající nebo již připravovaná zpracování osobních údajů, posouzení navrhovaného řešení zpracování z hlediska nezbytnosti a přiměřenosti ve vztahu k jím sledovanému účelu a posouzení rizik pro práva a svobody fyzických osob a možných opatření k jejich snížení</w:t>
      </w:r>
    </w:p>
    <w:p w:rsidR="00A77B3E">
      <w:pPr>
        <w:pStyle w:val="10"/>
      </w:pPr>
      <w:r>
        <w:t>Návrhem novely nařízení vlády je definována struktura údajů, které budou posílány na základě zmocnění v zákoně o JMHZ. Rozsah údajů předávaných zaměstnavateli podle návrhu zákona o JMHZ stanoví zvláštní předpisy.</w:t>
      </w:r>
    </w:p>
    <w:p w:rsidR="00A77B3E">
      <w:pPr>
        <w:pStyle w:val="6"/>
      </w:pPr>
      <w:r>
        <w:t>11.</w:t>
      </w:r>
      <w:r>
        <w:t>   Zhodnocení korupčních rizik</w:t>
      </w:r>
    </w:p>
    <w:p w:rsidR="00A77B3E">
      <w:pPr>
        <w:pStyle w:val="10"/>
      </w:pPr>
      <w:r>
        <w:t>Návrh novely nařízení vlády nepřináší žádná korupční rizika.</w:t>
      </w:r>
    </w:p>
    <w:p w:rsidR="00A77B3E">
      <w:pPr>
        <w:pStyle w:val="6"/>
      </w:pPr>
      <w:r>
        <w:t>12.</w:t>
      </w:r>
      <w:r>
        <w:t>   Zhodnocení dopadů na bezpečnost nebo obranu státu</w:t>
      </w:r>
    </w:p>
    <w:p w:rsidR="00A77B3E">
      <w:pPr>
        <w:pStyle w:val="10"/>
      </w:pPr>
      <w:r>
        <w:t>Návrh novely nařízení vlády nemá dopad na bezpečnost nebo obranu státu. Údaje o příslušnících bezpečnostních složek Ministerstva vnitra a Ministerstva obrany budou sice nově od roku 2027 předávány Ministerstvu práce a sociálních věcí, dopady na bezpečnost nebo obranu jsou ale minimalizovány zvláštní úpravou (omezeným rozsahem datové věty a oddělenou správou zabezpečeného uložiště údajů) pro příslušníky Bezpečnostních sborů a Armády ČR.</w:t>
      </w:r>
    </w:p>
    <w:p w:rsidR="00A77B3E">
      <w:pPr>
        <w:pStyle w:val="6"/>
      </w:pPr>
      <w:r>
        <w:t>13.</w:t>
      </w:r>
      <w:r>
        <w:t>   Zhodnocení dopadů na rodiny, zejména s ohledem na plnění funkcí rodiny,</w:t>
      </w:r>
      <w:r>
        <w:br/>
      </w:r>
      <w:r>
        <w:t>s ohledem na počet vyživovaných členů, na případnou přítomnost hendikepovaných členů a rodiny samoživitelů, rodiny se třemi a více dětmi a další specifické životní situace, dále s ohledem na posílení integrity a stability rodiny a posílení rodinné harmonie, lepší rovnováhy mezi prací a rodinou a na posílení mezigeneračních a širších příbuzenských vztahů; zhodnocení musí obsahovat vysvětlení příčin případných rozdílů, očekávaných dopadů nebo očekávaného vývoje, s využitím statistických nebo jiných údajů, jsou-li tyto údaje k dispozici</w:t>
      </w:r>
    </w:p>
    <w:p w:rsidR="00A77B3E">
      <w:pPr>
        <w:pStyle w:val="10"/>
      </w:pPr>
      <w:r>
        <w:t>Návrh novely nařízení vlády nemá dopady na problematiku rodin.</w:t>
      </w:r>
    </w:p>
    <w:p w:rsidR="00A77B3E">
      <w:pPr>
        <w:pStyle w:val="6"/>
      </w:pPr>
      <w:r>
        <w:t>14.</w:t>
      </w:r>
      <w:r>
        <w:t>   Zhodnocení územních dopadů, včetně dopadů na územní samosprávné celky</w:t>
      </w:r>
    </w:p>
    <w:p w:rsidR="00A77B3E">
      <w:pPr>
        <w:pStyle w:val="10"/>
      </w:pPr>
      <w:r>
        <w:t>Návrh novely nařízení vlády nepřináší žádné územní dopady, včetně dopadů na územní samosprávné celky.</w:t>
      </w:r>
    </w:p>
    <w:p w:rsidR="00A77B3E">
      <w:pPr>
        <w:pStyle w:val="6"/>
      </w:pPr>
      <w:r>
        <w:t>15.</w:t>
      </w:r>
      <w:r>
        <w:t>   Zhodnocení souladu navrhovaného řešení se zásadami tvorby digitálně přívětivé legislativy, včetně zhodnocení rizika vyloučení nebo omezení možnosti přístupu specifických skupin osob k některým službám v důsledku digitalizace jejich poskytování (digitální vyloučení)</w:t>
      </w:r>
    </w:p>
    <w:p w:rsidR="00A77B3E">
      <w:pPr>
        <w:pStyle w:val="10"/>
      </w:pPr>
      <w:r>
        <w:t>S ohledem na svůj charakter je návrh novely nařízení vlády v souladu se zásadami digitálně přívětivé legislativy v rozsahu, v jakém jsou s nimi v souladu jednotlivé právní předpisy stanovující povinnosti zaměstnavatelů realizované prostřednictvím JMHZ.</w:t>
      </w:r>
    </w:p>
    <w:p w:rsidR="00A77B3E">
      <w:pPr>
        <w:pStyle w:val="1"/>
      </w:pPr>
    </w:p>
    <w:p w:rsidR="00A77B3E">
      <w:pPr>
        <w:pStyle w:val="5"/>
      </w:pPr>
      <w:r>
        <w:t>II. Zvláštní část</w:t>
      </w:r>
    </w:p>
    <w:p w:rsidR="00A77B3E">
      <w:pPr>
        <w:pStyle w:val="7"/>
      </w:pPr>
      <w:r>
        <w:t>Čl. I</w:t>
      </w:r>
    </w:p>
    <w:p w:rsidR="00A77B3E">
      <w:pPr>
        <w:pStyle w:val="8"/>
      </w:pPr>
      <w:r>
        <w:rPr>
          <w:u w:val="single"/>
        </w:rPr>
        <w:t>K bodům 1 až 3</w:t>
      </w:r>
    </w:p>
    <w:p w:rsidR="00A77B3E">
      <w:pPr>
        <w:pStyle w:val="8"/>
      </w:pPr>
      <w:r>
        <w:t>S ohledem na zrušení zákona č. 234/2014 Sb., o státní službě zaniká dosavadní institut služebního poměru podle tohoto zákona a nahrazuje jej běžný pracovněprávní vztah. Návrh nařízení reaguje na novou situaci tím, že vypouští text odkazující na služební poměr. Současně dochází k legislativně technickým úpravám, které zohledňují vypuštění tohoto institutu.</w:t>
      </w:r>
    </w:p>
    <w:p w:rsidR="00A77B3E">
      <w:pPr>
        <w:pStyle w:val="8"/>
      </w:pPr>
      <w:r>
        <w:t>Podle navrženého znění zákona bude ode dne nabytí účinnosti zákona se státním zaměstnancem uzavírána pracovní smlouva a dnem nástupu do zaměstnání bude den vzniku služebního poměru nebo i den dřívější, nedojde-li k přerušení trvání pracovního vztahu. Nebude vydáváno nové ID PPV, státní zaměstnanec bude po „překlopení“ do pracovního poměru evidován pod stávajícím identifikátorem.</w:t>
      </w:r>
    </w:p>
    <w:p w:rsidR="00A77B3E">
      <w:pPr>
        <w:pStyle w:val="8"/>
      </w:pPr>
      <w:r>
        <w:rPr>
          <w:u w:val="single"/>
        </w:rPr>
        <w:t>K bodům 4 až 6</w:t>
      </w:r>
    </w:p>
    <w:p w:rsidR="00A77B3E">
      <w:pPr>
        <w:pStyle w:val="8"/>
      </w:pPr>
      <w:r>
        <w:t>Na základě intenzivní diskuse se zástupci bezpečnostních sborů před jejich faktickým zapojením do JMHZ se ukázala potřeba rozšířit jejich povinnosti v rámci evidence zaměstnance o zasílání údajů souvisejících i s odhlášením zaměstnance a se změnou údajů u zaměstnance, a to z důvodu potřeby udržovat údaje v evidenci zaměstnanců i u těchto zaměstnanců aktuální tak, aby je mohli uživatelé údajů efektivně využívat, neboť i u zaměstnanců bezpečnostních sborů může dojít ke změně relevantních evidovaných údajů resp. ukončení zaměstnání.</w:t>
      </w:r>
    </w:p>
    <w:p w:rsidR="00A77B3E">
      <w:pPr>
        <w:pStyle w:val="8"/>
      </w:pPr>
      <w:r>
        <w:rPr>
          <w:u w:val="single"/>
        </w:rPr>
        <w:t>K bodu 7</w:t>
      </w:r>
    </w:p>
    <w:p w:rsidR="00A77B3E">
      <w:pPr>
        <w:pStyle w:val="8"/>
      </w:pPr>
      <w:r>
        <w:t>V příloze 1 nařízení vlády jsou aktualizovány tabulky údajů sdělovaných v rámci jednotlivých typů měsíčního hlášení. Jde jednak o úpravy vyplývající ze změn právních předpisů, které informační povinnosti plněné prostřednictvím JMHZ ukládají, a dále pak o úpravy vyplývající z praktických zkušeností. Konkrétně se jedná o úpravy názvů některých údajů tak, aby lépe (přesněji) vystihovaly jejich věcný obsah, přičemž se jedná zejména o údaje související s ročním zúčtováním daně, zrušením institutu srážkové daně a dále pak s placeným pojistným. Dále došlo ke zrušení (resp. sloučení) některých hlášených údajů jako např. u daňově uznatelných příspěvků zaměstnavatele (doplňkové penzijní spoření, dlouhodobá péče atd.). Na druhou stranu došlo k přidání (resp. rozdělení stávajících) údajů jako např. u hlášených údajů o práci v tzv. náročných profesích. Nově byly rovněž doplněny údaje nezbytné pro plnění nových informačních povinností souvisejících s připravovanou právní úpravou transparentnosti odměňování, zejména v souvislosti s agenturním zaměstnáváním a rozšířením okruhu údajů sledovaných u státních zástupců. V neposlední řadě došlo k úpravám uživatelů u některých údajů, kdy nejzásadnějším bylo v souladu se zákonem o JMHZ přidání nového uživatele údajů, kterým je Ministerstvo spravedlnosti a dále v návaznosti na novelu zákona o ochraně veřejného zdraví zařazení Ministerstva zdravotnictví a krajských hygienických stanic.</w:t>
      </w:r>
    </w:p>
    <w:p w:rsidR="00A77B3E">
      <w:pPr>
        <w:pStyle w:val="8"/>
      </w:pPr>
      <w:r>
        <w:t>Součástí každé z tabulek uvedených v přílohách nařízení zůstává nad rámec výslovného zákonného zmocnění také sloupec obsahující údaje o tom, kterému uživateli nebo uživatelům se příslušné údaje zpřístupňují způsobem podle § 26 zákona o JMHZ, a to s uvedením odkazu na příslušný zvláštní právní předpis (popř. zákon o JMHZ), v němž je stanovena povinnost zaměstnavatelů sdělovat daný údaj orgánu veřejné moci, který je v pozici tohoto uživatele.</w:t>
      </w:r>
    </w:p>
    <w:p w:rsidR="00A77B3E">
      <w:pPr>
        <w:pStyle w:val="8"/>
      </w:pPr>
      <w:r>
        <w:rPr>
          <w:u w:val="single"/>
        </w:rPr>
        <w:t>K bodu 8</w:t>
      </w:r>
    </w:p>
    <w:p w:rsidR="00A77B3E">
      <w:pPr>
        <w:pStyle w:val="8"/>
      </w:pPr>
      <w:r>
        <w:t>V příloze 2 částech A a B se přiměřeným způsobem promítly změny uváděné u přílohy 1, které mají dopad na údaje hlášené za zaměstnance bezpečnostních sborů a vojáky v činné službě. Úpravy souvisí především s upřesněním procesů v oblasti registrace zaměstnance ze strany Ministerstva vnitra a Ministerstva obrany, kdy se vedle registrace zaměstnance doplňuje také odhlášení z evidence zaměstnanců a změna evidovaného údaje u zaměstnance. Doplnění reaguje na potřebu udržovat údaje vedené v evidenci zaměstnanců i u těchto zaměstnanců aktuální, zejména s ohledem na možnost změny relevantních evidovaných údajů nebo ukončení služebního poměru. Úpravy dále souvisí s upřesněním atributů, které budou užívat Finanční správa a Český statistický úřad pro výkon svých agend. Současně se v souhrnné části hlášení doplňují údaje určené pouze pro příslušníky bezpečnostních sborů a vojáky v činné službě, a to údaje o objemu prostředků na služební příjmy příslušníků a o průměrném evidenčním počtu příslušníků v přepočteném vyjádření. Doplnění těchto údajů navazuje na zvláštní obsahovou strukturu podání týkajících se příslušníků bezpečnostních sborů a vojáků v činné službě a umožňuje samostatně zachytit souhrnné údaje za tuto skupinu osob pro potřeby příslušných uživatelů údajů. Dále proběhlo přidání nového uživatele údajů, kterým je Ministerstvo spravedlnosti, a to z důvodů uvedených v bodě 10 zvláštní části této důvodové zprávy.</w:t>
      </w:r>
    </w:p>
    <w:p w:rsidR="00A77B3E">
      <w:pPr>
        <w:pStyle w:val="8"/>
      </w:pPr>
      <w:r>
        <w:rPr>
          <w:u w:val="single"/>
        </w:rPr>
        <w:t>K bodu 9</w:t>
      </w:r>
    </w:p>
    <w:p w:rsidR="00A77B3E">
      <w:pPr>
        <w:pStyle w:val="8"/>
      </w:pPr>
      <w:r>
        <w:t>V příloze 3 týkající se evidence zaměstnavatele je zejména v souladu se zákonem o JMHZ přidán nový uživatel údajů, kterým je Ministerstvo spravedlnosti. Doplnění navazuje na nový § 430c zákona č. 182/2006 Sb., o úpadku a způsobech jeho řešení (insolvenční zákon), ve znění účinném od 1. ledna 2027, který stanoví povinnost poskytovat Ministerstvu spravedlnosti prostřednictvím JMHZ souhrnné údaje za zaměstnavatele a údaje za jednotlivé zaměstnance potřebné pro výkon jeho působnosti, zejména v oblasti tvorby návrhů právních předpisů, hodnocení dopadů regulace a jiných legislativních činností.</w:t>
      </w:r>
    </w:p>
    <w:p w:rsidR="00A77B3E">
      <w:pPr>
        <w:pStyle w:val="8"/>
      </w:pPr>
      <w:r>
        <w:t>Dále jsou v návaznosti na připravovanou právní úpravu platformové práce mezi uživatele údajů zařazeny Státní úřad inspekce práce a oblastní inspektoráty práce. Návrh zákona o platformové práci stanoví evidenční povinnost platforem prostřednictvím evidence zaměstnavatelů podle zákona o JMHZ. Platformy budou povinny prostřednictvím evidence zaměstnavatelů sdělit zákonem stanovené údaje, zejména údaj o tom, že jsou platformou, a údaj o tom, kde a jakým způsobem zpřístupňují informace o platformové práci podle zákona o platformové práci.</w:t>
      </w:r>
    </w:p>
    <w:p w:rsidR="00A77B3E">
      <w:pPr>
        <w:pStyle w:val="8"/>
      </w:pPr>
      <w:r>
        <w:t>Uvedené změny mají rozdílný dopad z hlediska rozsahu údajů hlášených prostřednictvím JMHZ. V případě Ministerstva spravedlnosti jde o doplnění nového uživatele údajů, který bude čerpat již hlášené údaje, aniž by tím docházelo k rozšíření rozsahu údajů hlášených zaměstnavateli. V případě platforem se v návaznosti na novou právní úpravu platformové práce doplňují nové údaje hlášené prostřednictvím evidence zaměstnavatelů.</w:t>
      </w:r>
    </w:p>
    <w:p w:rsidR="00A77B3E">
      <w:pPr>
        <w:pStyle w:val="8"/>
      </w:pPr>
      <w:r>
        <w:rPr>
          <w:u w:val="single"/>
        </w:rPr>
        <w:t>K bodu 10</w:t>
      </w:r>
    </w:p>
    <w:p w:rsidR="00A77B3E">
      <w:pPr>
        <w:pStyle w:val="8"/>
      </w:pPr>
      <w:r>
        <w:t>V příloze 4 nařízení vlády jsou aktualizovány tabulky údajů sdělovaných v rámci evidence zaměstnance. Jde jednak o úpravy vyplývající ze změn právních předpisů, které informační povinnosti plněné prostřednictvím JMHZ ukládají, a dále pak o úpravy vyplývající z praktických zkušeností, které směřují k většímu či menšímu detailu hlášených údajů.</w:t>
      </w:r>
    </w:p>
    <w:p w:rsidR="00A77B3E">
      <w:pPr>
        <w:pStyle w:val="8"/>
      </w:pPr>
      <w:r>
        <w:t>Konkrétně se jedná zejména o úpravy názvů některých údajů tak, aby lépe vystihovaly jejich věcný obsah, byly v souladu s příslušnou právní úpravou nebo odpovídaly jejím změnám. Jde například o zpřesnění názvu údaje týkajícího se profese tak, aby bylo zřejmé, že se jedná o údaj podle Klasifikace zaměstnání, a o úpravu názvu údaje týkajícího se neodpracovaných hodin v důsledku čerpání dovolené tak, aby odpovídal aktuální právní terminologii. U údajů souvisejících se srážkovou daní se názvy upravují v návaznosti na novelu zákona č. 586/1992 Sb., o daních z příjmů, účinnou od 1. ledna 2027, podle níž se u vybraných příjmů ze závislé činnosti bez učiněného prohlášení k dani dosavadní režim srážkové daně nahrazuje samostatným základem pro výpočet zálohy na daň podle § 6 odst. 4 tohoto zákona.</w:t>
      </w:r>
    </w:p>
    <w:p w:rsidR="00A77B3E">
      <w:pPr>
        <w:pStyle w:val="8"/>
      </w:pPr>
      <w:r>
        <w:t>Dále došlo ke zrušení (resp. sloučení) některých hlášených údajů. Jedná se například o údaje týkající se odstupného, odchodného a odbytného, které se nově slučují do jednoho souhrnného údaje, neboť jedinému uživateli údajů, který tyto údaje využívá, postačuje jejich souhrnné sledování. V neposlední řadě došlo k úpravám uživatelů u některých údajů, kdy nejzásadnějším bylo v souladu se zákonem o JMHZ přidání nového uživatele údajů, kterým je Ministerstvo spravedlnosti.</w:t>
      </w:r>
    </w:p>
    <w:p w:rsidR="00A77B3E">
      <w:pPr>
        <w:pStyle w:val="8"/>
      </w:pPr>
      <w:r>
        <w:rPr>
          <w:u w:val="single"/>
        </w:rPr>
        <w:t>K bodu 11</w:t>
      </w:r>
    </w:p>
    <w:p w:rsidR="00A77B3E">
      <w:pPr>
        <w:pStyle w:val="8"/>
      </w:pPr>
      <w:r>
        <w:t>V příloze 5 nařízení vlády je aktualizován úhrnný seznam hlášených údajů, a to směrem k úpravám názvů, odebrání nebo naopak přidání údajů. Jelikož úpravy této přílohy odrážejí změny provedené v přílohách návrhu novely nařízení vlády, které vymezují údaje hlášené v jednotném měsíčním hlášení zaměstnavatele, v evidenci zaměstnavatelů a v evidenci zaměstnanců, je bližší popis věcných důvodů jednotlivých změn uveden u příslušných částí zvláštní části důvodové zprávy.</w:t>
      </w:r>
    </w:p>
    <w:p w:rsidR="00A77B3E">
      <w:pPr>
        <w:pStyle w:val="8"/>
      </w:pPr>
      <w:r>
        <w:rPr>
          <w:u w:val="single"/>
        </w:rPr>
        <w:t>K bodu 12</w:t>
      </w:r>
    </w:p>
    <w:p w:rsidR="00A77B3E">
      <w:pPr>
        <w:pStyle w:val="8"/>
      </w:pPr>
      <w:r>
        <w:t>V příloze 6 nařízení vlády jsou aktualizovány propustné kontroly. Jde o úpravy vyplývající z praktických zkušeností, v jejichž důsledku bylo vypuštěno pět propustných kontrol z důvodu optimalizace systému nebo s ohledem na skutečnost, že se neuplatňují v rámci automatizovaného zpracování podání v informačních systémech, a u jedné další kontroly byla její povaha změněna z propustné na nepropustnou. Konkrétně se jedná o kontrolu IDK 290, která se vztahuje k uplatnění slevy na pojistném zaměstnavatele. Tato kontrola byla původně zamýšlena jako nepropustná, avšak v katalogu kontrol byla nedopatřením označena jako propustná. Změnou na nepropustnou kontrolu se zajišťuje, aby zaměstnavatel nemohl v podání učiněném po zákonem stanovené lhůtě, zejména v opravném podání, uplatnit slevu na pojistném zaměstnavatele nebo vykázat vyšší slevu, než kterou uplatnil ve lhůtě splatnosti pojistného.</w:t>
      </w:r>
    </w:p>
    <w:p w:rsidR="00A77B3E">
      <w:pPr>
        <w:pStyle w:val="8"/>
      </w:pPr>
      <w:r>
        <w:rPr>
          <w:u w:val="single"/>
        </w:rPr>
        <w:t>K bodu 13</w:t>
      </w:r>
    </w:p>
    <w:p w:rsidR="00A77B3E">
      <w:pPr>
        <w:pStyle w:val="8"/>
      </w:pPr>
      <w:r>
        <w:t>V příloze 7 nařízení vlády je doplněn zákon č. 182/2006 Sb., o úpadku a způsobech jeho řešení (insolvenční zákon), ve znění pozdějších předpisů, jako právní předpis, který ukládá reportovací povinnosti zaměstnavatelům vůči Ministerstvu spravedlnosti. Současně je doplněn zákon o platformové práci v souvislosti s novými povinnostmi týkajícími se digitálních pracovních platforem. Dále je doplněn zákoník práce v návaznosti na připravovanou právní úpravu transparentnosti odměňování. Promítají se rovněž změny týkající se zákona o ochraně veřejného zdraví v návaznosti na rozšíření okruhu údajů zpřístupňovaných Ministerstvu zdravotnictví a krajským hygienickým stanicím o údaje týkající se zaměstnanců vykonávajících práce zařazené do příslušných kategorií rizika.</w:t>
      </w:r>
    </w:p>
    <w:p w:rsidR="00A77B3E">
      <w:pPr>
        <w:pStyle w:val="8"/>
      </w:pPr>
      <w:r>
        <w:rPr>
          <w:u w:val="single"/>
        </w:rPr>
        <w:t>K bodu 14</w:t>
      </w:r>
    </w:p>
    <w:p w:rsidR="00A77B3E">
      <w:pPr>
        <w:pStyle w:val="8"/>
      </w:pPr>
      <w:r>
        <w:t>V příloze 8 nařízení vlády, která obsahuje seznam použitých zkratek, je doplněno Ministerstvo spravedlnosti, Ministerstvo zdravotnictví a krajské hygienické stanice a dále Státní úřad inspekce práce a oblastní inspektoráty práce. Jde o legislativně technickou úpravu navazující na doplnění těchto orgánů mezi uživatele údajů v ostatních přílohách nařízení vlády.</w:t>
      </w:r>
    </w:p>
    <w:p w:rsidR="00A77B3E">
      <w:pPr>
        <w:pStyle w:val="8"/>
      </w:pPr>
      <w:r>
        <w:t>Čl. II</w:t>
      </w:r>
    </w:p>
    <w:p w:rsidR="00A77B3E">
      <w:pPr>
        <w:pStyle w:val="9"/>
      </w:pPr>
      <w:r>
        <w:t>Toto nařízení nabývá účinnosti dnem 1. ledna 2027.</w:t>
      </w:r>
    </w:p>
    <w:p w:rsidR="00A77B3E">
      <w:pPr>
        <w:pStyle w:val="1"/>
      </w:pPr>
    </w:p>
    <w:sectPr>
      <w:headerReference w:type="even" r:id="rId4"/>
      <w:headerReference w:type="default" r:id="rId5"/>
      <w:headerReference w:type="first" r:id="rId6"/>
      <w:pgSz w:w="12240" w:h="15840"/>
      <w:pgMar w:top="1417" w:right="1417" w:bottom="1417" w:left="1417" w:header="400" w:footer="708" w:gutter="0"/>
      <w:pgNumType w:start="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Důvodová zpráva</w:t>
          </w:r>
        </w:p>
      </w:tc>
      <w:tc>
        <w:tcPr>
          <w:tcW w:w="1000" w:type="pct"/>
        </w:tcPr>
        <w:p>
          <w:pPr>
            <w:pStyle w:val="Hlavicka"/>
            <w:jc w:val="right"/>
          </w:pP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  <w:r>
            <w:t>Uzavřená verze: 2026-0163-001-TVO</w:t>
          </w: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1881"/>
      <w:gridCol w:w="2822"/>
      <w:gridCol w:w="2822"/>
      <w:gridCol w:w="1881"/>
    </w:tblGrid>
    <w:tr>
      <w:tblPrEx>
        <w:tblW w:w="5000" w:type="pct"/>
      </w:tblPrEx>
      <w:tc>
        <w:tcPr>
          <w:tcW w:w="2500" w:type="pct"/>
          <w:gridSpan w:val="4"/>
        </w:tcPr>
        <w:p>
          <w:pPr>
            <w:pStyle w:val="HlavickaZlutyText"/>
            <w:jc w:val="center"/>
          </w:pPr>
        </w:p>
      </w:tc>
    </w:tr>
    <w:tr>
      <w:tblPrEx>
        <w:tblW w:w="5000" w:type="pct"/>
        <w:tblBorders>
          <w:bottom w:val="single" w:sz="12" w:space="0" w:color="000000"/>
        </w:tblBorders>
      </w:tblPrEx>
      <w:tc>
        <w:tcPr>
          <w:tcW w:w="1000" w:type="pct"/>
        </w:tcPr>
        <w:p>
          <w:pPr>
            <w:pStyle w:val="Hlavicka"/>
            <w:jc w:val="left"/>
          </w:pPr>
        </w:p>
      </w:tc>
      <w:tc>
        <w:tcPr>
          <w:tcW w:w="3000" w:type="pct"/>
          <w:gridSpan w:val="2"/>
        </w:tcPr>
        <w:p>
          <w:pPr>
            <w:pStyle w:val="Hlavicka"/>
            <w:jc w:val="center"/>
          </w:pPr>
          <w:r>
            <w:t>Důvodová zpráva</w:t>
          </w:r>
        </w:p>
      </w:tc>
      <w:tc>
        <w:tcPr>
          <w:tcW w:w="1000" w:type="pct"/>
        </w:tcPr>
        <w:p>
          <w:pPr>
            <w:pStyle w:val="Hlavicka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  <w:tr>
      <w:tblPrEx>
        <w:tblW w:w="5000" w:type="pct"/>
      </w:tblPrEx>
      <w:tc>
        <w:tcPr>
          <w:tcW w:w="2500" w:type="pct"/>
          <w:gridSpan w:val="2"/>
        </w:tcPr>
        <w:p>
          <w:pPr>
            <w:pStyle w:val="Hlavicka"/>
            <w:jc w:val="left"/>
          </w:pPr>
        </w:p>
      </w:tc>
      <w:tc>
        <w:tcPr>
          <w:tcW w:w="2500" w:type="pct"/>
          <w:gridSpan w:val="2"/>
        </w:tcPr>
        <w:p>
          <w:pPr>
            <w:pStyle w:val="Hlavicka"/>
            <w:jc w:val="right"/>
          </w:pPr>
          <w:r>
            <w:t>Uzavřená verze: 2026-0163-001-TVO</w:t>
          </w:r>
        </w:p>
      </w:tc>
    </w:tr>
  </w:tbl>
  <w:p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9406"/>
    </w:tblGrid>
    <w:tr>
      <w:tblPrEx>
        <w:tblW w:w="5000" w:type="pct"/>
      </w:tblPrEx>
      <w:tc>
        <w:tcPr/>
        <w:p>
          <w:pPr>
            <w:pStyle w:val="HlavickaZlutyText"/>
            <w:jc w:val="center"/>
          </w:pPr>
        </w:p>
      </w:tc>
    </w:tr>
    <w:tr>
      <w:tblPrEx>
        <w:tblW w:w="5000" w:type="pct"/>
      </w:tblPrEx>
      <w:tc>
        <w:tcPr/>
        <w:p>
          <w:pPr>
            <w:pStyle w:val="Hlavicka"/>
            <w:jc w:val="right"/>
          </w:pPr>
        </w:p>
      </w:tc>
    </w:tr>
  </w:tbl>
  <w:p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lavicka">
    <w:name w:val="Hlavicka"/>
    <w:rPr>
      <w:i/>
      <w:sz w:val="20"/>
    </w:rPr>
  </w:style>
  <w:style w:type="paragraph" w:customStyle="1" w:styleId="HlavickaZlutyText">
    <w:name w:val="HlavickaZlutyText"/>
    <w:rPr>
      <w:i w:val="0"/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konec">
    <w:name w:val="Varianta_konec"/>
    <w:pPr>
      <w:pBdr>
        <w:bottom w:val="single" w:sz="8" w:space="0" w:color="80008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start">
    <w:name w:val="Ucinnost_start"/>
    <w:pPr>
      <w:pBdr>
        <w:top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konec">
    <w:name w:val="Ucinnost_konec"/>
    <w:pPr>
      <w:pBdr>
        <w:bottom w:val="single" w:sz="8" w:space="0" w:color="8B0000"/>
      </w:pBdr>
      <w:spacing w:before="0" w:after="10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Celex">
    <w:name w:val="Celex"/>
    <w:pPr>
      <w:spacing w:before="120" w:after="120"/>
      <w:jc w:val="left"/>
    </w:pPr>
    <w:rPr>
      <w:rFonts w:ascii="Times New Roman" w:eastAsia="Times New Roman" w:hAnsi="Times New Roman" w:cs="Times New Roman"/>
      <w:i/>
      <w:sz w:val="20"/>
    </w:rPr>
  </w:style>
  <w:style w:type="paragraph" w:customStyle="1" w:styleId="Pripominkystart">
    <w:name w:val="Pripominky_start"/>
    <w:pPr>
      <w:pBdr>
        <w:top w:val="single" w:sz="8" w:space="0" w:color="87CEFA"/>
      </w:pBdr>
      <w:spacing w:before="0" w:after="10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1">
    <w:name w:val="1"/>
    <w:pPr>
      <w:spacing w:before="11" w:after="0"/>
      <w:ind w:right="0"/>
      <w:jc w:val="left"/>
    </w:pPr>
    <w:rPr>
      <w:rFonts w:ascii="Times New Roman" w:eastAsia="Times New Roman" w:hAnsi="Times New Roman" w:cs="Times New Roman"/>
      <w:sz w:val="0"/>
    </w:rPr>
  </w:style>
  <w:style w:type="paragraph" w:customStyle="1" w:styleId="2">
    <w:name w:val="2"/>
    <w:pPr>
      <w:spacing w:before="57" w:after="0"/>
      <w:ind w:right="227"/>
      <w:jc w:val="right"/>
    </w:pPr>
    <w:rPr>
      <w:rFonts w:ascii="Times New Roman" w:eastAsia="Times New Roman" w:hAnsi="Times New Roman" w:cs="Times New Roman"/>
      <w:b/>
      <w:sz w:val="40"/>
    </w:rPr>
  </w:style>
  <w:style w:type="paragraph" w:customStyle="1" w:styleId="3">
    <w:name w:val="3"/>
    <w:pPr>
      <w:spacing w:before="0" w:after="340"/>
      <w:ind w:left="680" w:right="680"/>
      <w:jc w:val="center"/>
    </w:pPr>
    <w:rPr>
      <w:rFonts w:ascii="Times New Roman" w:eastAsia="Times New Roman" w:hAnsi="Times New Roman" w:cs="Times New Roman"/>
      <w:b/>
      <w:sz w:val="44"/>
    </w:rPr>
  </w:style>
  <w:style w:type="paragraph" w:customStyle="1" w:styleId="4">
    <w:name w:val="4"/>
    <w:pPr>
      <w:spacing w:before="340" w:after="113"/>
      <w:ind w:left="850" w:right="850"/>
      <w:jc w:val="center"/>
    </w:pPr>
    <w:rPr>
      <w:rFonts w:ascii="Times New Roman" w:eastAsia="Times New Roman" w:hAnsi="Times New Roman" w:cs="Times New Roman"/>
      <w:b/>
      <w:sz w:val="34"/>
    </w:rPr>
  </w:style>
  <w:style w:type="paragraph" w:customStyle="1" w:styleId="5">
    <w:name w:val="5"/>
    <w:pPr>
      <w:spacing w:before="510" w:after="0"/>
      <w:ind w:left="850" w:right="850"/>
      <w:jc w:val="center"/>
    </w:pPr>
    <w:rPr>
      <w:rFonts w:ascii="Times New Roman" w:eastAsia="Times New Roman" w:hAnsi="Times New Roman" w:cs="Times New Roman"/>
      <w:b/>
      <w:sz w:val="32"/>
    </w:rPr>
  </w:style>
  <w:style w:type="paragraph" w:customStyle="1" w:styleId="6">
    <w:name w:val="6"/>
    <w:pPr>
      <w:overflowPunct/>
      <w:spacing w:before="283" w:after="113"/>
      <w:ind w:left="340" w:right="0" w:hanging="340"/>
      <w:jc w:val="left"/>
    </w:pPr>
    <w:rPr>
      <w:rFonts w:ascii="Times New Roman" w:eastAsia="Times New Roman" w:hAnsi="Times New Roman" w:cs="Times New Roman"/>
      <w:b/>
      <w:sz w:val="26"/>
    </w:rPr>
  </w:style>
  <w:style w:type="paragraph" w:customStyle="1" w:styleId="Varianta6start">
    <w:name w:val="Varianta_6_start"/>
    <w:pPr>
      <w:pBdr>
        <w:top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Varianta6konec">
    <w:name w:val="Varianta_6_konec"/>
    <w:pPr>
      <w:pBdr>
        <w:bottom w:val="single" w:sz="8" w:space="0" w:color="80008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00080"/>
      <w:sz w:val="20"/>
    </w:rPr>
  </w:style>
  <w:style w:type="paragraph" w:customStyle="1" w:styleId="Ucinnost6start">
    <w:name w:val="Ucinnost_6_start"/>
    <w:pPr>
      <w:pBdr>
        <w:top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Ucinnost6konec">
    <w:name w:val="Ucinnost_6_konec"/>
    <w:pPr>
      <w:pBdr>
        <w:bottom w:val="single" w:sz="8" w:space="0" w:color="8B0000"/>
      </w:pBdr>
      <w:spacing w:before="0" w:after="100"/>
      <w:ind w:left="340"/>
      <w:jc w:val="left"/>
    </w:pPr>
    <w:rPr>
      <w:rFonts w:ascii="Times New Roman" w:eastAsia="Times New Roman" w:hAnsi="Times New Roman" w:cs="Times New Roman"/>
      <w:b/>
      <w:i/>
      <w:color w:val="8B0000"/>
      <w:sz w:val="20"/>
    </w:rPr>
  </w:style>
  <w:style w:type="paragraph" w:customStyle="1" w:styleId="Pripominky6start">
    <w:name w:val="Pripominky_6_start"/>
    <w:pPr>
      <w:pBdr>
        <w:top w:val="single" w:sz="8" w:space="0" w:color="87CEFA"/>
      </w:pBdr>
      <w:spacing w:before="0" w:after="100"/>
      <w:ind w:left="340"/>
      <w:jc w:val="right"/>
    </w:pPr>
    <w:rPr>
      <w:rFonts w:ascii="Times New Roman" w:eastAsia="Times New Roman" w:hAnsi="Times New Roman" w:cs="Times New Roman"/>
      <w:b/>
      <w:i/>
      <w:color w:val="87CEFA"/>
      <w:sz w:val="20"/>
    </w:rPr>
  </w:style>
  <w:style w:type="paragraph" w:customStyle="1" w:styleId="7">
    <w:name w:val="7"/>
    <w:pPr>
      <w:spacing w:before="0" w:after="113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8">
    <w:name w:val="8"/>
    <w:pPr>
      <w:spacing w:before="113" w:after="113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9">
    <w:name w:val="9"/>
    <w:pPr>
      <w:spacing w:before="113" w:after="57"/>
      <w:ind w:right="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0">
    <w:name w:val="10"/>
    <w:pPr>
      <w:spacing w:before="0" w:after="57"/>
      <w:ind w:right="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2026-0163-001-TVO-1</dc:title>
  <dc:creator>e-Legislativa</dc:creator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621a4030-a9a8-4509-86aa-556fed72a3f5:2126</vt:lpwstr>
  </property>
  <property fmtid="{D5CDD505-2E9C-101B-9397-08002B2CF9AE}" pid="3" name="IdPodprostoru">
    <vt:lpwstr>206327</vt:lpwstr>
  </property>
  <property fmtid="{D5CDD505-2E9C-101B-9397-08002B2CF9AE}" pid="4" name="JeUzavrena">
    <vt:lpwstr>True</vt:lpwstr>
  </property>
  <property fmtid="{D5CDD505-2E9C-101B-9397-08002B2CF9AE}" pid="5" name="PozadavekId">
    <vt:lpwstr>09e1b93e-2cb9-457e-a250-38e69e9d0939</vt:lpwstr>
  </property>
  <property fmtid="{D5CDD505-2E9C-101B-9397-08002B2CF9AE}" pid="6" name="Verze aplikace">
    <vt:lpwstr>v1.0-07.35.HF4</vt:lpwstr>
  </property>
  <property fmtid="{D5CDD505-2E9C-101B-9397-08002B2CF9AE}" pid="7" name="VrstvaNavrhuId">
    <vt:lpwstr>185579</vt:lpwstr>
  </property>
  <property fmtid="{D5CDD505-2E9C-101B-9397-08002B2CF9AE}" pid="8" name="VrstvaObsahuId">
    <vt:lpwstr>83700</vt:lpwstr>
  </property>
</Properties>
</file>